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5BA97" w14:textId="77777777" w:rsidR="001D26E7" w:rsidRPr="00F614F9" w:rsidRDefault="00FD203B">
      <w:pPr>
        <w:spacing w:before="2400" w:line="773" w:lineRule="exact"/>
        <w:jc w:val="center"/>
        <w:rPr>
          <w:rFonts w:ascii="Times New Roman" w:eastAsia="宋体" w:hAnsi="Times New Roman" w:cs="宋体"/>
          <w:b/>
          <w:bCs/>
          <w:sz w:val="36"/>
          <w:szCs w:val="36"/>
        </w:rPr>
      </w:pPr>
      <w:r w:rsidRPr="00F614F9">
        <w:rPr>
          <w:rFonts w:ascii="Times New Roman" w:eastAsia="宋体" w:hAnsi="Times New Roman" w:cs="宋体"/>
          <w:b/>
          <w:bCs/>
          <w:noProof/>
          <w:sz w:val="36"/>
          <w:szCs w:val="36"/>
        </w:rPr>
        <w:drawing>
          <wp:anchor distT="0" distB="0" distL="114300" distR="114300" simplePos="0" relativeHeight="251659264" behindDoc="0" locked="0" layoutInCell="1" allowOverlap="1" wp14:anchorId="54C105AF" wp14:editId="0C03F653">
            <wp:simplePos x="0" y="0"/>
            <wp:positionH relativeFrom="column">
              <wp:posOffset>2552700</wp:posOffset>
            </wp:positionH>
            <wp:positionV relativeFrom="paragraph">
              <wp:posOffset>914400</wp:posOffset>
            </wp:positionV>
            <wp:extent cx="952500" cy="523875"/>
            <wp:effectExtent l="0" t="0" r="0"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52500" cy="523875"/>
                    </a:xfrm>
                    <a:prstGeom prst="rect">
                      <a:avLst/>
                    </a:prstGeom>
                    <a:noFill/>
                  </pic:spPr>
                </pic:pic>
              </a:graphicData>
            </a:graphic>
            <wp14:sizeRelH relativeFrom="margin">
              <wp14:pctWidth>0</wp14:pctWidth>
            </wp14:sizeRelH>
            <wp14:sizeRelV relativeFrom="margin">
              <wp14:pctHeight>0</wp14:pctHeight>
            </wp14:sizeRelV>
          </wp:anchor>
        </w:drawing>
      </w:r>
      <w:r w:rsidR="00D020FC" w:rsidRPr="00F614F9">
        <w:rPr>
          <w:rFonts w:ascii="Times New Roman" w:eastAsia="宋体" w:hAnsi="Times New Roman" w:cs="宋体"/>
          <w:b/>
          <w:bCs/>
          <w:sz w:val="36"/>
          <w:szCs w:val="36"/>
        </w:rPr>
        <w:t>山东龙大美食股份有限公司</w:t>
      </w:r>
    </w:p>
    <w:p w14:paraId="2263F2EC" w14:textId="77777777" w:rsidR="001D26E7" w:rsidRPr="00F614F9" w:rsidRDefault="00000000">
      <w:pPr>
        <w:spacing w:before="1000" w:line="240" w:lineRule="exact"/>
        <w:jc w:val="center"/>
        <w:rPr>
          <w:rFonts w:ascii="Times New Roman" w:eastAsia="宋体" w:hAnsi="Times New Roman" w:cs="宋体"/>
          <w:b/>
          <w:bCs/>
          <w:sz w:val="32"/>
          <w:szCs w:val="32"/>
        </w:rPr>
      </w:pPr>
      <w:r w:rsidRPr="00F614F9">
        <w:rPr>
          <w:rFonts w:ascii="Times New Roman" w:eastAsia="宋体" w:hAnsi="Times New Roman" w:cs="宋体"/>
          <w:b/>
          <w:bCs/>
          <w:sz w:val="32"/>
          <w:szCs w:val="32"/>
        </w:rPr>
        <w:t>2023</w:t>
      </w:r>
      <w:r w:rsidRPr="00F614F9">
        <w:rPr>
          <w:rFonts w:ascii="Times New Roman" w:eastAsia="宋体" w:hAnsi="Times New Roman" w:cs="宋体"/>
          <w:b/>
          <w:bCs/>
          <w:sz w:val="32"/>
          <w:szCs w:val="32"/>
        </w:rPr>
        <w:t>年年度报告</w:t>
      </w:r>
    </w:p>
    <w:p w14:paraId="6F6B06D3" w14:textId="77777777" w:rsidR="001D26E7" w:rsidRPr="00F614F9" w:rsidRDefault="001D26E7">
      <w:pPr>
        <w:spacing w:before="1000" w:line="240" w:lineRule="exact"/>
        <w:jc w:val="center"/>
        <w:rPr>
          <w:rFonts w:ascii="Times New Roman" w:eastAsia="宋体" w:hAnsi="Times New Roman" w:cs="宋体"/>
          <w:b/>
          <w:bCs/>
          <w:szCs w:val="21"/>
        </w:rPr>
      </w:pPr>
    </w:p>
    <w:p w14:paraId="77F1AFBE" w14:textId="77777777" w:rsidR="001D26E7" w:rsidRPr="00F614F9" w:rsidRDefault="001D26E7">
      <w:pPr>
        <w:spacing w:before="1000" w:after="1000" w:line="0" w:lineRule="atLeast"/>
        <w:jc w:val="center"/>
        <w:rPr>
          <w:rFonts w:ascii="Times New Roman" w:eastAsia="宋体" w:hAnsi="Times New Roman" w:cs="Times New Roman"/>
        </w:rPr>
      </w:pPr>
    </w:p>
    <w:p w14:paraId="0DF00197" w14:textId="77777777" w:rsidR="00FD203B" w:rsidRDefault="00FD203B" w:rsidP="00D020FC">
      <w:pPr>
        <w:spacing w:before="400" w:line="320" w:lineRule="exact"/>
        <w:jc w:val="center"/>
        <w:rPr>
          <w:rFonts w:ascii="Times New Roman" w:eastAsia="宋体" w:hAnsi="Times New Roman" w:cs="宋体"/>
          <w:b/>
          <w:bCs/>
          <w:sz w:val="32"/>
          <w:szCs w:val="32"/>
        </w:rPr>
      </w:pPr>
    </w:p>
    <w:p w14:paraId="4B79B12E" w14:textId="77777777" w:rsidR="00FD203B" w:rsidRDefault="00FD203B" w:rsidP="00D020FC">
      <w:pPr>
        <w:spacing w:before="400" w:line="320" w:lineRule="exact"/>
        <w:jc w:val="center"/>
        <w:rPr>
          <w:rFonts w:ascii="Times New Roman" w:eastAsia="宋体" w:hAnsi="Times New Roman" w:cs="宋体"/>
          <w:b/>
          <w:bCs/>
          <w:sz w:val="32"/>
          <w:szCs w:val="32"/>
        </w:rPr>
      </w:pPr>
    </w:p>
    <w:p w14:paraId="168F1BD0" w14:textId="77777777" w:rsidR="00FD203B" w:rsidRDefault="00FD203B" w:rsidP="00D020FC">
      <w:pPr>
        <w:spacing w:before="400" w:line="320" w:lineRule="exact"/>
        <w:jc w:val="center"/>
        <w:rPr>
          <w:rFonts w:ascii="Times New Roman" w:eastAsia="宋体" w:hAnsi="Times New Roman" w:cs="宋体"/>
          <w:b/>
          <w:bCs/>
          <w:sz w:val="32"/>
          <w:szCs w:val="32"/>
        </w:rPr>
      </w:pPr>
    </w:p>
    <w:p w14:paraId="0B2AB5D6" w14:textId="77777777" w:rsidR="00D020FC" w:rsidRPr="00F614F9" w:rsidRDefault="00D020FC" w:rsidP="00D020FC">
      <w:pPr>
        <w:spacing w:before="400" w:line="320" w:lineRule="exact"/>
        <w:jc w:val="center"/>
        <w:rPr>
          <w:rFonts w:ascii="Times New Roman" w:eastAsia="宋体" w:hAnsi="Times New Roman" w:cs="宋体"/>
          <w:b/>
          <w:bCs/>
          <w:sz w:val="32"/>
          <w:szCs w:val="32"/>
        </w:rPr>
      </w:pPr>
      <w:r w:rsidRPr="00F614F9">
        <w:rPr>
          <w:rFonts w:ascii="Times New Roman" w:eastAsia="宋体" w:hAnsi="Times New Roman" w:cs="宋体" w:hint="eastAsia"/>
          <w:b/>
          <w:bCs/>
          <w:sz w:val="32"/>
          <w:szCs w:val="32"/>
        </w:rPr>
        <w:t>2</w:t>
      </w:r>
      <w:r w:rsidRPr="00F614F9">
        <w:rPr>
          <w:rFonts w:ascii="Times New Roman" w:eastAsia="宋体" w:hAnsi="Times New Roman" w:cs="宋体"/>
          <w:b/>
          <w:bCs/>
          <w:sz w:val="32"/>
          <w:szCs w:val="32"/>
        </w:rPr>
        <w:t>02</w:t>
      </w:r>
      <w:r w:rsidRPr="00F614F9">
        <w:rPr>
          <w:rFonts w:ascii="Times New Roman" w:eastAsia="宋体" w:hAnsi="Times New Roman" w:cs="宋体" w:hint="eastAsia"/>
          <w:b/>
          <w:bCs/>
          <w:sz w:val="32"/>
          <w:szCs w:val="32"/>
        </w:rPr>
        <w:t>4</w:t>
      </w:r>
      <w:r w:rsidRPr="00F614F9">
        <w:rPr>
          <w:rFonts w:ascii="Times New Roman" w:eastAsia="宋体" w:hAnsi="Times New Roman" w:cs="宋体" w:hint="eastAsia"/>
          <w:b/>
          <w:bCs/>
          <w:sz w:val="32"/>
          <w:szCs w:val="32"/>
        </w:rPr>
        <w:t>年</w:t>
      </w:r>
      <w:r w:rsidRPr="00F614F9">
        <w:rPr>
          <w:rFonts w:ascii="Times New Roman" w:eastAsia="宋体" w:hAnsi="Times New Roman" w:cs="宋体" w:hint="eastAsia"/>
          <w:b/>
          <w:bCs/>
          <w:sz w:val="32"/>
          <w:szCs w:val="32"/>
        </w:rPr>
        <w:t>4</w:t>
      </w:r>
      <w:r w:rsidRPr="00F614F9">
        <w:rPr>
          <w:rFonts w:ascii="Times New Roman" w:eastAsia="宋体" w:hAnsi="Times New Roman" w:cs="宋体" w:hint="eastAsia"/>
          <w:b/>
          <w:bCs/>
          <w:sz w:val="32"/>
          <w:szCs w:val="32"/>
        </w:rPr>
        <w:t>月</w:t>
      </w:r>
      <w:r w:rsidRPr="00F614F9">
        <w:rPr>
          <w:rFonts w:ascii="Times New Roman" w:eastAsia="宋体" w:hAnsi="Times New Roman" w:cs="宋体" w:hint="eastAsia"/>
          <w:b/>
          <w:bCs/>
          <w:sz w:val="32"/>
          <w:szCs w:val="32"/>
        </w:rPr>
        <w:t>16</w:t>
      </w:r>
      <w:r w:rsidRPr="00F614F9">
        <w:rPr>
          <w:rFonts w:ascii="Times New Roman" w:eastAsia="宋体" w:hAnsi="Times New Roman" w:cs="宋体" w:hint="eastAsia"/>
          <w:b/>
          <w:bCs/>
          <w:sz w:val="32"/>
          <w:szCs w:val="32"/>
        </w:rPr>
        <w:t>日</w:t>
      </w:r>
    </w:p>
    <w:p w14:paraId="008E79DC" w14:textId="77777777" w:rsidR="001D26E7" w:rsidRPr="00F614F9" w:rsidRDefault="00000000">
      <w:pPr>
        <w:rPr>
          <w:rFonts w:ascii="Times New Roman" w:hAnsi="Times New Roman"/>
        </w:rPr>
      </w:pPr>
      <w:r w:rsidRPr="00F614F9">
        <w:rPr>
          <w:rFonts w:ascii="Times New Roman" w:hAnsi="Times New Roman"/>
        </w:rPr>
        <w:br w:type="page"/>
      </w:r>
    </w:p>
    <w:p w14:paraId="74E5995A" w14:textId="77777777" w:rsidR="001D26E7" w:rsidRPr="00F614F9" w:rsidRDefault="00000000">
      <w:pPr>
        <w:spacing w:before="1000" w:after="40" w:line="440" w:lineRule="exact"/>
        <w:jc w:val="center"/>
        <w:rPr>
          <w:rFonts w:ascii="Times New Roman" w:eastAsia="宋体" w:hAnsi="Times New Roman" w:cs="宋体"/>
          <w:b/>
          <w:bCs/>
          <w:sz w:val="44"/>
          <w:szCs w:val="44"/>
        </w:rPr>
      </w:pPr>
      <w:r w:rsidRPr="00F614F9">
        <w:rPr>
          <w:rFonts w:ascii="Times New Roman" w:eastAsia="宋体" w:hAnsi="Times New Roman" w:cs="宋体"/>
          <w:b/>
          <w:bCs/>
          <w:sz w:val="44"/>
          <w:szCs w:val="44"/>
        </w:rPr>
        <w:lastRenderedPageBreak/>
        <w:t>2023</w:t>
      </w:r>
      <w:r w:rsidRPr="00F614F9">
        <w:rPr>
          <w:rFonts w:ascii="Times New Roman" w:eastAsia="宋体" w:hAnsi="Times New Roman" w:cs="宋体"/>
          <w:b/>
          <w:bCs/>
          <w:sz w:val="44"/>
          <w:szCs w:val="44"/>
        </w:rPr>
        <w:t>年年度报告</w:t>
      </w:r>
    </w:p>
    <w:p w14:paraId="273906E3" w14:textId="77777777" w:rsidR="001D26E7" w:rsidRPr="00F614F9" w:rsidRDefault="00000000">
      <w:pPr>
        <w:pStyle w:val="headingh1"/>
        <w:spacing w:before="340" w:after="330" w:line="773" w:lineRule="exact"/>
        <w:jc w:val="center"/>
        <w:rPr>
          <w:rFonts w:ascii="Times New Roman" w:eastAsia="宋体" w:hAnsi="Times New Roman" w:cs="宋体"/>
          <w:b/>
          <w:bCs/>
          <w:sz w:val="32"/>
          <w:szCs w:val="32"/>
        </w:rPr>
      </w:pPr>
      <w:bookmarkStart w:id="0" w:name="_Toc164024743"/>
      <w:r w:rsidRPr="00F614F9">
        <w:rPr>
          <w:rFonts w:ascii="Times New Roman" w:eastAsia="宋体" w:hAnsi="Times New Roman" w:cs="宋体"/>
          <w:b/>
          <w:bCs/>
          <w:sz w:val="32"/>
          <w:szCs w:val="32"/>
        </w:rPr>
        <w:t>第一节</w:t>
      </w:r>
      <w:r w:rsidRPr="00F614F9">
        <w:rPr>
          <w:rFonts w:ascii="Times New Roman" w:eastAsia="宋体" w:hAnsi="Times New Roman" w:cs="宋体"/>
          <w:b/>
          <w:bCs/>
          <w:sz w:val="32"/>
          <w:szCs w:val="32"/>
        </w:rPr>
        <w:t xml:space="preserve"> </w:t>
      </w:r>
      <w:r w:rsidRPr="00F614F9">
        <w:rPr>
          <w:rFonts w:ascii="Times New Roman" w:eastAsia="宋体" w:hAnsi="Times New Roman" w:cs="宋体"/>
          <w:b/>
          <w:bCs/>
          <w:sz w:val="32"/>
          <w:szCs w:val="32"/>
        </w:rPr>
        <w:t>重要提示、目录和释义</w:t>
      </w:r>
      <w:bookmarkEnd w:id="0"/>
    </w:p>
    <w:p w14:paraId="51C9F4C7" w14:textId="77777777" w:rsidR="001D26E7" w:rsidRPr="00F614F9" w:rsidRDefault="00000000">
      <w:pPr>
        <w:spacing w:before="40" w:after="40" w:line="560" w:lineRule="exact"/>
        <w:ind w:firstLineChars="200" w:firstLine="482"/>
        <w:rPr>
          <w:rFonts w:ascii="Times New Roman" w:eastAsia="宋体" w:hAnsi="Times New Roman" w:cs="宋体"/>
          <w:b/>
          <w:bCs/>
          <w:sz w:val="24"/>
          <w:szCs w:val="24"/>
        </w:rPr>
      </w:pPr>
      <w:r w:rsidRPr="00F614F9">
        <w:rPr>
          <w:rFonts w:ascii="Times New Roman" w:eastAsia="宋体" w:hAnsi="Times New Roman" w:cs="宋体"/>
          <w:b/>
          <w:bCs/>
          <w:sz w:val="24"/>
          <w:szCs w:val="24"/>
        </w:rPr>
        <w:t>公司董事会、监事会及董事、监事、高级管理人员保证年度报告内容的真实、准确、完整，不存在虚假记载、误导性陈述或重大遗漏，并承担个别和连带的法律责任。</w:t>
      </w:r>
    </w:p>
    <w:p w14:paraId="4BC0469E" w14:textId="77777777" w:rsidR="001D26E7" w:rsidRPr="00F614F9" w:rsidRDefault="00000000">
      <w:pPr>
        <w:spacing w:line="560" w:lineRule="exact"/>
        <w:ind w:firstLineChars="200" w:firstLine="482"/>
        <w:rPr>
          <w:rFonts w:ascii="Times New Roman" w:eastAsia="宋体" w:hAnsi="Times New Roman" w:cs="宋体"/>
          <w:b/>
          <w:bCs/>
          <w:sz w:val="24"/>
          <w:szCs w:val="24"/>
        </w:rPr>
      </w:pPr>
      <w:r w:rsidRPr="00F614F9">
        <w:rPr>
          <w:rFonts w:ascii="Times New Roman" w:eastAsia="宋体" w:hAnsi="Times New Roman" w:cs="宋体"/>
          <w:b/>
          <w:bCs/>
          <w:sz w:val="24"/>
          <w:szCs w:val="24"/>
        </w:rPr>
        <w:t>公司负责人杨晓初、主管会计工作负责人张凌及会计机构负责人（会计主管人员）刘璐希声明：保证本年度报告中财务报告的真实、准确、完整。</w:t>
      </w:r>
    </w:p>
    <w:p w14:paraId="2A61EA73" w14:textId="77777777" w:rsidR="001D26E7" w:rsidRPr="00F614F9" w:rsidRDefault="00000000">
      <w:pPr>
        <w:spacing w:line="560" w:lineRule="exact"/>
        <w:rPr>
          <w:rFonts w:ascii="Times New Roman" w:eastAsia="宋体" w:hAnsi="Times New Roman" w:cs="宋体"/>
          <w:b/>
          <w:bCs/>
          <w:sz w:val="24"/>
          <w:szCs w:val="24"/>
        </w:rPr>
      </w:pPr>
      <w:r w:rsidRPr="00F614F9">
        <w:rPr>
          <w:rFonts w:ascii="Times New Roman" w:eastAsia="宋体" w:hAnsi="Times New Roman" w:cs="宋体"/>
          <w:b/>
          <w:bCs/>
          <w:sz w:val="24"/>
          <w:szCs w:val="24"/>
        </w:rPr>
        <w:t>所有董事均</w:t>
      </w:r>
      <w:proofErr w:type="gramStart"/>
      <w:r w:rsidRPr="00F614F9">
        <w:rPr>
          <w:rFonts w:ascii="Times New Roman" w:eastAsia="宋体" w:hAnsi="Times New Roman" w:cs="宋体"/>
          <w:b/>
          <w:bCs/>
          <w:sz w:val="24"/>
          <w:szCs w:val="24"/>
        </w:rPr>
        <w:t>已出席</w:t>
      </w:r>
      <w:proofErr w:type="gramEnd"/>
      <w:r w:rsidRPr="00F614F9">
        <w:rPr>
          <w:rFonts w:ascii="Times New Roman" w:eastAsia="宋体" w:hAnsi="Times New Roman" w:cs="宋体"/>
          <w:b/>
          <w:bCs/>
          <w:sz w:val="24"/>
          <w:szCs w:val="24"/>
        </w:rPr>
        <w:t>了审议本报告的董事会会议。</w:t>
      </w:r>
    </w:p>
    <w:p w14:paraId="096C0975" w14:textId="77777777" w:rsidR="00872599" w:rsidRPr="00F614F9" w:rsidRDefault="00000000">
      <w:pPr>
        <w:pStyle w:val="a3"/>
        <w:spacing w:beforeAutospacing="0" w:afterAutospacing="0" w:line="560" w:lineRule="atLeast"/>
        <w:ind w:firstLine="648"/>
        <w:divId w:val="803352119"/>
        <w:rPr>
          <w:rFonts w:ascii="Times New Roman" w:hAnsi="Times New Roman"/>
          <w:b/>
          <w:bCs/>
        </w:rPr>
      </w:pPr>
      <w:r w:rsidRPr="00F614F9">
        <w:rPr>
          <w:rFonts w:ascii="Times New Roman" w:hAnsi="Times New Roman" w:hint="eastAsia"/>
          <w:b/>
          <w:bCs/>
        </w:rPr>
        <w:t>本报告涉及的发展计划及发展战略等前瞻性描述，将受到外界环境和实际经营变化的影响，不构成公司对投资者的实质性承诺，投资者及相关人士应当对此保持足够的风险认识，并且应当理解计划、预测与承诺之间的差异，敬请投资者注意风险。</w:t>
      </w:r>
    </w:p>
    <w:p w14:paraId="10B39284" w14:textId="77777777" w:rsidR="00872599" w:rsidRPr="00F614F9" w:rsidRDefault="00000000">
      <w:pPr>
        <w:pStyle w:val="a3"/>
        <w:spacing w:beforeAutospacing="0" w:afterAutospacing="0" w:line="560" w:lineRule="atLeast"/>
        <w:ind w:firstLine="648"/>
        <w:divId w:val="336082620"/>
        <w:rPr>
          <w:rFonts w:ascii="Times New Roman" w:hAnsi="Times New Roman"/>
          <w:b/>
          <w:bCs/>
        </w:rPr>
      </w:pPr>
      <w:r w:rsidRPr="00F614F9">
        <w:rPr>
          <w:rFonts w:ascii="Times New Roman" w:hAnsi="Times New Roman" w:hint="eastAsia"/>
          <w:b/>
          <w:bCs/>
        </w:rPr>
        <w:t>敬请查阅“第三节、管理层讨论与分析”之“十一、公司未来发展的展望”中的内容。</w:t>
      </w:r>
    </w:p>
    <w:p w14:paraId="54089098" w14:textId="77777777" w:rsidR="001D26E7" w:rsidRPr="00F614F9" w:rsidRDefault="00000000">
      <w:pPr>
        <w:spacing w:line="560" w:lineRule="exact"/>
        <w:ind w:firstLineChars="200" w:firstLine="482"/>
        <w:rPr>
          <w:rFonts w:ascii="Times New Roman" w:eastAsia="宋体" w:hAnsi="Times New Roman" w:cs="宋体"/>
          <w:b/>
          <w:bCs/>
          <w:sz w:val="24"/>
          <w:szCs w:val="24"/>
        </w:rPr>
      </w:pPr>
      <w:r w:rsidRPr="00F614F9">
        <w:rPr>
          <w:rFonts w:ascii="Times New Roman" w:eastAsia="宋体" w:hAnsi="Times New Roman" w:cs="宋体"/>
          <w:b/>
          <w:bCs/>
          <w:sz w:val="24"/>
          <w:szCs w:val="24"/>
        </w:rPr>
        <w:t>公司计划</w:t>
      </w:r>
      <w:proofErr w:type="gramStart"/>
      <w:r w:rsidRPr="00F614F9">
        <w:rPr>
          <w:rFonts w:ascii="Times New Roman" w:eastAsia="宋体" w:hAnsi="Times New Roman" w:cs="宋体"/>
          <w:b/>
          <w:bCs/>
          <w:sz w:val="24"/>
          <w:szCs w:val="24"/>
        </w:rPr>
        <w:t>不</w:t>
      </w:r>
      <w:proofErr w:type="gramEnd"/>
      <w:r w:rsidRPr="00F614F9">
        <w:rPr>
          <w:rFonts w:ascii="Times New Roman" w:eastAsia="宋体" w:hAnsi="Times New Roman" w:cs="宋体"/>
          <w:b/>
          <w:bCs/>
          <w:sz w:val="24"/>
          <w:szCs w:val="24"/>
        </w:rPr>
        <w:t>派发现金红利，不送红股，不以公积金转增股本。</w:t>
      </w:r>
    </w:p>
    <w:p w14:paraId="679FEB5C" w14:textId="77777777" w:rsidR="001D26E7" w:rsidRPr="00F614F9" w:rsidRDefault="00000000">
      <w:pPr>
        <w:rPr>
          <w:rFonts w:ascii="Times New Roman" w:hAnsi="Times New Roman"/>
        </w:rPr>
      </w:pPr>
      <w:r w:rsidRPr="00F614F9">
        <w:rPr>
          <w:rFonts w:ascii="Times New Roman" w:hAnsi="Times New Roman"/>
        </w:rPr>
        <w:br w:type="page"/>
      </w:r>
    </w:p>
    <w:p w14:paraId="7D1527F2" w14:textId="77777777" w:rsidR="001D26E7" w:rsidRPr="00F614F9" w:rsidRDefault="00000000">
      <w:pPr>
        <w:spacing w:line="720" w:lineRule="exact"/>
        <w:jc w:val="center"/>
        <w:rPr>
          <w:rFonts w:ascii="Times New Roman" w:eastAsia="宋体" w:hAnsi="Times New Roman" w:cs="宋体"/>
          <w:b/>
          <w:bCs/>
          <w:sz w:val="36"/>
          <w:szCs w:val="36"/>
        </w:rPr>
      </w:pPr>
      <w:r w:rsidRPr="00F614F9">
        <w:rPr>
          <w:rFonts w:ascii="Times New Roman" w:eastAsia="宋体" w:hAnsi="Times New Roman" w:cs="宋体"/>
          <w:b/>
          <w:bCs/>
          <w:sz w:val="36"/>
          <w:szCs w:val="36"/>
        </w:rPr>
        <w:lastRenderedPageBreak/>
        <w:t>目录</w:t>
      </w:r>
    </w:p>
    <w:p w14:paraId="2FAA74F6" w14:textId="1C3D6504" w:rsidR="00F614F9" w:rsidRDefault="00000000" w:rsidP="005E5194">
      <w:pPr>
        <w:pStyle w:val="TOC1"/>
        <w:rPr>
          <w:noProof/>
        </w:rPr>
      </w:pPr>
      <w:r w:rsidRPr="00F614F9">
        <w:rPr>
          <w:rFonts w:ascii="Times New Roman" w:hAnsi="Times New Roman"/>
        </w:rPr>
        <w:fldChar w:fldCharType="begin"/>
      </w:r>
      <w:r w:rsidRPr="00F614F9">
        <w:rPr>
          <w:rFonts w:ascii="Times New Roman" w:hAnsi="Times New Roman"/>
        </w:rPr>
        <w:instrText xml:space="preserve"> </w:instrText>
      </w:r>
      <w:r w:rsidRPr="00F614F9">
        <w:rPr>
          <w:rFonts w:ascii="Times New Roman" w:eastAsia="宋体" w:hAnsi="Times New Roman" w:hint="eastAsia"/>
        </w:rPr>
        <w:instrText>TOC \o "1-2" \h \z \u</w:instrText>
      </w:r>
      <w:r w:rsidRPr="00F614F9">
        <w:rPr>
          <w:rFonts w:ascii="Times New Roman" w:hAnsi="Times New Roman"/>
        </w:rPr>
        <w:instrText xml:space="preserve"> </w:instrText>
      </w:r>
      <w:r w:rsidRPr="00F614F9">
        <w:rPr>
          <w:rFonts w:ascii="Times New Roman" w:hAnsi="Times New Roman"/>
        </w:rPr>
        <w:fldChar w:fldCharType="separate"/>
      </w:r>
      <w:hyperlink w:anchor="_Toc164024743" w:history="1">
        <w:r w:rsidR="00F614F9" w:rsidRPr="00C42430">
          <w:rPr>
            <w:rStyle w:val="aa"/>
            <w:rFonts w:ascii="Times New Roman" w:eastAsia="宋体" w:hAnsi="Times New Roman" w:cs="宋体"/>
            <w:b/>
            <w:bCs/>
            <w:noProof/>
          </w:rPr>
          <w:t>第一节</w:t>
        </w:r>
        <w:r w:rsidR="00F614F9" w:rsidRPr="00C42430">
          <w:rPr>
            <w:rStyle w:val="aa"/>
            <w:rFonts w:ascii="Times New Roman" w:eastAsia="宋体" w:hAnsi="Times New Roman" w:cs="宋体"/>
            <w:b/>
            <w:bCs/>
            <w:noProof/>
          </w:rPr>
          <w:t xml:space="preserve"> </w:t>
        </w:r>
        <w:r w:rsidR="00F614F9" w:rsidRPr="00C42430">
          <w:rPr>
            <w:rStyle w:val="aa"/>
            <w:rFonts w:ascii="Times New Roman" w:eastAsia="宋体" w:hAnsi="Times New Roman" w:cs="宋体"/>
            <w:b/>
            <w:bCs/>
            <w:noProof/>
          </w:rPr>
          <w:t>重要提示、目录和释义</w:t>
        </w:r>
        <w:r w:rsidR="00F614F9">
          <w:rPr>
            <w:noProof/>
            <w:webHidden/>
          </w:rPr>
          <w:tab/>
        </w:r>
        <w:r w:rsidR="00F614F9">
          <w:rPr>
            <w:noProof/>
            <w:webHidden/>
          </w:rPr>
          <w:fldChar w:fldCharType="begin"/>
        </w:r>
        <w:r w:rsidR="00F614F9">
          <w:rPr>
            <w:noProof/>
            <w:webHidden/>
          </w:rPr>
          <w:instrText xml:space="preserve"> PAGEREF _Toc164024743 \h </w:instrText>
        </w:r>
        <w:r w:rsidR="00F614F9">
          <w:rPr>
            <w:noProof/>
            <w:webHidden/>
          </w:rPr>
        </w:r>
        <w:r w:rsidR="00F614F9">
          <w:rPr>
            <w:noProof/>
            <w:webHidden/>
          </w:rPr>
          <w:fldChar w:fldCharType="separate"/>
        </w:r>
        <w:r w:rsidR="005A6648">
          <w:rPr>
            <w:noProof/>
            <w:webHidden/>
          </w:rPr>
          <w:t>2</w:t>
        </w:r>
        <w:r w:rsidR="00F614F9">
          <w:rPr>
            <w:noProof/>
            <w:webHidden/>
          </w:rPr>
          <w:fldChar w:fldCharType="end"/>
        </w:r>
      </w:hyperlink>
    </w:p>
    <w:p w14:paraId="3955D98F" w14:textId="2410A743" w:rsidR="00F614F9" w:rsidRDefault="00000000" w:rsidP="005E5194">
      <w:pPr>
        <w:pStyle w:val="TOC1"/>
        <w:rPr>
          <w:noProof/>
        </w:rPr>
      </w:pPr>
      <w:hyperlink w:anchor="_Toc164024744" w:history="1">
        <w:r w:rsidR="00F614F9" w:rsidRPr="00C42430">
          <w:rPr>
            <w:rStyle w:val="aa"/>
            <w:rFonts w:ascii="Times New Roman" w:eastAsia="宋体" w:hAnsi="Times New Roman" w:cs="宋体"/>
            <w:b/>
            <w:bCs/>
            <w:noProof/>
          </w:rPr>
          <w:t>第二节</w:t>
        </w:r>
        <w:r w:rsidR="00F614F9" w:rsidRPr="00C42430">
          <w:rPr>
            <w:rStyle w:val="aa"/>
            <w:rFonts w:ascii="Times New Roman" w:eastAsia="宋体" w:hAnsi="Times New Roman" w:cs="宋体"/>
            <w:b/>
            <w:bCs/>
            <w:noProof/>
          </w:rPr>
          <w:t xml:space="preserve"> </w:t>
        </w:r>
        <w:r w:rsidR="00F614F9" w:rsidRPr="00C42430">
          <w:rPr>
            <w:rStyle w:val="aa"/>
            <w:rFonts w:ascii="Times New Roman" w:eastAsia="宋体" w:hAnsi="Times New Roman" w:cs="宋体"/>
            <w:b/>
            <w:bCs/>
            <w:noProof/>
          </w:rPr>
          <w:t>公司简介和主要财务指标</w:t>
        </w:r>
        <w:r w:rsidR="00F614F9">
          <w:rPr>
            <w:noProof/>
            <w:webHidden/>
          </w:rPr>
          <w:tab/>
        </w:r>
        <w:r w:rsidR="00F614F9">
          <w:rPr>
            <w:noProof/>
            <w:webHidden/>
          </w:rPr>
          <w:fldChar w:fldCharType="begin"/>
        </w:r>
        <w:r w:rsidR="00F614F9">
          <w:rPr>
            <w:noProof/>
            <w:webHidden/>
          </w:rPr>
          <w:instrText xml:space="preserve"> PAGEREF _Toc164024744 \h </w:instrText>
        </w:r>
        <w:r w:rsidR="00F614F9">
          <w:rPr>
            <w:noProof/>
            <w:webHidden/>
          </w:rPr>
        </w:r>
        <w:r w:rsidR="00F614F9">
          <w:rPr>
            <w:noProof/>
            <w:webHidden/>
          </w:rPr>
          <w:fldChar w:fldCharType="separate"/>
        </w:r>
        <w:r w:rsidR="005A6648">
          <w:rPr>
            <w:noProof/>
            <w:webHidden/>
          </w:rPr>
          <w:t>6</w:t>
        </w:r>
        <w:r w:rsidR="00F614F9">
          <w:rPr>
            <w:noProof/>
            <w:webHidden/>
          </w:rPr>
          <w:fldChar w:fldCharType="end"/>
        </w:r>
      </w:hyperlink>
    </w:p>
    <w:p w14:paraId="2D8814C6" w14:textId="0059114F" w:rsidR="00F614F9" w:rsidRDefault="00000000" w:rsidP="005E5194">
      <w:pPr>
        <w:pStyle w:val="TOC1"/>
        <w:rPr>
          <w:noProof/>
        </w:rPr>
      </w:pPr>
      <w:hyperlink w:anchor="_Toc164024754" w:history="1">
        <w:r w:rsidR="00F614F9" w:rsidRPr="00C42430">
          <w:rPr>
            <w:rStyle w:val="aa"/>
            <w:rFonts w:ascii="Times New Roman" w:eastAsia="宋体" w:hAnsi="Times New Roman" w:cs="宋体"/>
            <w:b/>
            <w:bCs/>
            <w:noProof/>
          </w:rPr>
          <w:t>第三节</w:t>
        </w:r>
        <w:r w:rsidR="00F614F9" w:rsidRPr="00C42430">
          <w:rPr>
            <w:rStyle w:val="aa"/>
            <w:rFonts w:ascii="Times New Roman" w:eastAsia="宋体" w:hAnsi="Times New Roman" w:cs="宋体"/>
            <w:b/>
            <w:bCs/>
            <w:noProof/>
          </w:rPr>
          <w:t xml:space="preserve"> </w:t>
        </w:r>
        <w:r w:rsidR="00F614F9" w:rsidRPr="00C42430">
          <w:rPr>
            <w:rStyle w:val="aa"/>
            <w:rFonts w:ascii="Times New Roman" w:eastAsia="宋体" w:hAnsi="Times New Roman" w:cs="宋体"/>
            <w:b/>
            <w:bCs/>
            <w:noProof/>
          </w:rPr>
          <w:t>管理层讨论与分析</w:t>
        </w:r>
        <w:r w:rsidR="00F614F9">
          <w:rPr>
            <w:noProof/>
            <w:webHidden/>
          </w:rPr>
          <w:tab/>
        </w:r>
        <w:r w:rsidR="00F614F9">
          <w:rPr>
            <w:noProof/>
            <w:webHidden/>
          </w:rPr>
          <w:fldChar w:fldCharType="begin"/>
        </w:r>
        <w:r w:rsidR="00F614F9">
          <w:rPr>
            <w:noProof/>
            <w:webHidden/>
          </w:rPr>
          <w:instrText xml:space="preserve"> PAGEREF _Toc164024754 \h </w:instrText>
        </w:r>
        <w:r w:rsidR="00F614F9">
          <w:rPr>
            <w:noProof/>
            <w:webHidden/>
          </w:rPr>
        </w:r>
        <w:r w:rsidR="00F614F9">
          <w:rPr>
            <w:noProof/>
            <w:webHidden/>
          </w:rPr>
          <w:fldChar w:fldCharType="separate"/>
        </w:r>
        <w:r w:rsidR="005A6648">
          <w:rPr>
            <w:noProof/>
            <w:webHidden/>
          </w:rPr>
          <w:t>10</w:t>
        </w:r>
        <w:r w:rsidR="00F614F9">
          <w:rPr>
            <w:noProof/>
            <w:webHidden/>
          </w:rPr>
          <w:fldChar w:fldCharType="end"/>
        </w:r>
      </w:hyperlink>
    </w:p>
    <w:p w14:paraId="5891B0E4" w14:textId="1DE7941B" w:rsidR="00F614F9" w:rsidRDefault="00000000" w:rsidP="005E5194">
      <w:pPr>
        <w:pStyle w:val="TOC1"/>
        <w:rPr>
          <w:noProof/>
        </w:rPr>
      </w:pPr>
      <w:hyperlink w:anchor="_Toc164024768" w:history="1">
        <w:r w:rsidR="00F614F9" w:rsidRPr="00C42430">
          <w:rPr>
            <w:rStyle w:val="aa"/>
            <w:rFonts w:ascii="Times New Roman" w:eastAsia="宋体" w:hAnsi="Times New Roman" w:cs="宋体"/>
            <w:b/>
            <w:bCs/>
            <w:noProof/>
          </w:rPr>
          <w:t>第四节</w:t>
        </w:r>
        <w:r w:rsidR="00F614F9" w:rsidRPr="00C42430">
          <w:rPr>
            <w:rStyle w:val="aa"/>
            <w:rFonts w:ascii="Times New Roman" w:eastAsia="宋体" w:hAnsi="Times New Roman" w:cs="宋体"/>
            <w:b/>
            <w:bCs/>
            <w:noProof/>
          </w:rPr>
          <w:t xml:space="preserve"> </w:t>
        </w:r>
        <w:r w:rsidR="00F614F9" w:rsidRPr="00C42430">
          <w:rPr>
            <w:rStyle w:val="aa"/>
            <w:rFonts w:ascii="Times New Roman" w:eastAsia="宋体" w:hAnsi="Times New Roman" w:cs="宋体"/>
            <w:b/>
            <w:bCs/>
            <w:noProof/>
          </w:rPr>
          <w:t>公司治理</w:t>
        </w:r>
        <w:r w:rsidR="00F614F9">
          <w:rPr>
            <w:noProof/>
            <w:webHidden/>
          </w:rPr>
          <w:tab/>
        </w:r>
        <w:r w:rsidR="00F614F9">
          <w:rPr>
            <w:noProof/>
            <w:webHidden/>
          </w:rPr>
          <w:fldChar w:fldCharType="begin"/>
        </w:r>
        <w:r w:rsidR="00F614F9">
          <w:rPr>
            <w:noProof/>
            <w:webHidden/>
          </w:rPr>
          <w:instrText xml:space="preserve"> PAGEREF _Toc164024768 \h </w:instrText>
        </w:r>
        <w:r w:rsidR="00F614F9">
          <w:rPr>
            <w:noProof/>
            <w:webHidden/>
          </w:rPr>
        </w:r>
        <w:r w:rsidR="00F614F9">
          <w:rPr>
            <w:noProof/>
            <w:webHidden/>
          </w:rPr>
          <w:fldChar w:fldCharType="separate"/>
        </w:r>
        <w:r w:rsidR="005A6648">
          <w:rPr>
            <w:noProof/>
            <w:webHidden/>
          </w:rPr>
          <w:t>31</w:t>
        </w:r>
        <w:r w:rsidR="00F614F9">
          <w:rPr>
            <w:noProof/>
            <w:webHidden/>
          </w:rPr>
          <w:fldChar w:fldCharType="end"/>
        </w:r>
      </w:hyperlink>
    </w:p>
    <w:p w14:paraId="683C072C" w14:textId="45F62522" w:rsidR="00F614F9" w:rsidRDefault="00000000" w:rsidP="005E5194">
      <w:pPr>
        <w:pStyle w:val="TOC1"/>
        <w:rPr>
          <w:noProof/>
        </w:rPr>
      </w:pPr>
      <w:hyperlink w:anchor="_Toc164024784" w:history="1">
        <w:r w:rsidR="00F614F9" w:rsidRPr="00C42430">
          <w:rPr>
            <w:rStyle w:val="aa"/>
            <w:rFonts w:ascii="Times New Roman" w:eastAsia="宋体" w:hAnsi="Times New Roman" w:cs="宋体"/>
            <w:b/>
            <w:bCs/>
            <w:noProof/>
          </w:rPr>
          <w:t>第五节</w:t>
        </w:r>
        <w:r w:rsidR="00F614F9" w:rsidRPr="00C42430">
          <w:rPr>
            <w:rStyle w:val="aa"/>
            <w:rFonts w:ascii="Times New Roman" w:eastAsia="宋体" w:hAnsi="Times New Roman" w:cs="宋体"/>
            <w:b/>
            <w:bCs/>
            <w:noProof/>
          </w:rPr>
          <w:t xml:space="preserve"> </w:t>
        </w:r>
        <w:r w:rsidR="00F614F9" w:rsidRPr="00C42430">
          <w:rPr>
            <w:rStyle w:val="aa"/>
            <w:rFonts w:ascii="Times New Roman" w:eastAsia="宋体" w:hAnsi="Times New Roman" w:cs="宋体"/>
            <w:b/>
            <w:bCs/>
            <w:noProof/>
          </w:rPr>
          <w:t>环境和社会责任</w:t>
        </w:r>
        <w:r w:rsidR="00F614F9">
          <w:rPr>
            <w:noProof/>
            <w:webHidden/>
          </w:rPr>
          <w:tab/>
        </w:r>
        <w:r w:rsidR="00F614F9">
          <w:rPr>
            <w:noProof/>
            <w:webHidden/>
          </w:rPr>
          <w:fldChar w:fldCharType="begin"/>
        </w:r>
        <w:r w:rsidR="00F614F9">
          <w:rPr>
            <w:noProof/>
            <w:webHidden/>
          </w:rPr>
          <w:instrText xml:space="preserve"> PAGEREF _Toc164024784 \h </w:instrText>
        </w:r>
        <w:r w:rsidR="00F614F9">
          <w:rPr>
            <w:noProof/>
            <w:webHidden/>
          </w:rPr>
        </w:r>
        <w:r w:rsidR="00F614F9">
          <w:rPr>
            <w:noProof/>
            <w:webHidden/>
          </w:rPr>
          <w:fldChar w:fldCharType="separate"/>
        </w:r>
        <w:r w:rsidR="005A6648">
          <w:rPr>
            <w:noProof/>
            <w:webHidden/>
          </w:rPr>
          <w:t>47</w:t>
        </w:r>
        <w:r w:rsidR="00F614F9">
          <w:rPr>
            <w:noProof/>
            <w:webHidden/>
          </w:rPr>
          <w:fldChar w:fldCharType="end"/>
        </w:r>
      </w:hyperlink>
    </w:p>
    <w:p w14:paraId="61EC15D9" w14:textId="02D9AAA4" w:rsidR="00F614F9" w:rsidRDefault="00000000" w:rsidP="005E5194">
      <w:pPr>
        <w:pStyle w:val="TOC1"/>
        <w:rPr>
          <w:noProof/>
        </w:rPr>
      </w:pPr>
      <w:hyperlink w:anchor="_Toc164024788" w:history="1">
        <w:r w:rsidR="00F614F9" w:rsidRPr="00C42430">
          <w:rPr>
            <w:rStyle w:val="aa"/>
            <w:rFonts w:ascii="Times New Roman" w:eastAsia="宋体" w:hAnsi="Times New Roman" w:cs="宋体"/>
            <w:b/>
            <w:bCs/>
            <w:noProof/>
          </w:rPr>
          <w:t>第六节</w:t>
        </w:r>
        <w:r w:rsidR="00F614F9" w:rsidRPr="00C42430">
          <w:rPr>
            <w:rStyle w:val="aa"/>
            <w:rFonts w:ascii="Times New Roman" w:eastAsia="宋体" w:hAnsi="Times New Roman" w:cs="宋体"/>
            <w:b/>
            <w:bCs/>
            <w:noProof/>
          </w:rPr>
          <w:t xml:space="preserve"> </w:t>
        </w:r>
        <w:r w:rsidR="00F614F9" w:rsidRPr="00C42430">
          <w:rPr>
            <w:rStyle w:val="aa"/>
            <w:rFonts w:ascii="Times New Roman" w:eastAsia="宋体" w:hAnsi="Times New Roman" w:cs="宋体"/>
            <w:b/>
            <w:bCs/>
            <w:noProof/>
          </w:rPr>
          <w:t>重要事项</w:t>
        </w:r>
        <w:r w:rsidR="00F614F9">
          <w:rPr>
            <w:noProof/>
            <w:webHidden/>
          </w:rPr>
          <w:tab/>
        </w:r>
        <w:r w:rsidR="00F614F9">
          <w:rPr>
            <w:noProof/>
            <w:webHidden/>
          </w:rPr>
          <w:fldChar w:fldCharType="begin"/>
        </w:r>
        <w:r w:rsidR="00F614F9">
          <w:rPr>
            <w:noProof/>
            <w:webHidden/>
          </w:rPr>
          <w:instrText xml:space="preserve"> PAGEREF _Toc164024788 \h </w:instrText>
        </w:r>
        <w:r w:rsidR="00F614F9">
          <w:rPr>
            <w:noProof/>
            <w:webHidden/>
          </w:rPr>
        </w:r>
        <w:r w:rsidR="00F614F9">
          <w:rPr>
            <w:noProof/>
            <w:webHidden/>
          </w:rPr>
          <w:fldChar w:fldCharType="separate"/>
        </w:r>
        <w:r w:rsidR="005A6648">
          <w:rPr>
            <w:noProof/>
            <w:webHidden/>
          </w:rPr>
          <w:t>53</w:t>
        </w:r>
        <w:r w:rsidR="00F614F9">
          <w:rPr>
            <w:noProof/>
            <w:webHidden/>
          </w:rPr>
          <w:fldChar w:fldCharType="end"/>
        </w:r>
      </w:hyperlink>
    </w:p>
    <w:p w14:paraId="390F1121" w14:textId="366F0EFA" w:rsidR="00F614F9" w:rsidRDefault="00000000" w:rsidP="005E5194">
      <w:pPr>
        <w:pStyle w:val="TOC1"/>
        <w:rPr>
          <w:noProof/>
        </w:rPr>
      </w:pPr>
      <w:hyperlink w:anchor="_Toc164024806" w:history="1">
        <w:r w:rsidR="00F614F9" w:rsidRPr="00C42430">
          <w:rPr>
            <w:rStyle w:val="aa"/>
            <w:rFonts w:ascii="Times New Roman" w:eastAsia="宋体" w:hAnsi="Times New Roman" w:cs="宋体"/>
            <w:b/>
            <w:bCs/>
            <w:noProof/>
          </w:rPr>
          <w:t>第七节</w:t>
        </w:r>
        <w:r w:rsidR="00F614F9" w:rsidRPr="00C42430">
          <w:rPr>
            <w:rStyle w:val="aa"/>
            <w:rFonts w:ascii="Times New Roman" w:eastAsia="宋体" w:hAnsi="Times New Roman" w:cs="宋体"/>
            <w:b/>
            <w:bCs/>
            <w:noProof/>
          </w:rPr>
          <w:t xml:space="preserve"> </w:t>
        </w:r>
        <w:r w:rsidR="00F614F9" w:rsidRPr="00C42430">
          <w:rPr>
            <w:rStyle w:val="aa"/>
            <w:rFonts w:ascii="Times New Roman" w:eastAsia="宋体" w:hAnsi="Times New Roman" w:cs="宋体"/>
            <w:b/>
            <w:bCs/>
            <w:noProof/>
          </w:rPr>
          <w:t>股份变动及股东情况</w:t>
        </w:r>
        <w:r w:rsidR="00F614F9">
          <w:rPr>
            <w:noProof/>
            <w:webHidden/>
          </w:rPr>
          <w:tab/>
        </w:r>
        <w:r w:rsidR="00F614F9">
          <w:rPr>
            <w:noProof/>
            <w:webHidden/>
          </w:rPr>
          <w:fldChar w:fldCharType="begin"/>
        </w:r>
        <w:r w:rsidR="00F614F9">
          <w:rPr>
            <w:noProof/>
            <w:webHidden/>
          </w:rPr>
          <w:instrText xml:space="preserve"> PAGEREF _Toc164024806 \h </w:instrText>
        </w:r>
        <w:r w:rsidR="00F614F9">
          <w:rPr>
            <w:noProof/>
            <w:webHidden/>
          </w:rPr>
        </w:r>
        <w:r w:rsidR="00F614F9">
          <w:rPr>
            <w:noProof/>
            <w:webHidden/>
          </w:rPr>
          <w:fldChar w:fldCharType="separate"/>
        </w:r>
        <w:r w:rsidR="005A6648">
          <w:rPr>
            <w:noProof/>
            <w:webHidden/>
          </w:rPr>
          <w:t>68</w:t>
        </w:r>
        <w:r w:rsidR="00F614F9">
          <w:rPr>
            <w:noProof/>
            <w:webHidden/>
          </w:rPr>
          <w:fldChar w:fldCharType="end"/>
        </w:r>
      </w:hyperlink>
    </w:p>
    <w:p w14:paraId="1210FD07" w14:textId="3EFF41A8" w:rsidR="00F614F9" w:rsidRDefault="00000000" w:rsidP="005E5194">
      <w:pPr>
        <w:pStyle w:val="TOC1"/>
        <w:rPr>
          <w:noProof/>
        </w:rPr>
      </w:pPr>
      <w:hyperlink w:anchor="_Toc164024811" w:history="1">
        <w:r w:rsidR="00F614F9" w:rsidRPr="00C42430">
          <w:rPr>
            <w:rStyle w:val="aa"/>
            <w:rFonts w:ascii="Times New Roman" w:eastAsia="宋体" w:hAnsi="Times New Roman" w:cs="宋体"/>
            <w:b/>
            <w:bCs/>
            <w:noProof/>
          </w:rPr>
          <w:t>第八节</w:t>
        </w:r>
        <w:r w:rsidR="00F614F9" w:rsidRPr="00C42430">
          <w:rPr>
            <w:rStyle w:val="aa"/>
            <w:rFonts w:ascii="Times New Roman" w:eastAsia="宋体" w:hAnsi="Times New Roman" w:cs="宋体"/>
            <w:b/>
            <w:bCs/>
            <w:noProof/>
          </w:rPr>
          <w:t xml:space="preserve"> </w:t>
        </w:r>
        <w:r w:rsidR="00F614F9" w:rsidRPr="00C42430">
          <w:rPr>
            <w:rStyle w:val="aa"/>
            <w:rFonts w:ascii="Times New Roman" w:eastAsia="宋体" w:hAnsi="Times New Roman" w:cs="宋体"/>
            <w:b/>
            <w:bCs/>
            <w:noProof/>
          </w:rPr>
          <w:t>优先股相关情况</w:t>
        </w:r>
        <w:r w:rsidR="00F614F9">
          <w:rPr>
            <w:noProof/>
            <w:webHidden/>
          </w:rPr>
          <w:tab/>
        </w:r>
        <w:r w:rsidR="00F614F9">
          <w:rPr>
            <w:noProof/>
            <w:webHidden/>
          </w:rPr>
          <w:fldChar w:fldCharType="begin"/>
        </w:r>
        <w:r w:rsidR="00F614F9">
          <w:rPr>
            <w:noProof/>
            <w:webHidden/>
          </w:rPr>
          <w:instrText xml:space="preserve"> PAGEREF _Toc164024811 \h </w:instrText>
        </w:r>
        <w:r w:rsidR="00F614F9">
          <w:rPr>
            <w:noProof/>
            <w:webHidden/>
          </w:rPr>
        </w:r>
        <w:r w:rsidR="00F614F9">
          <w:rPr>
            <w:noProof/>
            <w:webHidden/>
          </w:rPr>
          <w:fldChar w:fldCharType="separate"/>
        </w:r>
        <w:r w:rsidR="005A6648">
          <w:rPr>
            <w:noProof/>
            <w:webHidden/>
          </w:rPr>
          <w:t>76</w:t>
        </w:r>
        <w:r w:rsidR="00F614F9">
          <w:rPr>
            <w:noProof/>
            <w:webHidden/>
          </w:rPr>
          <w:fldChar w:fldCharType="end"/>
        </w:r>
      </w:hyperlink>
    </w:p>
    <w:p w14:paraId="30C7A772" w14:textId="1E21F180" w:rsidR="00F614F9" w:rsidRDefault="00000000" w:rsidP="005E5194">
      <w:pPr>
        <w:pStyle w:val="TOC1"/>
        <w:rPr>
          <w:noProof/>
        </w:rPr>
      </w:pPr>
      <w:hyperlink w:anchor="_Toc164024812" w:history="1">
        <w:r w:rsidR="00F614F9" w:rsidRPr="00C42430">
          <w:rPr>
            <w:rStyle w:val="aa"/>
            <w:rFonts w:ascii="Times New Roman" w:eastAsia="宋体" w:hAnsi="Times New Roman" w:cs="宋体"/>
            <w:b/>
            <w:bCs/>
            <w:noProof/>
          </w:rPr>
          <w:t>第九节</w:t>
        </w:r>
        <w:r w:rsidR="00F614F9" w:rsidRPr="00C42430">
          <w:rPr>
            <w:rStyle w:val="aa"/>
            <w:rFonts w:ascii="Times New Roman" w:eastAsia="宋体" w:hAnsi="Times New Roman" w:cs="宋体"/>
            <w:b/>
            <w:bCs/>
            <w:noProof/>
          </w:rPr>
          <w:t xml:space="preserve"> </w:t>
        </w:r>
        <w:r w:rsidR="00F614F9" w:rsidRPr="00C42430">
          <w:rPr>
            <w:rStyle w:val="aa"/>
            <w:rFonts w:ascii="Times New Roman" w:eastAsia="宋体" w:hAnsi="Times New Roman" w:cs="宋体"/>
            <w:b/>
            <w:bCs/>
            <w:noProof/>
          </w:rPr>
          <w:t>债券相关情况</w:t>
        </w:r>
        <w:r w:rsidR="00F614F9">
          <w:rPr>
            <w:noProof/>
            <w:webHidden/>
          </w:rPr>
          <w:tab/>
        </w:r>
        <w:r w:rsidR="00F614F9">
          <w:rPr>
            <w:noProof/>
            <w:webHidden/>
          </w:rPr>
          <w:fldChar w:fldCharType="begin"/>
        </w:r>
        <w:r w:rsidR="00F614F9">
          <w:rPr>
            <w:noProof/>
            <w:webHidden/>
          </w:rPr>
          <w:instrText xml:space="preserve"> PAGEREF _Toc164024812 \h </w:instrText>
        </w:r>
        <w:r w:rsidR="00F614F9">
          <w:rPr>
            <w:noProof/>
            <w:webHidden/>
          </w:rPr>
        </w:r>
        <w:r w:rsidR="00F614F9">
          <w:rPr>
            <w:noProof/>
            <w:webHidden/>
          </w:rPr>
          <w:fldChar w:fldCharType="separate"/>
        </w:r>
        <w:r w:rsidR="005A6648">
          <w:rPr>
            <w:noProof/>
            <w:webHidden/>
          </w:rPr>
          <w:t>77</w:t>
        </w:r>
        <w:r w:rsidR="00F614F9">
          <w:rPr>
            <w:noProof/>
            <w:webHidden/>
          </w:rPr>
          <w:fldChar w:fldCharType="end"/>
        </w:r>
      </w:hyperlink>
    </w:p>
    <w:p w14:paraId="766F9933" w14:textId="4C3C8FB3" w:rsidR="00F614F9" w:rsidRDefault="00000000" w:rsidP="005E5194">
      <w:pPr>
        <w:pStyle w:val="TOC1"/>
        <w:rPr>
          <w:noProof/>
        </w:rPr>
      </w:pPr>
      <w:hyperlink w:anchor="_Toc164024821" w:history="1">
        <w:r w:rsidR="00F614F9" w:rsidRPr="00C42430">
          <w:rPr>
            <w:rStyle w:val="aa"/>
            <w:rFonts w:ascii="Times New Roman" w:eastAsia="宋体" w:hAnsi="Times New Roman" w:cs="宋体"/>
            <w:b/>
            <w:bCs/>
            <w:noProof/>
          </w:rPr>
          <w:t>第十节</w:t>
        </w:r>
        <w:r w:rsidR="00F614F9" w:rsidRPr="00C42430">
          <w:rPr>
            <w:rStyle w:val="aa"/>
            <w:rFonts w:ascii="Times New Roman" w:eastAsia="宋体" w:hAnsi="Times New Roman" w:cs="宋体"/>
            <w:b/>
            <w:bCs/>
            <w:noProof/>
          </w:rPr>
          <w:t xml:space="preserve"> </w:t>
        </w:r>
        <w:r w:rsidR="00F614F9" w:rsidRPr="00C42430">
          <w:rPr>
            <w:rStyle w:val="aa"/>
            <w:rFonts w:ascii="Times New Roman" w:eastAsia="宋体" w:hAnsi="Times New Roman" w:cs="宋体"/>
            <w:b/>
            <w:bCs/>
            <w:noProof/>
          </w:rPr>
          <w:t>财务报告</w:t>
        </w:r>
        <w:r w:rsidR="00F614F9">
          <w:rPr>
            <w:noProof/>
            <w:webHidden/>
          </w:rPr>
          <w:tab/>
        </w:r>
        <w:r w:rsidR="00F614F9">
          <w:rPr>
            <w:noProof/>
            <w:webHidden/>
          </w:rPr>
          <w:fldChar w:fldCharType="begin"/>
        </w:r>
        <w:r w:rsidR="00F614F9">
          <w:rPr>
            <w:noProof/>
            <w:webHidden/>
          </w:rPr>
          <w:instrText xml:space="preserve"> PAGEREF _Toc164024821 \h </w:instrText>
        </w:r>
        <w:r w:rsidR="00F614F9">
          <w:rPr>
            <w:noProof/>
            <w:webHidden/>
          </w:rPr>
        </w:r>
        <w:r w:rsidR="00F614F9">
          <w:rPr>
            <w:noProof/>
            <w:webHidden/>
          </w:rPr>
          <w:fldChar w:fldCharType="separate"/>
        </w:r>
        <w:r w:rsidR="005A6648">
          <w:rPr>
            <w:noProof/>
            <w:webHidden/>
          </w:rPr>
          <w:t>80</w:t>
        </w:r>
        <w:r w:rsidR="00F614F9">
          <w:rPr>
            <w:noProof/>
            <w:webHidden/>
          </w:rPr>
          <w:fldChar w:fldCharType="end"/>
        </w:r>
      </w:hyperlink>
    </w:p>
    <w:p w14:paraId="32554319" w14:textId="77777777" w:rsidR="001D26E7" w:rsidRPr="00F614F9" w:rsidRDefault="00000000" w:rsidP="005E5194">
      <w:pPr>
        <w:pStyle w:val="TOC1"/>
        <w:rPr>
          <w:noProof/>
        </w:rPr>
      </w:pPr>
      <w:r w:rsidRPr="00F614F9">
        <w:fldChar w:fldCharType="end"/>
      </w:r>
    </w:p>
    <w:p w14:paraId="0BFBDC71" w14:textId="77777777" w:rsidR="001D26E7" w:rsidRPr="00F614F9" w:rsidRDefault="00000000">
      <w:pPr>
        <w:rPr>
          <w:rFonts w:ascii="Times New Roman" w:hAnsi="Times New Roman"/>
        </w:rPr>
      </w:pPr>
      <w:r w:rsidRPr="00F614F9">
        <w:rPr>
          <w:rFonts w:ascii="Times New Roman" w:hAnsi="Times New Roman"/>
        </w:rPr>
        <w:br w:type="page"/>
      </w:r>
    </w:p>
    <w:p w14:paraId="5844A408" w14:textId="77777777" w:rsidR="001D26E7" w:rsidRPr="00F614F9" w:rsidRDefault="00000000">
      <w:pPr>
        <w:spacing w:line="640" w:lineRule="exact"/>
        <w:jc w:val="center"/>
        <w:rPr>
          <w:rFonts w:ascii="Times New Roman" w:eastAsia="宋体" w:hAnsi="Times New Roman" w:cs="宋体"/>
          <w:b/>
          <w:bCs/>
          <w:sz w:val="32"/>
          <w:szCs w:val="32"/>
        </w:rPr>
      </w:pPr>
      <w:r w:rsidRPr="00F614F9">
        <w:rPr>
          <w:rFonts w:ascii="Times New Roman" w:eastAsia="宋体" w:hAnsi="Times New Roman" w:cs="宋体"/>
          <w:b/>
          <w:bCs/>
          <w:sz w:val="32"/>
          <w:szCs w:val="32"/>
        </w:rPr>
        <w:lastRenderedPageBreak/>
        <w:t>备查文件目录</w:t>
      </w:r>
    </w:p>
    <w:p w14:paraId="5C559D99" w14:textId="77777777" w:rsidR="00872599" w:rsidRPr="00FD203B" w:rsidRDefault="00000000">
      <w:pPr>
        <w:pStyle w:val="a3"/>
        <w:spacing w:line="560" w:lineRule="atLeast"/>
        <w:ind w:firstLine="408"/>
        <w:divId w:val="1416631039"/>
        <w:rPr>
          <w:sz w:val="18"/>
          <w:szCs w:val="18"/>
        </w:rPr>
      </w:pPr>
      <w:r w:rsidRPr="00FD203B">
        <w:rPr>
          <w:rFonts w:hint="eastAsia"/>
          <w:sz w:val="18"/>
          <w:szCs w:val="18"/>
        </w:rPr>
        <w:t>(一)载有公司负责人、主管会计工作负责人、会计机构负责人(会计主管人员)签名并盖章的财务报表。</w:t>
      </w:r>
    </w:p>
    <w:p w14:paraId="5B8BD67D" w14:textId="77777777" w:rsidR="00872599" w:rsidRPr="00FD203B" w:rsidRDefault="00000000">
      <w:pPr>
        <w:pStyle w:val="a3"/>
        <w:spacing w:line="560" w:lineRule="atLeast"/>
        <w:ind w:firstLine="408"/>
        <w:divId w:val="1416631039"/>
        <w:rPr>
          <w:sz w:val="18"/>
          <w:szCs w:val="18"/>
        </w:rPr>
      </w:pPr>
      <w:r w:rsidRPr="00FD203B">
        <w:rPr>
          <w:rFonts w:hint="eastAsia"/>
          <w:sz w:val="18"/>
          <w:szCs w:val="18"/>
        </w:rPr>
        <w:t>(二)载有会计师事务所盖章、注册会计师签名并盖章的审计报告原件。</w:t>
      </w:r>
    </w:p>
    <w:p w14:paraId="1EB0666F" w14:textId="77777777" w:rsidR="00872599" w:rsidRPr="00FD203B" w:rsidRDefault="00000000">
      <w:pPr>
        <w:pStyle w:val="a3"/>
        <w:spacing w:line="560" w:lineRule="atLeast"/>
        <w:ind w:firstLine="408"/>
        <w:divId w:val="1416631039"/>
        <w:rPr>
          <w:sz w:val="18"/>
          <w:szCs w:val="18"/>
        </w:rPr>
      </w:pPr>
      <w:r w:rsidRPr="00FD203B">
        <w:rPr>
          <w:rFonts w:hint="eastAsia"/>
          <w:sz w:val="18"/>
          <w:szCs w:val="18"/>
        </w:rPr>
        <w:t>(三)报告期内公开披露过的所有公司文件的正本及公告的原稿。</w:t>
      </w:r>
    </w:p>
    <w:p w14:paraId="70566ED0" w14:textId="77777777" w:rsidR="001D26E7" w:rsidRPr="00F614F9" w:rsidRDefault="00000000">
      <w:pPr>
        <w:rPr>
          <w:rFonts w:ascii="Times New Roman" w:hAnsi="Times New Roman"/>
        </w:rPr>
      </w:pPr>
      <w:r w:rsidRPr="00F614F9">
        <w:rPr>
          <w:rFonts w:ascii="Times New Roman" w:hAnsi="Times New Roman"/>
        </w:rPr>
        <w:br w:type="page"/>
      </w:r>
    </w:p>
    <w:p w14:paraId="3EE60E22" w14:textId="77777777" w:rsidR="001D26E7" w:rsidRPr="00F614F9" w:rsidRDefault="00000000">
      <w:pPr>
        <w:spacing w:before="40" w:after="40" w:line="560" w:lineRule="exact"/>
        <w:jc w:val="center"/>
        <w:rPr>
          <w:rFonts w:ascii="Times New Roman" w:eastAsia="宋体" w:hAnsi="Times New Roman" w:cs="宋体"/>
          <w:b/>
          <w:bCs/>
          <w:sz w:val="32"/>
          <w:szCs w:val="32"/>
        </w:rPr>
      </w:pPr>
      <w:r w:rsidRPr="00F614F9">
        <w:rPr>
          <w:rFonts w:ascii="Times New Roman" w:eastAsia="宋体" w:hAnsi="Times New Roman" w:cs="宋体"/>
          <w:b/>
          <w:bCs/>
          <w:sz w:val="32"/>
          <w:szCs w:val="32"/>
        </w:rPr>
        <w:lastRenderedPageBreak/>
        <w:t>释义</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583"/>
        <w:gridCol w:w="1134"/>
        <w:gridCol w:w="5922"/>
      </w:tblGrid>
      <w:tr w:rsidR="001D26E7" w:rsidRPr="00F614F9" w14:paraId="46FBA13D"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shd w:val="clear" w:color="auto" w:fill="D3D3D3"/>
            <w:vAlign w:val="center"/>
          </w:tcPr>
          <w:p w14:paraId="1AB90FD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释义项</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8A1444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shd w:val="clear" w:color="auto" w:fill="D3D3D3"/>
            <w:vAlign w:val="center"/>
          </w:tcPr>
          <w:p w14:paraId="6DC5593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释义内容</w:t>
            </w:r>
          </w:p>
        </w:tc>
      </w:tr>
      <w:tr w:rsidR="001D26E7" w:rsidRPr="00F614F9" w14:paraId="04FC7EFE"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3E65857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公司、本公司、龙大美食</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7BEEE9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52D3089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山东龙大美食股份有限公司</w:t>
            </w:r>
          </w:p>
        </w:tc>
      </w:tr>
      <w:tr w:rsidR="001D26E7" w:rsidRPr="00F614F9" w14:paraId="55CAD5A4"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65A0815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98F6AE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6E0520D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蓝润发展控股集团有限公司，本公司控股股东</w:t>
            </w:r>
          </w:p>
        </w:tc>
      </w:tr>
      <w:tr w:rsidR="001D26E7" w:rsidRPr="00F614F9" w14:paraId="03C212C6"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6172CB1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龙大养殖</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BE7363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40186AB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烟台龙大养殖有限公司，本公司全资子公司</w:t>
            </w:r>
          </w:p>
        </w:tc>
      </w:tr>
      <w:tr w:rsidR="001D26E7" w:rsidRPr="00F614F9" w14:paraId="37DC6891"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4756DCD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龙大饲料</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A62222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51C619E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烟台龙大饲料有限公司，本公司全资子公司</w:t>
            </w:r>
          </w:p>
        </w:tc>
      </w:tr>
      <w:tr w:rsidR="001D26E7" w:rsidRPr="00F614F9" w14:paraId="1FCEEFDC"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1DA45E9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聊城龙大</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5CE820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1E5E397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聊城龙大肉食品有限公司，本公司全资子公司</w:t>
            </w:r>
          </w:p>
        </w:tc>
      </w:tr>
      <w:tr w:rsidR="001D26E7" w:rsidRPr="00F614F9" w14:paraId="1CAF6A15"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60D480C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龙</w:t>
            </w:r>
            <w:proofErr w:type="gramStart"/>
            <w:r w:rsidRPr="00F614F9">
              <w:rPr>
                <w:rFonts w:ascii="Times New Roman" w:eastAsia="宋体" w:hAnsi="Times New Roman" w:cs="宋体"/>
                <w:sz w:val="18"/>
                <w:szCs w:val="18"/>
              </w:rPr>
              <w:t>大牧原</w:t>
            </w:r>
            <w:proofErr w:type="gramEnd"/>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35DDC9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52E4557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河南龙大牧原肉食品有限公司，本公司控股子公司</w:t>
            </w:r>
          </w:p>
        </w:tc>
      </w:tr>
      <w:tr w:rsidR="001D26E7" w:rsidRPr="00F614F9" w14:paraId="4955A363"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108575C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潍坊振</w:t>
            </w:r>
            <w:proofErr w:type="gramStart"/>
            <w:r w:rsidRPr="00F614F9">
              <w:rPr>
                <w:rFonts w:ascii="Times New Roman" w:eastAsia="宋体" w:hAnsi="Times New Roman" w:cs="宋体"/>
                <w:sz w:val="18"/>
                <w:szCs w:val="18"/>
              </w:rPr>
              <w:t>祥</w:t>
            </w:r>
            <w:proofErr w:type="gramEnd"/>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B043E7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1CDC452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潍坊振</w:t>
            </w:r>
            <w:proofErr w:type="gramStart"/>
            <w:r w:rsidRPr="00F614F9">
              <w:rPr>
                <w:rFonts w:ascii="Times New Roman" w:eastAsia="宋体" w:hAnsi="Times New Roman" w:cs="宋体"/>
                <w:sz w:val="18"/>
                <w:szCs w:val="18"/>
              </w:rPr>
              <w:t>祥</w:t>
            </w:r>
            <w:proofErr w:type="gramEnd"/>
            <w:r w:rsidRPr="00F614F9">
              <w:rPr>
                <w:rFonts w:ascii="Times New Roman" w:eastAsia="宋体" w:hAnsi="Times New Roman" w:cs="宋体"/>
                <w:sz w:val="18"/>
                <w:szCs w:val="18"/>
              </w:rPr>
              <w:t>食品有限公司，本公司控股子公司</w:t>
            </w:r>
          </w:p>
        </w:tc>
      </w:tr>
      <w:tr w:rsidR="001D26E7" w:rsidRPr="00F614F9" w14:paraId="24EE2B90"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7569EBF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杰科检测</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B8E959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280D652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烟台杰科检测服务有限公司，本公司全资子公司</w:t>
            </w:r>
          </w:p>
        </w:tc>
      </w:tr>
      <w:tr w:rsidR="001D26E7" w:rsidRPr="00F614F9" w14:paraId="191A6447"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6009F51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蓬莱富龙</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90CAC5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763CE49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蓬莱富龙肉食品有限公司，本公司控股子公司</w:t>
            </w:r>
          </w:p>
        </w:tc>
      </w:tr>
      <w:tr w:rsidR="001D26E7" w:rsidRPr="00F614F9" w14:paraId="0BF6C67F"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2485AF2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莱阳龙瑞</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79DC10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3A02795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莱阳龙瑞食品有限公司，本公司全资子公司</w:t>
            </w:r>
          </w:p>
        </w:tc>
      </w:tr>
      <w:tr w:rsidR="001D26E7" w:rsidRPr="00F614F9" w14:paraId="0770A525"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1529A43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龙大生猪</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98DC70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4F18DA0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山东龙大生猪产品工程技术研究有限公司，本公司全资子公司</w:t>
            </w:r>
          </w:p>
        </w:tc>
      </w:tr>
      <w:tr w:rsidR="001D26E7" w:rsidRPr="00F614F9" w14:paraId="4F6ABF31"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077C402E"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中和盛杰</w:t>
            </w:r>
            <w:proofErr w:type="gramEnd"/>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4B6DFF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36BB6DA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青岛中和盛杰食品有限公司，本公司控股子公司</w:t>
            </w:r>
          </w:p>
        </w:tc>
      </w:tr>
      <w:tr w:rsidR="001D26E7" w:rsidRPr="00F614F9" w14:paraId="02B33500"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4D3589A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安丘龙大</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9ED9C4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4B9087B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安丘龙大养殖有限公司，本公司全资孙公司</w:t>
            </w:r>
          </w:p>
        </w:tc>
      </w:tr>
      <w:tr w:rsidR="001D26E7" w:rsidRPr="00F614F9" w14:paraId="37A62776"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3004F95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云南福照</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9DE959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7B1D8C8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云南福照食品有限公司，本公司控股子公司</w:t>
            </w:r>
          </w:p>
        </w:tc>
      </w:tr>
      <w:tr w:rsidR="001D26E7" w:rsidRPr="00F614F9" w14:paraId="7A6CC581"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7C44A7B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新胜锦</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0E30D1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517B18A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青岛新胜</w:t>
            </w:r>
            <w:proofErr w:type="gramStart"/>
            <w:r w:rsidRPr="00F614F9">
              <w:rPr>
                <w:rFonts w:ascii="Times New Roman" w:eastAsia="宋体" w:hAnsi="Times New Roman" w:cs="宋体"/>
                <w:sz w:val="18"/>
                <w:szCs w:val="18"/>
              </w:rPr>
              <w:t>锦食品</w:t>
            </w:r>
            <w:proofErr w:type="gramEnd"/>
            <w:r w:rsidRPr="00F614F9">
              <w:rPr>
                <w:rFonts w:ascii="Times New Roman" w:eastAsia="宋体" w:hAnsi="Times New Roman" w:cs="宋体"/>
                <w:sz w:val="18"/>
                <w:szCs w:val="18"/>
              </w:rPr>
              <w:t>商贸有限公司，</w:t>
            </w:r>
            <w:proofErr w:type="gramStart"/>
            <w:r w:rsidRPr="00F614F9">
              <w:rPr>
                <w:rFonts w:ascii="Times New Roman" w:eastAsia="宋体" w:hAnsi="Times New Roman" w:cs="宋体"/>
                <w:sz w:val="18"/>
                <w:szCs w:val="18"/>
              </w:rPr>
              <w:t>中和盛杰全资</w:t>
            </w:r>
            <w:proofErr w:type="gramEnd"/>
            <w:r w:rsidRPr="00F614F9">
              <w:rPr>
                <w:rFonts w:ascii="Times New Roman" w:eastAsia="宋体" w:hAnsi="Times New Roman" w:cs="宋体"/>
                <w:sz w:val="18"/>
                <w:szCs w:val="18"/>
              </w:rPr>
              <w:t>子公司</w:t>
            </w:r>
          </w:p>
        </w:tc>
      </w:tr>
      <w:tr w:rsidR="001D26E7" w:rsidRPr="00F614F9" w14:paraId="20B5E386"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39E1F11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莱阳龙大养殖</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BEA78F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5D304AE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莱阳龙大养殖有限公司，本公司全资孙公司</w:t>
            </w:r>
          </w:p>
        </w:tc>
      </w:tr>
      <w:tr w:rsidR="001D26E7" w:rsidRPr="00F614F9" w14:paraId="2123F7AE"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7CE6453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黑龙江龙大养殖</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8FA88B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2E5C2C8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黑龙江龙大养殖有限公司，本公司全资子公司</w:t>
            </w:r>
          </w:p>
        </w:tc>
      </w:tr>
      <w:tr w:rsidR="001D26E7" w:rsidRPr="00F614F9" w14:paraId="2AACAD5E"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7BE1852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乳山龙大养殖</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5BD48A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1999570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乳山龙大养殖有限公司，本公司全资孙公司</w:t>
            </w:r>
          </w:p>
        </w:tc>
      </w:tr>
      <w:tr w:rsidR="001D26E7" w:rsidRPr="00F614F9" w14:paraId="1F46334F"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3D83B25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黑龙江龙大肉食品</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05E4AA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3C62398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黑龙江龙大肉食品有限公司，本公司全资子公司</w:t>
            </w:r>
          </w:p>
        </w:tc>
      </w:tr>
      <w:tr w:rsidR="001D26E7" w:rsidRPr="00F614F9" w14:paraId="0103E551"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632B2D3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莱州龙大养殖</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A71CCA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4AC4F55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莱州龙大养殖有限公司，本公司全资孙公司</w:t>
            </w:r>
          </w:p>
        </w:tc>
      </w:tr>
      <w:tr w:rsidR="001D26E7" w:rsidRPr="00F614F9" w14:paraId="3CE5567D"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0D811372"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通辽金</w:t>
            </w:r>
            <w:proofErr w:type="gramEnd"/>
            <w:r w:rsidRPr="00F614F9">
              <w:rPr>
                <w:rFonts w:ascii="Times New Roman" w:eastAsia="宋体" w:hAnsi="Times New Roman" w:cs="宋体"/>
                <w:sz w:val="18"/>
                <w:szCs w:val="18"/>
              </w:rPr>
              <w:t>泉</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BD3A6A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71AE0AE8"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通辽金泉食品</w:t>
            </w:r>
            <w:proofErr w:type="gramEnd"/>
            <w:r w:rsidRPr="00F614F9">
              <w:rPr>
                <w:rFonts w:ascii="Times New Roman" w:eastAsia="宋体" w:hAnsi="Times New Roman" w:cs="宋体"/>
                <w:sz w:val="18"/>
                <w:szCs w:val="18"/>
              </w:rPr>
              <w:t>有限责任公司，本公司全资子公司</w:t>
            </w:r>
          </w:p>
        </w:tc>
      </w:tr>
      <w:tr w:rsidR="001D26E7" w:rsidRPr="00F614F9" w14:paraId="0BDB68D5"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4533C05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乳山</w:t>
            </w:r>
            <w:proofErr w:type="gramStart"/>
            <w:r w:rsidRPr="00F614F9">
              <w:rPr>
                <w:rFonts w:ascii="Times New Roman" w:eastAsia="宋体" w:hAnsi="Times New Roman" w:cs="宋体"/>
                <w:sz w:val="18"/>
                <w:szCs w:val="18"/>
              </w:rPr>
              <w:t>中和盛杰</w:t>
            </w:r>
            <w:proofErr w:type="gramEnd"/>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D67B08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3DEB6DA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乳山中和盛杰食品有限公司，本公司全资孙公司</w:t>
            </w:r>
          </w:p>
        </w:tc>
      </w:tr>
      <w:tr w:rsidR="001D26E7" w:rsidRPr="00F614F9" w14:paraId="0896C05A"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7B5164D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龙大沁</w:t>
            </w:r>
            <w:proofErr w:type="gramStart"/>
            <w:r w:rsidRPr="00F614F9">
              <w:rPr>
                <w:rFonts w:ascii="Times New Roman" w:eastAsia="宋体" w:hAnsi="Times New Roman" w:cs="宋体"/>
                <w:sz w:val="18"/>
                <w:szCs w:val="18"/>
              </w:rPr>
              <w:t>侬</w:t>
            </w:r>
            <w:proofErr w:type="gramEnd"/>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C9614B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24A5D2D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江苏龙大沁侬食品有限公司，本公司全资子公司</w:t>
            </w:r>
          </w:p>
        </w:tc>
      </w:tr>
      <w:tr w:rsidR="001D26E7" w:rsidRPr="00F614F9" w14:paraId="7B3B0FB8"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1A5DF74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湖北龙大</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1E4AD5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5CDBE70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湖北龙大肉食品有限公司，本公司全资子公司</w:t>
            </w:r>
          </w:p>
        </w:tc>
      </w:tr>
      <w:tr w:rsidR="001D26E7" w:rsidRPr="00F614F9" w14:paraId="5A20747D"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23D702A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成都龙大</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A8E720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15B84AF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成都龙大肉食品有限公司，本公司全资子公司</w:t>
            </w:r>
          </w:p>
        </w:tc>
      </w:tr>
      <w:tr w:rsidR="001D26E7" w:rsidRPr="00F614F9" w14:paraId="5BD97B4F"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2A21D74C"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龙鲜生</w:t>
            </w:r>
            <w:proofErr w:type="gramEnd"/>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F4D4A0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031F1E4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w:t>
            </w:r>
            <w:proofErr w:type="gramStart"/>
            <w:r w:rsidRPr="00F614F9">
              <w:rPr>
                <w:rFonts w:ascii="Times New Roman" w:eastAsia="宋体" w:hAnsi="Times New Roman" w:cs="宋体"/>
                <w:sz w:val="18"/>
                <w:szCs w:val="18"/>
              </w:rPr>
              <w:t>龙鲜生供应</w:t>
            </w:r>
            <w:proofErr w:type="gramEnd"/>
            <w:r w:rsidRPr="00F614F9">
              <w:rPr>
                <w:rFonts w:ascii="Times New Roman" w:eastAsia="宋体" w:hAnsi="Times New Roman" w:cs="宋体"/>
                <w:sz w:val="18"/>
                <w:szCs w:val="18"/>
              </w:rPr>
              <w:t>链管理有限公司，本公司全资子公司</w:t>
            </w:r>
          </w:p>
        </w:tc>
      </w:tr>
      <w:tr w:rsidR="001D26E7" w:rsidRPr="00F614F9" w14:paraId="761FA8FD"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415C66A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中国证监会</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0DB2D8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436E362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中国证券监督管理委员会</w:t>
            </w:r>
          </w:p>
        </w:tc>
      </w:tr>
      <w:tr w:rsidR="001D26E7" w:rsidRPr="00F614F9" w14:paraId="79F99EBA"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37A2EEA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0AADA3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3582E78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日至</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31</w:t>
            </w:r>
            <w:r w:rsidRPr="00F614F9">
              <w:rPr>
                <w:rFonts w:ascii="Times New Roman" w:eastAsia="宋体" w:hAnsi="Times New Roman" w:cs="宋体"/>
                <w:sz w:val="18"/>
                <w:szCs w:val="18"/>
              </w:rPr>
              <w:t>日</w:t>
            </w:r>
          </w:p>
        </w:tc>
      </w:tr>
      <w:tr w:rsidR="001D26E7" w:rsidRPr="00F614F9" w14:paraId="4BADE356" w14:textId="77777777" w:rsidTr="00FD203B">
        <w:trPr>
          <w:trHeight w:val="240"/>
        </w:trPr>
        <w:tc>
          <w:tcPr>
            <w:tcW w:w="2583" w:type="dxa"/>
            <w:tcBorders>
              <w:top w:val="single" w:sz="2" w:space="0" w:color="auto"/>
              <w:left w:val="single" w:sz="2" w:space="0" w:color="auto"/>
              <w:bottom w:val="single" w:sz="2" w:space="0" w:color="auto"/>
              <w:right w:val="single" w:sz="2" w:space="0" w:color="auto"/>
            </w:tcBorders>
            <w:vAlign w:val="center"/>
          </w:tcPr>
          <w:p w14:paraId="784B4C1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元、万元</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BB203C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w:t>
            </w:r>
          </w:p>
        </w:tc>
        <w:tc>
          <w:tcPr>
            <w:tcW w:w="5922" w:type="dxa"/>
            <w:tcBorders>
              <w:top w:val="single" w:sz="2" w:space="0" w:color="auto"/>
              <w:left w:val="single" w:sz="2" w:space="0" w:color="auto"/>
              <w:bottom w:val="single" w:sz="2" w:space="0" w:color="auto"/>
              <w:right w:val="single" w:sz="2" w:space="0" w:color="auto"/>
            </w:tcBorders>
            <w:vAlign w:val="center"/>
          </w:tcPr>
          <w:p w14:paraId="7749221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人民币元、万元</w:t>
            </w:r>
          </w:p>
        </w:tc>
      </w:tr>
    </w:tbl>
    <w:p w14:paraId="68F73461" w14:textId="77777777" w:rsidR="001D26E7" w:rsidRPr="00F614F9" w:rsidRDefault="00000000">
      <w:pPr>
        <w:rPr>
          <w:rFonts w:ascii="Times New Roman" w:hAnsi="Times New Roman"/>
        </w:rPr>
      </w:pPr>
      <w:r w:rsidRPr="00F614F9">
        <w:rPr>
          <w:rFonts w:ascii="Times New Roman" w:hAnsi="Times New Roman"/>
        </w:rPr>
        <w:br w:type="page"/>
      </w:r>
    </w:p>
    <w:p w14:paraId="6EA15AC8" w14:textId="77777777" w:rsidR="001D26E7" w:rsidRPr="00F614F9" w:rsidRDefault="00000000">
      <w:pPr>
        <w:pStyle w:val="headingh1"/>
        <w:spacing w:before="340" w:after="330" w:line="773" w:lineRule="exact"/>
        <w:jc w:val="center"/>
        <w:rPr>
          <w:rFonts w:ascii="Times New Roman" w:eastAsia="宋体" w:hAnsi="Times New Roman" w:cs="宋体"/>
          <w:b/>
          <w:bCs/>
          <w:sz w:val="32"/>
          <w:szCs w:val="32"/>
        </w:rPr>
      </w:pPr>
      <w:bookmarkStart w:id="1" w:name="_Toc164024744"/>
      <w:r w:rsidRPr="00F614F9">
        <w:rPr>
          <w:rFonts w:ascii="Times New Roman" w:eastAsia="宋体" w:hAnsi="Times New Roman" w:cs="宋体"/>
          <w:b/>
          <w:bCs/>
          <w:sz w:val="32"/>
          <w:szCs w:val="32"/>
        </w:rPr>
        <w:lastRenderedPageBreak/>
        <w:t>第二节</w:t>
      </w:r>
      <w:r w:rsidRPr="00F614F9">
        <w:rPr>
          <w:rFonts w:ascii="Times New Roman" w:eastAsia="宋体" w:hAnsi="Times New Roman" w:cs="宋体"/>
          <w:b/>
          <w:bCs/>
          <w:sz w:val="32"/>
          <w:szCs w:val="32"/>
        </w:rPr>
        <w:t xml:space="preserve"> </w:t>
      </w:r>
      <w:r w:rsidRPr="00F614F9">
        <w:rPr>
          <w:rFonts w:ascii="Times New Roman" w:eastAsia="宋体" w:hAnsi="Times New Roman" w:cs="宋体"/>
          <w:b/>
          <w:bCs/>
          <w:sz w:val="32"/>
          <w:szCs w:val="32"/>
        </w:rPr>
        <w:t>公司简介和主要财务指标</w:t>
      </w:r>
      <w:bookmarkEnd w:id="1"/>
    </w:p>
    <w:p w14:paraId="3F2499ED"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2" w:name="_Toc988891"/>
      <w:bookmarkStart w:id="3" w:name="_Toc164024745"/>
      <w:r w:rsidRPr="00F614F9">
        <w:rPr>
          <w:rFonts w:ascii="Times New Roman" w:eastAsia="宋体" w:hAnsi="Times New Roman" w:cs="宋体"/>
          <w:b/>
          <w:bCs/>
          <w:sz w:val="24"/>
          <w:szCs w:val="24"/>
        </w:rPr>
        <w:t>一、公司信息</w:t>
      </w:r>
      <w:bookmarkEnd w:id="2"/>
      <w:bookmarkEnd w:id="3"/>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1D26E7" w:rsidRPr="00F614F9" w14:paraId="59A9793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A31E8E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股票简称</w:t>
            </w:r>
          </w:p>
        </w:tc>
        <w:tc>
          <w:tcPr>
            <w:tcW w:w="2410" w:type="dxa"/>
            <w:tcBorders>
              <w:top w:val="single" w:sz="2" w:space="0" w:color="auto"/>
              <w:left w:val="single" w:sz="2" w:space="0" w:color="auto"/>
              <w:bottom w:val="single" w:sz="2" w:space="0" w:color="auto"/>
              <w:right w:val="single" w:sz="2" w:space="0" w:color="auto"/>
            </w:tcBorders>
            <w:vAlign w:val="center"/>
          </w:tcPr>
          <w:p w14:paraId="67C0843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龙大美食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F9C0DF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股票代码</w:t>
            </w:r>
          </w:p>
        </w:tc>
        <w:tc>
          <w:tcPr>
            <w:tcW w:w="2410" w:type="dxa"/>
            <w:tcBorders>
              <w:top w:val="single" w:sz="2" w:space="0" w:color="auto"/>
              <w:left w:val="single" w:sz="2" w:space="0" w:color="auto"/>
              <w:bottom w:val="single" w:sz="2" w:space="0" w:color="auto"/>
              <w:right w:val="single" w:sz="2" w:space="0" w:color="auto"/>
            </w:tcBorders>
            <w:vAlign w:val="center"/>
          </w:tcPr>
          <w:p w14:paraId="00D07F1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002726</w:t>
            </w:r>
          </w:p>
        </w:tc>
      </w:tr>
      <w:tr w:rsidR="001D26E7" w:rsidRPr="00F614F9" w14:paraId="6984739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59B17B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变更前的股票简称（如有）</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39EA387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公司股票简称于</w:t>
            </w: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24</w:t>
            </w:r>
            <w:r w:rsidRPr="00F614F9">
              <w:rPr>
                <w:rFonts w:ascii="Times New Roman" w:eastAsia="宋体" w:hAnsi="Times New Roman" w:cs="宋体"/>
                <w:sz w:val="18"/>
                <w:szCs w:val="18"/>
              </w:rPr>
              <w:t>日由</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龙大肉食</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变更为</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龙大美食</w:t>
            </w:r>
            <w:r w:rsidRPr="00F614F9">
              <w:rPr>
                <w:rFonts w:ascii="Times New Roman" w:eastAsia="宋体" w:hAnsi="Times New Roman" w:cs="宋体"/>
                <w:sz w:val="18"/>
                <w:szCs w:val="18"/>
              </w:rPr>
              <w:t>”</w:t>
            </w:r>
          </w:p>
        </w:tc>
      </w:tr>
      <w:tr w:rsidR="001D26E7" w:rsidRPr="00F614F9" w14:paraId="2479DFE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9540DB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股票上市证券交易所</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489F5B2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深圳证券交易所</w:t>
            </w:r>
          </w:p>
        </w:tc>
      </w:tr>
      <w:tr w:rsidR="001D26E7" w:rsidRPr="00F614F9" w14:paraId="6464292E"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28FAC3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公司的中文名称</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0CCE60C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山东龙大美食股份有限公司</w:t>
            </w:r>
          </w:p>
        </w:tc>
      </w:tr>
      <w:tr w:rsidR="001D26E7" w:rsidRPr="00F614F9" w14:paraId="2A70315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18CB6F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公司的中文简称</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3E53A86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龙大美食</w:t>
            </w:r>
          </w:p>
        </w:tc>
      </w:tr>
      <w:tr w:rsidR="001D26E7" w:rsidRPr="00F614F9" w14:paraId="7E42EB8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D2199B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公司的外文名称（如有）</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7D13DE4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 xml:space="preserve">Shandong </w:t>
            </w:r>
            <w:proofErr w:type="spellStart"/>
            <w:r w:rsidRPr="00F614F9">
              <w:rPr>
                <w:rFonts w:ascii="Times New Roman" w:eastAsia="宋体" w:hAnsi="Times New Roman" w:cs="宋体"/>
                <w:sz w:val="18"/>
                <w:szCs w:val="18"/>
              </w:rPr>
              <w:t>Longda</w:t>
            </w:r>
            <w:proofErr w:type="spellEnd"/>
            <w:r w:rsidRPr="00F614F9">
              <w:rPr>
                <w:rFonts w:ascii="Times New Roman" w:eastAsia="宋体" w:hAnsi="Times New Roman" w:cs="宋体"/>
                <w:sz w:val="18"/>
                <w:szCs w:val="18"/>
              </w:rPr>
              <w:t xml:space="preserve"> </w:t>
            </w:r>
            <w:proofErr w:type="spellStart"/>
            <w:r w:rsidRPr="00F614F9">
              <w:rPr>
                <w:rFonts w:ascii="Times New Roman" w:eastAsia="宋体" w:hAnsi="Times New Roman" w:cs="宋体"/>
                <w:sz w:val="18"/>
                <w:szCs w:val="18"/>
              </w:rPr>
              <w:t>Meishi</w:t>
            </w:r>
            <w:proofErr w:type="spellEnd"/>
            <w:r w:rsidRPr="00F614F9">
              <w:rPr>
                <w:rFonts w:ascii="Times New Roman" w:eastAsia="宋体" w:hAnsi="Times New Roman" w:cs="宋体"/>
                <w:sz w:val="18"/>
                <w:szCs w:val="18"/>
              </w:rPr>
              <w:t xml:space="preserve"> </w:t>
            </w:r>
            <w:proofErr w:type="spellStart"/>
            <w:proofErr w:type="gramStart"/>
            <w:r w:rsidRPr="00F614F9">
              <w:rPr>
                <w:rFonts w:ascii="Times New Roman" w:eastAsia="宋体" w:hAnsi="Times New Roman" w:cs="宋体"/>
                <w:sz w:val="18"/>
                <w:szCs w:val="18"/>
              </w:rPr>
              <w:t>CO.,Ltd</w:t>
            </w:r>
            <w:proofErr w:type="spellEnd"/>
            <w:r w:rsidRPr="00F614F9">
              <w:rPr>
                <w:rFonts w:ascii="Times New Roman" w:eastAsia="宋体" w:hAnsi="Times New Roman" w:cs="宋体"/>
                <w:sz w:val="18"/>
                <w:szCs w:val="18"/>
              </w:rPr>
              <w:t>.</w:t>
            </w:r>
            <w:proofErr w:type="gramEnd"/>
          </w:p>
        </w:tc>
      </w:tr>
      <w:tr w:rsidR="001D26E7" w:rsidRPr="00F614F9" w14:paraId="6E22898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851D08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公司的外文名称缩写（如有）</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25BA10C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LONGDA</w:t>
            </w:r>
          </w:p>
        </w:tc>
      </w:tr>
      <w:tr w:rsidR="001D26E7" w:rsidRPr="00F614F9" w14:paraId="24392C6F"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E037EE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公司的法定代表人</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2727281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杨晓初</w:t>
            </w:r>
          </w:p>
        </w:tc>
      </w:tr>
      <w:tr w:rsidR="001D26E7" w:rsidRPr="00F614F9" w14:paraId="1DD9FA9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06A556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注册地址</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4A5AF0F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山东省莱阳市食品工业园区</w:t>
            </w:r>
          </w:p>
        </w:tc>
      </w:tr>
      <w:tr w:rsidR="001D26E7" w:rsidRPr="00F614F9" w14:paraId="4D5EC74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E6F065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注册地址的邮政编码</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1452F3C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265200</w:t>
            </w:r>
          </w:p>
        </w:tc>
      </w:tr>
      <w:tr w:rsidR="001D26E7" w:rsidRPr="00F614F9" w14:paraId="7A9D44A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8109CA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公司注册地址历史变更情况</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4057928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05E90C0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E5F549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办公地址</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2A3D1F5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山东省莱阳市龙门东路</w:t>
            </w:r>
            <w:r w:rsidRPr="00F614F9">
              <w:rPr>
                <w:rFonts w:ascii="Times New Roman" w:eastAsia="宋体" w:hAnsi="Times New Roman" w:cs="宋体"/>
                <w:sz w:val="18"/>
                <w:szCs w:val="18"/>
              </w:rPr>
              <w:t>99</w:t>
            </w:r>
            <w:r w:rsidRPr="00F614F9">
              <w:rPr>
                <w:rFonts w:ascii="Times New Roman" w:eastAsia="宋体" w:hAnsi="Times New Roman" w:cs="宋体"/>
                <w:sz w:val="18"/>
                <w:szCs w:val="18"/>
              </w:rPr>
              <w:t>号</w:t>
            </w:r>
          </w:p>
        </w:tc>
      </w:tr>
      <w:tr w:rsidR="001D26E7" w:rsidRPr="00F614F9" w14:paraId="5314F91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87F28D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办公地址的邮政编码</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214E476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265200</w:t>
            </w:r>
          </w:p>
        </w:tc>
      </w:tr>
      <w:tr w:rsidR="001D26E7" w:rsidRPr="00F614F9" w14:paraId="505142A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6A5425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公司网址</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6CF00DE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www.longdameishi.com</w:t>
            </w:r>
          </w:p>
        </w:tc>
      </w:tr>
      <w:tr w:rsidR="001D26E7" w:rsidRPr="00F614F9" w14:paraId="62B084E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8762F3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电子信箱</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48FE668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zqb@longdameishi.com</w:t>
            </w:r>
          </w:p>
        </w:tc>
      </w:tr>
    </w:tbl>
    <w:p w14:paraId="28E6E09E"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4" w:name="_Toc988892"/>
      <w:bookmarkStart w:id="5" w:name="_Toc164024746"/>
      <w:r w:rsidRPr="00F614F9">
        <w:rPr>
          <w:rFonts w:ascii="Times New Roman" w:eastAsia="宋体" w:hAnsi="Times New Roman" w:cs="宋体"/>
          <w:b/>
          <w:bCs/>
          <w:sz w:val="24"/>
          <w:szCs w:val="24"/>
        </w:rPr>
        <w:t>二、联系人和联系方式</w:t>
      </w:r>
      <w:bookmarkEnd w:id="4"/>
      <w:bookmarkEnd w:id="5"/>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162411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43D34F"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0E433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董事会秘书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361DD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证券事务代表</w:t>
            </w:r>
          </w:p>
        </w:tc>
      </w:tr>
      <w:tr w:rsidR="001D26E7" w:rsidRPr="00F614F9" w14:paraId="2BACF6E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CDDA8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姓名</w:t>
            </w:r>
          </w:p>
        </w:tc>
        <w:tc>
          <w:tcPr>
            <w:tcW w:w="3213" w:type="dxa"/>
            <w:tcBorders>
              <w:top w:val="single" w:sz="2" w:space="0" w:color="auto"/>
              <w:left w:val="single" w:sz="2" w:space="0" w:color="auto"/>
              <w:bottom w:val="single" w:sz="2" w:space="0" w:color="auto"/>
              <w:right w:val="single" w:sz="2" w:space="0" w:color="auto"/>
            </w:tcBorders>
            <w:vAlign w:val="center"/>
          </w:tcPr>
          <w:p w14:paraId="74440F1A" w14:textId="77777777" w:rsidR="001D26E7" w:rsidRPr="00F614F9" w:rsidRDefault="00000000" w:rsidP="00FD203B">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张瑞</w:t>
            </w:r>
          </w:p>
        </w:tc>
        <w:tc>
          <w:tcPr>
            <w:tcW w:w="3213" w:type="dxa"/>
            <w:tcBorders>
              <w:top w:val="single" w:sz="2" w:space="0" w:color="auto"/>
              <w:left w:val="single" w:sz="2" w:space="0" w:color="auto"/>
              <w:bottom w:val="single" w:sz="2" w:space="0" w:color="auto"/>
              <w:right w:val="single" w:sz="2" w:space="0" w:color="auto"/>
            </w:tcBorders>
            <w:vAlign w:val="center"/>
          </w:tcPr>
          <w:p w14:paraId="720457E6" w14:textId="77777777" w:rsidR="001D26E7" w:rsidRPr="00F614F9" w:rsidRDefault="00000000" w:rsidP="00FD203B">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彭威</w:t>
            </w:r>
          </w:p>
        </w:tc>
      </w:tr>
      <w:tr w:rsidR="001D26E7" w:rsidRPr="00F614F9" w14:paraId="3600081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881E5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联系地址</w:t>
            </w:r>
          </w:p>
        </w:tc>
        <w:tc>
          <w:tcPr>
            <w:tcW w:w="3213" w:type="dxa"/>
            <w:tcBorders>
              <w:top w:val="single" w:sz="2" w:space="0" w:color="auto"/>
              <w:left w:val="single" w:sz="2" w:space="0" w:color="auto"/>
              <w:bottom w:val="single" w:sz="2" w:space="0" w:color="auto"/>
              <w:right w:val="single" w:sz="2" w:space="0" w:color="auto"/>
            </w:tcBorders>
            <w:vAlign w:val="center"/>
          </w:tcPr>
          <w:p w14:paraId="720081BC" w14:textId="77777777" w:rsidR="001D26E7" w:rsidRPr="00F614F9" w:rsidRDefault="00000000" w:rsidP="00FD203B">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山东省莱阳市龙门东路</w:t>
            </w:r>
            <w:r w:rsidRPr="00F614F9">
              <w:rPr>
                <w:rFonts w:ascii="Times New Roman" w:eastAsia="宋体" w:hAnsi="Times New Roman" w:cs="宋体"/>
                <w:sz w:val="18"/>
                <w:szCs w:val="18"/>
              </w:rPr>
              <w:t>99</w:t>
            </w:r>
            <w:r w:rsidRPr="00F614F9">
              <w:rPr>
                <w:rFonts w:ascii="Times New Roman" w:eastAsia="宋体" w:hAnsi="Times New Roman" w:cs="宋体"/>
                <w:sz w:val="18"/>
                <w:szCs w:val="18"/>
              </w:rPr>
              <w:t>号</w:t>
            </w:r>
          </w:p>
        </w:tc>
        <w:tc>
          <w:tcPr>
            <w:tcW w:w="3213" w:type="dxa"/>
            <w:tcBorders>
              <w:top w:val="single" w:sz="2" w:space="0" w:color="auto"/>
              <w:left w:val="single" w:sz="2" w:space="0" w:color="auto"/>
              <w:bottom w:val="single" w:sz="2" w:space="0" w:color="auto"/>
              <w:right w:val="single" w:sz="2" w:space="0" w:color="auto"/>
            </w:tcBorders>
            <w:vAlign w:val="center"/>
          </w:tcPr>
          <w:p w14:paraId="187E07DA" w14:textId="77777777" w:rsidR="001D26E7" w:rsidRPr="00F614F9" w:rsidRDefault="00000000" w:rsidP="00FD203B">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山东省莱阳市龙门东路</w:t>
            </w:r>
            <w:r w:rsidRPr="00F614F9">
              <w:rPr>
                <w:rFonts w:ascii="Times New Roman" w:eastAsia="宋体" w:hAnsi="Times New Roman" w:cs="宋体"/>
                <w:sz w:val="18"/>
                <w:szCs w:val="18"/>
              </w:rPr>
              <w:t>99</w:t>
            </w:r>
            <w:r w:rsidRPr="00F614F9">
              <w:rPr>
                <w:rFonts w:ascii="Times New Roman" w:eastAsia="宋体" w:hAnsi="Times New Roman" w:cs="宋体"/>
                <w:sz w:val="18"/>
                <w:szCs w:val="18"/>
              </w:rPr>
              <w:t>号</w:t>
            </w:r>
          </w:p>
        </w:tc>
      </w:tr>
      <w:tr w:rsidR="001D26E7" w:rsidRPr="00F614F9" w14:paraId="5BDBD7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4348A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电话</w:t>
            </w:r>
          </w:p>
        </w:tc>
        <w:tc>
          <w:tcPr>
            <w:tcW w:w="3213" w:type="dxa"/>
            <w:tcBorders>
              <w:top w:val="single" w:sz="2" w:space="0" w:color="auto"/>
              <w:left w:val="single" w:sz="2" w:space="0" w:color="auto"/>
              <w:bottom w:val="single" w:sz="2" w:space="0" w:color="auto"/>
              <w:right w:val="single" w:sz="2" w:space="0" w:color="auto"/>
            </w:tcBorders>
            <w:vAlign w:val="center"/>
          </w:tcPr>
          <w:p w14:paraId="4246F088" w14:textId="77777777" w:rsidR="001D26E7" w:rsidRPr="00F614F9" w:rsidRDefault="00000000" w:rsidP="00FD203B">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0535-7717760</w:t>
            </w:r>
          </w:p>
        </w:tc>
        <w:tc>
          <w:tcPr>
            <w:tcW w:w="3213" w:type="dxa"/>
            <w:tcBorders>
              <w:top w:val="single" w:sz="2" w:space="0" w:color="auto"/>
              <w:left w:val="single" w:sz="2" w:space="0" w:color="auto"/>
              <w:bottom w:val="single" w:sz="2" w:space="0" w:color="auto"/>
              <w:right w:val="single" w:sz="2" w:space="0" w:color="auto"/>
            </w:tcBorders>
            <w:vAlign w:val="center"/>
          </w:tcPr>
          <w:p w14:paraId="36865E49" w14:textId="77777777" w:rsidR="001D26E7" w:rsidRPr="00F614F9" w:rsidRDefault="00000000" w:rsidP="00FD203B">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0535-7717760</w:t>
            </w:r>
          </w:p>
        </w:tc>
      </w:tr>
      <w:tr w:rsidR="001D26E7" w:rsidRPr="00F614F9" w14:paraId="05464B8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F7B54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传真</w:t>
            </w:r>
          </w:p>
        </w:tc>
        <w:tc>
          <w:tcPr>
            <w:tcW w:w="3213" w:type="dxa"/>
            <w:tcBorders>
              <w:top w:val="single" w:sz="2" w:space="0" w:color="auto"/>
              <w:left w:val="single" w:sz="2" w:space="0" w:color="auto"/>
              <w:bottom w:val="single" w:sz="2" w:space="0" w:color="auto"/>
              <w:right w:val="single" w:sz="2" w:space="0" w:color="auto"/>
            </w:tcBorders>
            <w:vAlign w:val="center"/>
          </w:tcPr>
          <w:p w14:paraId="08F158C1" w14:textId="77777777" w:rsidR="001D26E7" w:rsidRPr="00F614F9" w:rsidRDefault="00000000" w:rsidP="00FD203B">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0535-7717337</w:t>
            </w:r>
          </w:p>
        </w:tc>
        <w:tc>
          <w:tcPr>
            <w:tcW w:w="3213" w:type="dxa"/>
            <w:tcBorders>
              <w:top w:val="single" w:sz="2" w:space="0" w:color="auto"/>
              <w:left w:val="single" w:sz="2" w:space="0" w:color="auto"/>
              <w:bottom w:val="single" w:sz="2" w:space="0" w:color="auto"/>
              <w:right w:val="single" w:sz="2" w:space="0" w:color="auto"/>
            </w:tcBorders>
            <w:vAlign w:val="center"/>
          </w:tcPr>
          <w:p w14:paraId="2DE6AB4C" w14:textId="77777777" w:rsidR="001D26E7" w:rsidRPr="00F614F9" w:rsidRDefault="00000000" w:rsidP="00FD203B">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0535-7717337</w:t>
            </w:r>
          </w:p>
        </w:tc>
      </w:tr>
      <w:tr w:rsidR="001D26E7" w:rsidRPr="00F614F9" w14:paraId="73DCCC0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CBD6A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电子信箱</w:t>
            </w:r>
          </w:p>
        </w:tc>
        <w:tc>
          <w:tcPr>
            <w:tcW w:w="3213" w:type="dxa"/>
            <w:tcBorders>
              <w:top w:val="single" w:sz="2" w:space="0" w:color="auto"/>
              <w:left w:val="single" w:sz="2" w:space="0" w:color="auto"/>
              <w:bottom w:val="single" w:sz="2" w:space="0" w:color="auto"/>
              <w:right w:val="single" w:sz="2" w:space="0" w:color="auto"/>
            </w:tcBorders>
            <w:vAlign w:val="center"/>
          </w:tcPr>
          <w:p w14:paraId="4AF78EE0" w14:textId="77777777" w:rsidR="001D26E7" w:rsidRPr="00F614F9" w:rsidRDefault="00000000" w:rsidP="00FD203B">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zqb@longdameishi.com</w:t>
            </w:r>
          </w:p>
        </w:tc>
        <w:tc>
          <w:tcPr>
            <w:tcW w:w="3213" w:type="dxa"/>
            <w:tcBorders>
              <w:top w:val="single" w:sz="2" w:space="0" w:color="auto"/>
              <w:left w:val="single" w:sz="2" w:space="0" w:color="auto"/>
              <w:bottom w:val="single" w:sz="2" w:space="0" w:color="auto"/>
              <w:right w:val="single" w:sz="2" w:space="0" w:color="auto"/>
            </w:tcBorders>
            <w:vAlign w:val="center"/>
          </w:tcPr>
          <w:p w14:paraId="16311419" w14:textId="77777777" w:rsidR="001D26E7" w:rsidRPr="00F614F9" w:rsidRDefault="00000000" w:rsidP="00FD203B">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zqb@longdameishi.com</w:t>
            </w:r>
          </w:p>
        </w:tc>
      </w:tr>
    </w:tbl>
    <w:p w14:paraId="788D5880"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6" w:name="_Toc988893"/>
      <w:bookmarkStart w:id="7" w:name="_Toc164024747"/>
      <w:r w:rsidRPr="00F614F9">
        <w:rPr>
          <w:rFonts w:ascii="Times New Roman" w:eastAsia="宋体" w:hAnsi="Times New Roman" w:cs="宋体"/>
          <w:b/>
          <w:bCs/>
          <w:sz w:val="24"/>
          <w:szCs w:val="24"/>
        </w:rPr>
        <w:t>三、信息披露及备置地点</w:t>
      </w:r>
      <w:bookmarkEnd w:id="6"/>
      <w:bookmarkEnd w:id="7"/>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1D26E7" w:rsidRPr="00F614F9" w14:paraId="62F39F1B"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1892CD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公司披露年度报告的证券交易所网站</w:t>
            </w:r>
          </w:p>
        </w:tc>
        <w:tc>
          <w:tcPr>
            <w:tcW w:w="4820" w:type="dxa"/>
            <w:tcBorders>
              <w:top w:val="single" w:sz="2" w:space="0" w:color="auto"/>
              <w:left w:val="single" w:sz="2" w:space="0" w:color="auto"/>
              <w:bottom w:val="single" w:sz="2" w:space="0" w:color="auto"/>
              <w:right w:val="single" w:sz="2" w:space="0" w:color="auto"/>
            </w:tcBorders>
            <w:vAlign w:val="center"/>
          </w:tcPr>
          <w:p w14:paraId="668A4E8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《证券时报》《中国证券报》《上海证券报》《证券日报》</w:t>
            </w:r>
          </w:p>
        </w:tc>
      </w:tr>
      <w:tr w:rsidR="001D26E7" w:rsidRPr="00F614F9" w14:paraId="1B7B3F58"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72BB7A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公司披露年度报告的媒体名称及网址</w:t>
            </w:r>
          </w:p>
        </w:tc>
        <w:tc>
          <w:tcPr>
            <w:tcW w:w="4820" w:type="dxa"/>
            <w:tcBorders>
              <w:top w:val="single" w:sz="2" w:space="0" w:color="auto"/>
              <w:left w:val="single" w:sz="2" w:space="0" w:color="auto"/>
              <w:bottom w:val="single" w:sz="2" w:space="0" w:color="auto"/>
              <w:right w:val="single" w:sz="2" w:space="0" w:color="auto"/>
            </w:tcBorders>
            <w:vAlign w:val="center"/>
          </w:tcPr>
          <w:p w14:paraId="2330A01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www.cninfo.com.cn</w:t>
            </w:r>
          </w:p>
        </w:tc>
      </w:tr>
      <w:tr w:rsidR="001D26E7" w:rsidRPr="00F614F9" w14:paraId="575943F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239DF6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公司年度报告备置地点</w:t>
            </w:r>
          </w:p>
        </w:tc>
        <w:tc>
          <w:tcPr>
            <w:tcW w:w="4820" w:type="dxa"/>
            <w:tcBorders>
              <w:top w:val="single" w:sz="2" w:space="0" w:color="auto"/>
              <w:left w:val="single" w:sz="2" w:space="0" w:color="auto"/>
              <w:bottom w:val="single" w:sz="2" w:space="0" w:color="auto"/>
              <w:right w:val="single" w:sz="2" w:space="0" w:color="auto"/>
            </w:tcBorders>
            <w:vAlign w:val="center"/>
          </w:tcPr>
          <w:p w14:paraId="613C0A0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山东省莱阳市龙门东路</w:t>
            </w:r>
            <w:r w:rsidRPr="00F614F9">
              <w:rPr>
                <w:rFonts w:ascii="Times New Roman" w:eastAsia="宋体" w:hAnsi="Times New Roman" w:cs="宋体"/>
                <w:sz w:val="18"/>
                <w:szCs w:val="18"/>
              </w:rPr>
              <w:t>99</w:t>
            </w:r>
            <w:r w:rsidRPr="00F614F9">
              <w:rPr>
                <w:rFonts w:ascii="Times New Roman" w:eastAsia="宋体" w:hAnsi="Times New Roman" w:cs="宋体"/>
                <w:sz w:val="18"/>
                <w:szCs w:val="18"/>
              </w:rPr>
              <w:t>号公司证券部</w:t>
            </w:r>
          </w:p>
        </w:tc>
      </w:tr>
    </w:tbl>
    <w:p w14:paraId="16917F5A"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8" w:name="_Toc988894"/>
      <w:bookmarkStart w:id="9" w:name="_Toc164024748"/>
      <w:r w:rsidRPr="00F614F9">
        <w:rPr>
          <w:rFonts w:ascii="Times New Roman" w:eastAsia="宋体" w:hAnsi="Times New Roman" w:cs="宋体"/>
          <w:b/>
          <w:bCs/>
          <w:sz w:val="24"/>
          <w:szCs w:val="24"/>
        </w:rPr>
        <w:t>四、注册变更情况</w:t>
      </w:r>
      <w:bookmarkEnd w:id="8"/>
      <w:bookmarkEnd w:id="9"/>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1D26E7" w:rsidRPr="00F614F9" w14:paraId="3FEBFCD0"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6CF55A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统一社会信用代码</w:t>
            </w:r>
          </w:p>
        </w:tc>
        <w:tc>
          <w:tcPr>
            <w:tcW w:w="4820" w:type="dxa"/>
            <w:tcBorders>
              <w:top w:val="single" w:sz="2" w:space="0" w:color="auto"/>
              <w:left w:val="single" w:sz="2" w:space="0" w:color="auto"/>
              <w:bottom w:val="single" w:sz="2" w:space="0" w:color="auto"/>
              <w:right w:val="single" w:sz="2" w:space="0" w:color="auto"/>
            </w:tcBorders>
            <w:vAlign w:val="center"/>
          </w:tcPr>
          <w:p w14:paraId="3B156C6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913700007591559056</w:t>
            </w:r>
          </w:p>
        </w:tc>
      </w:tr>
      <w:tr w:rsidR="001D26E7" w:rsidRPr="00F614F9" w14:paraId="5576E4A7"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B4E922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公司上市以来主营业务的变化情况（如有）</w:t>
            </w:r>
          </w:p>
        </w:tc>
        <w:tc>
          <w:tcPr>
            <w:tcW w:w="4820" w:type="dxa"/>
            <w:tcBorders>
              <w:top w:val="single" w:sz="2" w:space="0" w:color="auto"/>
              <w:left w:val="single" w:sz="2" w:space="0" w:color="auto"/>
              <w:bottom w:val="single" w:sz="2" w:space="0" w:color="auto"/>
              <w:right w:val="single" w:sz="2" w:space="0" w:color="auto"/>
            </w:tcBorders>
            <w:vAlign w:val="center"/>
          </w:tcPr>
          <w:p w14:paraId="7049ACC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无变更</w:t>
            </w:r>
          </w:p>
        </w:tc>
      </w:tr>
      <w:tr w:rsidR="001D26E7" w:rsidRPr="00F614F9" w14:paraId="3DFE7C75"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D2EACB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历次控股股东的变更情况（如有）</w:t>
            </w:r>
          </w:p>
        </w:tc>
        <w:tc>
          <w:tcPr>
            <w:tcW w:w="4820" w:type="dxa"/>
            <w:tcBorders>
              <w:top w:val="single" w:sz="2" w:space="0" w:color="auto"/>
              <w:left w:val="single" w:sz="2" w:space="0" w:color="auto"/>
              <w:bottom w:val="single" w:sz="2" w:space="0" w:color="auto"/>
              <w:right w:val="single" w:sz="2" w:space="0" w:color="auto"/>
            </w:tcBorders>
            <w:vAlign w:val="center"/>
          </w:tcPr>
          <w:p w14:paraId="12A4BE5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2019</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23</w:t>
            </w:r>
            <w:r w:rsidRPr="00F614F9">
              <w:rPr>
                <w:rFonts w:ascii="Times New Roman" w:eastAsia="宋体" w:hAnsi="Times New Roman" w:cs="宋体"/>
                <w:sz w:val="18"/>
                <w:szCs w:val="18"/>
              </w:rPr>
              <w:t>日，龙大集团与蓝润发展签署《股份转让协议》，龙大集团拟转让其所持公司</w:t>
            </w:r>
            <w:r w:rsidRPr="00F614F9">
              <w:rPr>
                <w:rFonts w:ascii="Times New Roman" w:eastAsia="宋体" w:hAnsi="Times New Roman" w:cs="宋体"/>
                <w:sz w:val="18"/>
                <w:szCs w:val="18"/>
              </w:rPr>
              <w:t>74,856,800</w:t>
            </w:r>
            <w:r w:rsidRPr="00F614F9">
              <w:rPr>
                <w:rFonts w:ascii="Times New Roman" w:eastAsia="宋体" w:hAnsi="Times New Roman" w:cs="宋体"/>
                <w:sz w:val="18"/>
                <w:szCs w:val="18"/>
              </w:rPr>
              <w:t>股无限</w:t>
            </w:r>
            <w:proofErr w:type="gramStart"/>
            <w:r w:rsidRPr="00F614F9">
              <w:rPr>
                <w:rFonts w:ascii="Times New Roman" w:eastAsia="宋体" w:hAnsi="Times New Roman" w:cs="宋体"/>
                <w:sz w:val="18"/>
                <w:szCs w:val="18"/>
              </w:rPr>
              <w:t>售流通</w:t>
            </w:r>
            <w:proofErr w:type="gramEnd"/>
            <w:r w:rsidRPr="00F614F9">
              <w:rPr>
                <w:rFonts w:ascii="Times New Roman" w:eastAsia="宋体" w:hAnsi="Times New Roman" w:cs="宋体"/>
                <w:sz w:val="18"/>
                <w:szCs w:val="18"/>
              </w:rPr>
              <w:t>股</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占公司总股本的</w:t>
            </w:r>
            <w:r w:rsidRPr="00F614F9">
              <w:rPr>
                <w:rFonts w:ascii="Times New Roman" w:eastAsia="宋体" w:hAnsi="Times New Roman" w:cs="宋体"/>
                <w:sz w:val="18"/>
                <w:szCs w:val="18"/>
              </w:rPr>
              <w:t>9.91%)</w:t>
            </w:r>
            <w:r w:rsidRPr="00F614F9">
              <w:rPr>
                <w:rFonts w:ascii="Times New Roman" w:eastAsia="宋体" w:hAnsi="Times New Roman" w:cs="宋体"/>
                <w:sz w:val="18"/>
                <w:szCs w:val="18"/>
              </w:rPr>
              <w:t>给蓝润发展。</w:t>
            </w:r>
          </w:p>
          <w:p w14:paraId="55273C5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2019</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日，公司收到中国证券登记结算有限责任公司出具的《证券过户登记确认书》，上述协议转让股份的过户登记手续已完成，过户日期为</w:t>
            </w:r>
            <w:r w:rsidRPr="00F614F9">
              <w:rPr>
                <w:rFonts w:ascii="Times New Roman" w:eastAsia="宋体" w:hAnsi="Times New Roman" w:cs="宋体"/>
                <w:sz w:val="18"/>
                <w:szCs w:val="18"/>
              </w:rPr>
              <w:t>2019</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14</w:t>
            </w:r>
            <w:r w:rsidRPr="00F614F9">
              <w:rPr>
                <w:rFonts w:ascii="Times New Roman" w:eastAsia="宋体" w:hAnsi="Times New Roman" w:cs="宋体"/>
                <w:sz w:val="18"/>
                <w:szCs w:val="18"/>
              </w:rPr>
              <w:t>日。</w:t>
            </w:r>
          </w:p>
          <w:p w14:paraId="5D41BD0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本次股份转让完成后，蓝润发展成为公司控股股东。</w:t>
            </w:r>
          </w:p>
        </w:tc>
      </w:tr>
    </w:tbl>
    <w:p w14:paraId="66F95B16"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0" w:name="_Toc988895"/>
      <w:bookmarkStart w:id="11" w:name="_Toc164024749"/>
      <w:r w:rsidRPr="00F614F9">
        <w:rPr>
          <w:rFonts w:ascii="Times New Roman" w:eastAsia="宋体" w:hAnsi="Times New Roman" w:cs="宋体"/>
          <w:b/>
          <w:bCs/>
          <w:sz w:val="24"/>
          <w:szCs w:val="24"/>
        </w:rPr>
        <w:lastRenderedPageBreak/>
        <w:t>五、其他有关资料</w:t>
      </w:r>
      <w:bookmarkEnd w:id="10"/>
      <w:bookmarkEnd w:id="11"/>
    </w:p>
    <w:p w14:paraId="072838E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公司聘请的会计师事务所</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1D26E7" w:rsidRPr="00F614F9" w14:paraId="1CE496B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D1ADA1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会计师事务所名称</w:t>
            </w:r>
          </w:p>
        </w:tc>
        <w:tc>
          <w:tcPr>
            <w:tcW w:w="4820" w:type="dxa"/>
            <w:tcBorders>
              <w:top w:val="single" w:sz="2" w:space="0" w:color="auto"/>
              <w:left w:val="single" w:sz="2" w:space="0" w:color="auto"/>
              <w:bottom w:val="single" w:sz="2" w:space="0" w:color="auto"/>
              <w:right w:val="single" w:sz="2" w:space="0" w:color="auto"/>
            </w:tcBorders>
            <w:vAlign w:val="center"/>
          </w:tcPr>
          <w:p w14:paraId="7A2C9F3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众华会计师事务所（特殊普通合伙）</w:t>
            </w:r>
          </w:p>
        </w:tc>
      </w:tr>
      <w:tr w:rsidR="001D26E7" w:rsidRPr="00F614F9" w14:paraId="0B439D2C"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87691A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会计师事务所办公地址</w:t>
            </w:r>
          </w:p>
        </w:tc>
        <w:tc>
          <w:tcPr>
            <w:tcW w:w="4820" w:type="dxa"/>
            <w:tcBorders>
              <w:top w:val="single" w:sz="2" w:space="0" w:color="auto"/>
              <w:left w:val="single" w:sz="2" w:space="0" w:color="auto"/>
              <w:bottom w:val="single" w:sz="2" w:space="0" w:color="auto"/>
              <w:right w:val="single" w:sz="2" w:space="0" w:color="auto"/>
            </w:tcBorders>
            <w:vAlign w:val="center"/>
          </w:tcPr>
          <w:p w14:paraId="47BF26E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上海市嘉定工业区叶城路</w:t>
            </w:r>
            <w:r w:rsidRPr="00F614F9">
              <w:rPr>
                <w:rFonts w:ascii="Times New Roman" w:eastAsia="宋体" w:hAnsi="Times New Roman" w:cs="宋体"/>
                <w:sz w:val="18"/>
                <w:szCs w:val="18"/>
              </w:rPr>
              <w:t>1630</w:t>
            </w:r>
            <w:r w:rsidRPr="00F614F9">
              <w:rPr>
                <w:rFonts w:ascii="Times New Roman" w:eastAsia="宋体" w:hAnsi="Times New Roman" w:cs="宋体"/>
                <w:sz w:val="18"/>
                <w:szCs w:val="18"/>
              </w:rPr>
              <w:t>号</w:t>
            </w:r>
            <w:r w:rsidRPr="00F614F9">
              <w:rPr>
                <w:rFonts w:ascii="Times New Roman" w:eastAsia="宋体" w:hAnsi="Times New Roman" w:cs="宋体"/>
                <w:sz w:val="18"/>
                <w:szCs w:val="18"/>
              </w:rPr>
              <w:t>5</w:t>
            </w:r>
            <w:r w:rsidRPr="00F614F9">
              <w:rPr>
                <w:rFonts w:ascii="Times New Roman" w:eastAsia="宋体" w:hAnsi="Times New Roman" w:cs="宋体"/>
                <w:sz w:val="18"/>
                <w:szCs w:val="18"/>
              </w:rPr>
              <w:t>幢</w:t>
            </w:r>
            <w:r w:rsidRPr="00F614F9">
              <w:rPr>
                <w:rFonts w:ascii="Times New Roman" w:eastAsia="宋体" w:hAnsi="Times New Roman" w:cs="宋体"/>
                <w:sz w:val="18"/>
                <w:szCs w:val="18"/>
              </w:rPr>
              <w:t>1088</w:t>
            </w:r>
            <w:r w:rsidRPr="00F614F9">
              <w:rPr>
                <w:rFonts w:ascii="Times New Roman" w:eastAsia="宋体" w:hAnsi="Times New Roman" w:cs="宋体"/>
                <w:sz w:val="18"/>
                <w:szCs w:val="18"/>
              </w:rPr>
              <w:t>室</w:t>
            </w:r>
          </w:p>
        </w:tc>
      </w:tr>
      <w:tr w:rsidR="001D26E7" w:rsidRPr="00F614F9" w14:paraId="7F2F402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BF1582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签字会计师姓名</w:t>
            </w:r>
          </w:p>
        </w:tc>
        <w:tc>
          <w:tcPr>
            <w:tcW w:w="4820" w:type="dxa"/>
            <w:tcBorders>
              <w:top w:val="single" w:sz="2" w:space="0" w:color="auto"/>
              <w:left w:val="single" w:sz="2" w:space="0" w:color="auto"/>
              <w:bottom w:val="single" w:sz="2" w:space="0" w:color="auto"/>
              <w:right w:val="single" w:sz="2" w:space="0" w:color="auto"/>
            </w:tcBorders>
            <w:vAlign w:val="center"/>
          </w:tcPr>
          <w:p w14:paraId="34CEDE3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李立生、杨学燕</w:t>
            </w:r>
          </w:p>
        </w:tc>
      </w:tr>
    </w:tbl>
    <w:p w14:paraId="52BD6BD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公司聘请的报告期内履行持续督导职责的保荐机构</w:t>
      </w:r>
    </w:p>
    <w:p w14:paraId="47DEF630"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F977C88"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公司聘请的报告期内履行持续督导职责的财务顾问</w:t>
      </w:r>
    </w:p>
    <w:p w14:paraId="0191593B"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018EE85"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2" w:name="_Toc988896"/>
      <w:bookmarkStart w:id="13" w:name="_Toc164024750"/>
      <w:r w:rsidRPr="00F614F9">
        <w:rPr>
          <w:rFonts w:ascii="Times New Roman" w:eastAsia="宋体" w:hAnsi="Times New Roman" w:cs="宋体"/>
          <w:b/>
          <w:bCs/>
          <w:sz w:val="24"/>
          <w:szCs w:val="24"/>
        </w:rPr>
        <w:t>六、主要会计数据和财务指标</w:t>
      </w:r>
      <w:bookmarkEnd w:id="12"/>
      <w:bookmarkEnd w:id="13"/>
    </w:p>
    <w:p w14:paraId="1783461A"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公司是否需追溯调整或重述以前年度会计数据</w:t>
      </w:r>
    </w:p>
    <w:p w14:paraId="222513F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否</w:t>
      </w:r>
    </w:p>
    <w:p w14:paraId="037B86E8"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追溯调整或重述原因</w:t>
      </w:r>
    </w:p>
    <w:p w14:paraId="34F3312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会计政策变更</w:t>
      </w:r>
    </w:p>
    <w:p w14:paraId="70B1417D" w14:textId="77777777" w:rsidR="001D26E7" w:rsidRPr="00F614F9" w:rsidRDefault="001D26E7">
      <w:pPr>
        <w:spacing w:line="0" w:lineRule="atLeast"/>
        <w:rPr>
          <w:rFonts w:ascii="Times New Roman" w:hAnsi="Times New Roman"/>
        </w:rPr>
      </w:pPr>
    </w:p>
    <w:tbl>
      <w:tblPr>
        <w:tblW w:w="980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28" w:type="dxa"/>
          <w:right w:w="57" w:type="dxa"/>
        </w:tblCellMar>
        <w:tblLook w:val="04A0" w:firstRow="1" w:lastRow="0" w:firstColumn="1" w:lastColumn="0" w:noHBand="0" w:noVBand="1"/>
      </w:tblPr>
      <w:tblGrid>
        <w:gridCol w:w="1276"/>
        <w:gridCol w:w="1446"/>
        <w:gridCol w:w="1559"/>
        <w:gridCol w:w="1559"/>
        <w:gridCol w:w="967"/>
        <w:gridCol w:w="1455"/>
        <w:gridCol w:w="1547"/>
      </w:tblGrid>
      <w:tr w:rsidR="001D26E7" w:rsidRPr="00F614F9" w14:paraId="47307437" w14:textId="77777777" w:rsidTr="00B11EA0">
        <w:trPr>
          <w:trHeight w:val="240"/>
          <w:jc w:val="center"/>
        </w:trPr>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B2A4B93" w14:textId="77777777" w:rsidR="001D26E7" w:rsidRPr="00F614F9" w:rsidRDefault="001D26E7">
            <w:pPr>
              <w:rPr>
                <w:rFonts w:ascii="Times New Roman" w:hAnsi="Times New Roman"/>
              </w:rPr>
            </w:pPr>
          </w:p>
        </w:tc>
        <w:tc>
          <w:tcPr>
            <w:tcW w:w="144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0A2274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p>
        </w:tc>
        <w:tc>
          <w:tcPr>
            <w:tcW w:w="311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7C9F00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p>
        </w:tc>
        <w:tc>
          <w:tcPr>
            <w:tcW w:w="967" w:type="dxa"/>
            <w:tcBorders>
              <w:top w:val="single" w:sz="2" w:space="0" w:color="auto"/>
              <w:left w:val="single" w:sz="2" w:space="0" w:color="auto"/>
              <w:bottom w:val="single" w:sz="2" w:space="0" w:color="auto"/>
              <w:right w:val="single" w:sz="2" w:space="0" w:color="auto"/>
            </w:tcBorders>
            <w:shd w:val="clear" w:color="auto" w:fill="D3D3D3"/>
            <w:vAlign w:val="center"/>
          </w:tcPr>
          <w:p w14:paraId="490A854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本年比上年增减</w:t>
            </w:r>
          </w:p>
        </w:tc>
        <w:tc>
          <w:tcPr>
            <w:tcW w:w="300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3A7CB5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w:t>
            </w:r>
          </w:p>
        </w:tc>
      </w:tr>
      <w:tr w:rsidR="00B11EA0" w:rsidRPr="00F614F9" w14:paraId="0ADE414C" w14:textId="77777777" w:rsidTr="00B11EA0">
        <w:trPr>
          <w:trHeight w:val="240"/>
          <w:jc w:val="center"/>
        </w:trPr>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8E730E2" w14:textId="77777777" w:rsidR="001D26E7" w:rsidRPr="00F614F9" w:rsidRDefault="001D26E7">
            <w:pPr>
              <w:rPr>
                <w:rFonts w:ascii="Times New Roman" w:hAnsi="Times New Roman"/>
              </w:rPr>
            </w:pPr>
          </w:p>
        </w:tc>
        <w:tc>
          <w:tcPr>
            <w:tcW w:w="144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84B0BD8" w14:textId="77777777" w:rsidR="001D26E7" w:rsidRPr="00F614F9" w:rsidRDefault="001D26E7">
            <w:pPr>
              <w:rPr>
                <w:rFonts w:ascii="Times New Roman" w:hAnsi="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02122AB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调整前</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0DFDB91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调整后</w:t>
            </w:r>
          </w:p>
        </w:tc>
        <w:tc>
          <w:tcPr>
            <w:tcW w:w="967" w:type="dxa"/>
            <w:tcBorders>
              <w:top w:val="single" w:sz="2" w:space="0" w:color="auto"/>
              <w:left w:val="single" w:sz="2" w:space="0" w:color="auto"/>
              <w:bottom w:val="single" w:sz="2" w:space="0" w:color="auto"/>
              <w:right w:val="single" w:sz="2" w:space="0" w:color="auto"/>
            </w:tcBorders>
            <w:shd w:val="clear" w:color="auto" w:fill="D3D3D3"/>
            <w:vAlign w:val="center"/>
          </w:tcPr>
          <w:p w14:paraId="59B2CF4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调整后</w:t>
            </w:r>
          </w:p>
        </w:tc>
        <w:tc>
          <w:tcPr>
            <w:tcW w:w="1455" w:type="dxa"/>
            <w:tcBorders>
              <w:top w:val="single" w:sz="2" w:space="0" w:color="auto"/>
              <w:left w:val="single" w:sz="2" w:space="0" w:color="auto"/>
              <w:bottom w:val="single" w:sz="2" w:space="0" w:color="auto"/>
              <w:right w:val="single" w:sz="2" w:space="0" w:color="auto"/>
            </w:tcBorders>
            <w:shd w:val="clear" w:color="auto" w:fill="D3D3D3"/>
            <w:vAlign w:val="center"/>
          </w:tcPr>
          <w:p w14:paraId="3BC67D1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调整前</w:t>
            </w:r>
          </w:p>
        </w:tc>
        <w:tc>
          <w:tcPr>
            <w:tcW w:w="1547" w:type="dxa"/>
            <w:tcBorders>
              <w:top w:val="single" w:sz="2" w:space="0" w:color="auto"/>
              <w:left w:val="single" w:sz="2" w:space="0" w:color="auto"/>
              <w:bottom w:val="single" w:sz="2" w:space="0" w:color="auto"/>
              <w:right w:val="single" w:sz="2" w:space="0" w:color="auto"/>
            </w:tcBorders>
            <w:shd w:val="clear" w:color="auto" w:fill="D3D3D3"/>
            <w:vAlign w:val="center"/>
          </w:tcPr>
          <w:p w14:paraId="48B9618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调整后</w:t>
            </w:r>
          </w:p>
        </w:tc>
      </w:tr>
      <w:tr w:rsidR="001D26E7" w:rsidRPr="00F614F9" w14:paraId="4EFC4F0E" w14:textId="77777777" w:rsidTr="00B11EA0">
        <w:trPr>
          <w:trHeight w:val="240"/>
          <w:jc w:val="center"/>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B7BB34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营业收入（元）</w:t>
            </w:r>
          </w:p>
        </w:tc>
        <w:tc>
          <w:tcPr>
            <w:tcW w:w="1446" w:type="dxa"/>
            <w:tcBorders>
              <w:top w:val="single" w:sz="2" w:space="0" w:color="auto"/>
              <w:left w:val="single" w:sz="2" w:space="0" w:color="auto"/>
              <w:bottom w:val="single" w:sz="2" w:space="0" w:color="auto"/>
              <w:right w:val="single" w:sz="2" w:space="0" w:color="auto"/>
            </w:tcBorders>
            <w:vAlign w:val="center"/>
          </w:tcPr>
          <w:p w14:paraId="2398E31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13,318,473,211.90</w:t>
            </w:r>
          </w:p>
        </w:tc>
        <w:tc>
          <w:tcPr>
            <w:tcW w:w="1559" w:type="dxa"/>
            <w:tcBorders>
              <w:top w:val="single" w:sz="2" w:space="0" w:color="auto"/>
              <w:left w:val="single" w:sz="2" w:space="0" w:color="auto"/>
              <w:bottom w:val="single" w:sz="2" w:space="0" w:color="auto"/>
              <w:right w:val="single" w:sz="2" w:space="0" w:color="auto"/>
            </w:tcBorders>
            <w:vAlign w:val="center"/>
          </w:tcPr>
          <w:p w14:paraId="3B4CA35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16,116,307,059.41</w:t>
            </w:r>
          </w:p>
        </w:tc>
        <w:tc>
          <w:tcPr>
            <w:tcW w:w="1559" w:type="dxa"/>
            <w:tcBorders>
              <w:top w:val="single" w:sz="2" w:space="0" w:color="auto"/>
              <w:left w:val="single" w:sz="2" w:space="0" w:color="auto"/>
              <w:bottom w:val="single" w:sz="2" w:space="0" w:color="auto"/>
              <w:right w:val="single" w:sz="2" w:space="0" w:color="auto"/>
            </w:tcBorders>
            <w:vAlign w:val="center"/>
          </w:tcPr>
          <w:p w14:paraId="06237DC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16,116,307,059.41</w:t>
            </w:r>
          </w:p>
        </w:tc>
        <w:tc>
          <w:tcPr>
            <w:tcW w:w="967" w:type="dxa"/>
            <w:tcBorders>
              <w:top w:val="single" w:sz="2" w:space="0" w:color="auto"/>
              <w:left w:val="single" w:sz="2" w:space="0" w:color="auto"/>
              <w:bottom w:val="single" w:sz="2" w:space="0" w:color="auto"/>
              <w:right w:val="single" w:sz="2" w:space="0" w:color="auto"/>
            </w:tcBorders>
            <w:vAlign w:val="center"/>
          </w:tcPr>
          <w:p w14:paraId="1A9DED9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-17.36%</w:t>
            </w:r>
          </w:p>
        </w:tc>
        <w:tc>
          <w:tcPr>
            <w:tcW w:w="1455" w:type="dxa"/>
            <w:tcBorders>
              <w:top w:val="single" w:sz="2" w:space="0" w:color="auto"/>
              <w:left w:val="single" w:sz="2" w:space="0" w:color="auto"/>
              <w:bottom w:val="single" w:sz="2" w:space="0" w:color="auto"/>
              <w:right w:val="single" w:sz="2" w:space="0" w:color="auto"/>
            </w:tcBorders>
            <w:vAlign w:val="center"/>
          </w:tcPr>
          <w:p w14:paraId="37B0F56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19,509,959,768.79</w:t>
            </w:r>
          </w:p>
        </w:tc>
        <w:tc>
          <w:tcPr>
            <w:tcW w:w="1547" w:type="dxa"/>
            <w:tcBorders>
              <w:top w:val="single" w:sz="2" w:space="0" w:color="auto"/>
              <w:left w:val="single" w:sz="2" w:space="0" w:color="auto"/>
              <w:bottom w:val="single" w:sz="2" w:space="0" w:color="auto"/>
              <w:right w:val="single" w:sz="2" w:space="0" w:color="auto"/>
            </w:tcBorders>
            <w:vAlign w:val="center"/>
          </w:tcPr>
          <w:p w14:paraId="1AC33C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19,509,959,768.79</w:t>
            </w:r>
          </w:p>
        </w:tc>
      </w:tr>
      <w:tr w:rsidR="001D26E7" w:rsidRPr="00F614F9" w14:paraId="70CB8521" w14:textId="77777777" w:rsidTr="00B11EA0">
        <w:trPr>
          <w:trHeight w:val="240"/>
          <w:jc w:val="center"/>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071B67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归属于上市公司股东的净利润（元）</w:t>
            </w:r>
          </w:p>
        </w:tc>
        <w:tc>
          <w:tcPr>
            <w:tcW w:w="1446" w:type="dxa"/>
            <w:tcBorders>
              <w:top w:val="single" w:sz="2" w:space="0" w:color="auto"/>
              <w:left w:val="single" w:sz="2" w:space="0" w:color="auto"/>
              <w:bottom w:val="single" w:sz="2" w:space="0" w:color="auto"/>
              <w:right w:val="single" w:sz="2" w:space="0" w:color="auto"/>
            </w:tcBorders>
            <w:vAlign w:val="center"/>
          </w:tcPr>
          <w:p w14:paraId="65728A3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-1,538,353,704.08</w:t>
            </w:r>
          </w:p>
        </w:tc>
        <w:tc>
          <w:tcPr>
            <w:tcW w:w="1559" w:type="dxa"/>
            <w:tcBorders>
              <w:top w:val="single" w:sz="2" w:space="0" w:color="auto"/>
              <w:left w:val="single" w:sz="2" w:space="0" w:color="auto"/>
              <w:bottom w:val="single" w:sz="2" w:space="0" w:color="auto"/>
              <w:right w:val="single" w:sz="2" w:space="0" w:color="auto"/>
            </w:tcBorders>
            <w:vAlign w:val="center"/>
          </w:tcPr>
          <w:p w14:paraId="762C36C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75,375,610.30</w:t>
            </w:r>
          </w:p>
        </w:tc>
        <w:tc>
          <w:tcPr>
            <w:tcW w:w="1559" w:type="dxa"/>
            <w:tcBorders>
              <w:top w:val="single" w:sz="2" w:space="0" w:color="auto"/>
              <w:left w:val="single" w:sz="2" w:space="0" w:color="auto"/>
              <w:bottom w:val="single" w:sz="2" w:space="0" w:color="auto"/>
              <w:right w:val="single" w:sz="2" w:space="0" w:color="auto"/>
            </w:tcBorders>
            <w:vAlign w:val="center"/>
          </w:tcPr>
          <w:p w14:paraId="193EDE0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75,375,610.30</w:t>
            </w:r>
          </w:p>
        </w:tc>
        <w:tc>
          <w:tcPr>
            <w:tcW w:w="967" w:type="dxa"/>
            <w:tcBorders>
              <w:top w:val="single" w:sz="2" w:space="0" w:color="auto"/>
              <w:left w:val="single" w:sz="2" w:space="0" w:color="auto"/>
              <w:bottom w:val="single" w:sz="2" w:space="0" w:color="auto"/>
              <w:right w:val="single" w:sz="2" w:space="0" w:color="auto"/>
            </w:tcBorders>
            <w:vAlign w:val="center"/>
          </w:tcPr>
          <w:p w14:paraId="1BD90CD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-2,140.92%</w:t>
            </w:r>
          </w:p>
        </w:tc>
        <w:tc>
          <w:tcPr>
            <w:tcW w:w="1455" w:type="dxa"/>
            <w:tcBorders>
              <w:top w:val="single" w:sz="2" w:space="0" w:color="auto"/>
              <w:left w:val="single" w:sz="2" w:space="0" w:color="auto"/>
              <w:bottom w:val="single" w:sz="2" w:space="0" w:color="auto"/>
              <w:right w:val="single" w:sz="2" w:space="0" w:color="auto"/>
            </w:tcBorders>
            <w:vAlign w:val="center"/>
          </w:tcPr>
          <w:p w14:paraId="70CD3F9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-658,573,721.79</w:t>
            </w:r>
          </w:p>
        </w:tc>
        <w:tc>
          <w:tcPr>
            <w:tcW w:w="1547" w:type="dxa"/>
            <w:tcBorders>
              <w:top w:val="single" w:sz="2" w:space="0" w:color="auto"/>
              <w:left w:val="single" w:sz="2" w:space="0" w:color="auto"/>
              <w:bottom w:val="single" w:sz="2" w:space="0" w:color="auto"/>
              <w:right w:val="single" w:sz="2" w:space="0" w:color="auto"/>
            </w:tcBorders>
            <w:vAlign w:val="center"/>
          </w:tcPr>
          <w:p w14:paraId="0D0E186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-658,573,721.79</w:t>
            </w:r>
          </w:p>
        </w:tc>
      </w:tr>
      <w:tr w:rsidR="001D26E7" w:rsidRPr="00F614F9" w14:paraId="0CD9EBA0" w14:textId="77777777" w:rsidTr="00B11EA0">
        <w:trPr>
          <w:trHeight w:val="240"/>
          <w:jc w:val="center"/>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ABF2F0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归属于上市公司股东的扣除非经常性损益的净利润（元）</w:t>
            </w:r>
          </w:p>
        </w:tc>
        <w:tc>
          <w:tcPr>
            <w:tcW w:w="1446" w:type="dxa"/>
            <w:tcBorders>
              <w:top w:val="single" w:sz="2" w:space="0" w:color="auto"/>
              <w:left w:val="single" w:sz="2" w:space="0" w:color="auto"/>
              <w:bottom w:val="single" w:sz="2" w:space="0" w:color="auto"/>
              <w:right w:val="single" w:sz="2" w:space="0" w:color="auto"/>
            </w:tcBorders>
            <w:vAlign w:val="center"/>
          </w:tcPr>
          <w:p w14:paraId="237C436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-1,363,658,312.69</w:t>
            </w:r>
          </w:p>
        </w:tc>
        <w:tc>
          <w:tcPr>
            <w:tcW w:w="1559" w:type="dxa"/>
            <w:tcBorders>
              <w:top w:val="single" w:sz="2" w:space="0" w:color="auto"/>
              <w:left w:val="single" w:sz="2" w:space="0" w:color="auto"/>
              <w:bottom w:val="single" w:sz="2" w:space="0" w:color="auto"/>
              <w:right w:val="single" w:sz="2" w:space="0" w:color="auto"/>
            </w:tcBorders>
            <w:vAlign w:val="center"/>
          </w:tcPr>
          <w:p w14:paraId="7132F6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147,875,603.59</w:t>
            </w:r>
          </w:p>
        </w:tc>
        <w:tc>
          <w:tcPr>
            <w:tcW w:w="1559" w:type="dxa"/>
            <w:tcBorders>
              <w:top w:val="single" w:sz="2" w:space="0" w:color="auto"/>
              <w:left w:val="single" w:sz="2" w:space="0" w:color="auto"/>
              <w:bottom w:val="single" w:sz="2" w:space="0" w:color="auto"/>
              <w:right w:val="single" w:sz="2" w:space="0" w:color="auto"/>
            </w:tcBorders>
            <w:vAlign w:val="center"/>
          </w:tcPr>
          <w:p w14:paraId="4B2760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147,875,603.59</w:t>
            </w:r>
          </w:p>
        </w:tc>
        <w:tc>
          <w:tcPr>
            <w:tcW w:w="967" w:type="dxa"/>
            <w:tcBorders>
              <w:top w:val="single" w:sz="2" w:space="0" w:color="auto"/>
              <w:left w:val="single" w:sz="2" w:space="0" w:color="auto"/>
              <w:bottom w:val="single" w:sz="2" w:space="0" w:color="auto"/>
              <w:right w:val="single" w:sz="2" w:space="0" w:color="auto"/>
            </w:tcBorders>
            <w:vAlign w:val="center"/>
          </w:tcPr>
          <w:p w14:paraId="40B932E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-1,022.17%</w:t>
            </w:r>
          </w:p>
        </w:tc>
        <w:tc>
          <w:tcPr>
            <w:tcW w:w="1455" w:type="dxa"/>
            <w:tcBorders>
              <w:top w:val="single" w:sz="2" w:space="0" w:color="auto"/>
              <w:left w:val="single" w:sz="2" w:space="0" w:color="auto"/>
              <w:bottom w:val="single" w:sz="2" w:space="0" w:color="auto"/>
              <w:right w:val="single" w:sz="2" w:space="0" w:color="auto"/>
            </w:tcBorders>
            <w:vAlign w:val="center"/>
          </w:tcPr>
          <w:p w14:paraId="1BE3662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-570,158,917.83</w:t>
            </w:r>
          </w:p>
        </w:tc>
        <w:tc>
          <w:tcPr>
            <w:tcW w:w="1547" w:type="dxa"/>
            <w:tcBorders>
              <w:top w:val="single" w:sz="2" w:space="0" w:color="auto"/>
              <w:left w:val="single" w:sz="2" w:space="0" w:color="auto"/>
              <w:bottom w:val="single" w:sz="2" w:space="0" w:color="auto"/>
              <w:right w:val="single" w:sz="2" w:space="0" w:color="auto"/>
            </w:tcBorders>
            <w:vAlign w:val="center"/>
          </w:tcPr>
          <w:p w14:paraId="7DD26E2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-570,158,917.83</w:t>
            </w:r>
          </w:p>
        </w:tc>
      </w:tr>
      <w:tr w:rsidR="001D26E7" w:rsidRPr="00F614F9" w14:paraId="1428685A" w14:textId="77777777" w:rsidTr="00B11EA0">
        <w:trPr>
          <w:trHeight w:val="240"/>
          <w:jc w:val="center"/>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F3117F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经营活动产生的现金流量净额（元）</w:t>
            </w:r>
          </w:p>
        </w:tc>
        <w:tc>
          <w:tcPr>
            <w:tcW w:w="1446" w:type="dxa"/>
            <w:tcBorders>
              <w:top w:val="single" w:sz="2" w:space="0" w:color="auto"/>
              <w:left w:val="single" w:sz="2" w:space="0" w:color="auto"/>
              <w:bottom w:val="single" w:sz="2" w:space="0" w:color="auto"/>
              <w:right w:val="single" w:sz="2" w:space="0" w:color="auto"/>
            </w:tcBorders>
            <w:vAlign w:val="center"/>
          </w:tcPr>
          <w:p w14:paraId="39722DF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-588,718,478.69</w:t>
            </w:r>
          </w:p>
        </w:tc>
        <w:tc>
          <w:tcPr>
            <w:tcW w:w="1559" w:type="dxa"/>
            <w:tcBorders>
              <w:top w:val="single" w:sz="2" w:space="0" w:color="auto"/>
              <w:left w:val="single" w:sz="2" w:space="0" w:color="auto"/>
              <w:bottom w:val="single" w:sz="2" w:space="0" w:color="auto"/>
              <w:right w:val="single" w:sz="2" w:space="0" w:color="auto"/>
            </w:tcBorders>
            <w:vAlign w:val="center"/>
          </w:tcPr>
          <w:p w14:paraId="6C5A032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941,102,462.16</w:t>
            </w:r>
          </w:p>
        </w:tc>
        <w:tc>
          <w:tcPr>
            <w:tcW w:w="1559" w:type="dxa"/>
            <w:tcBorders>
              <w:top w:val="single" w:sz="2" w:space="0" w:color="auto"/>
              <w:left w:val="single" w:sz="2" w:space="0" w:color="auto"/>
              <w:bottom w:val="single" w:sz="2" w:space="0" w:color="auto"/>
              <w:right w:val="single" w:sz="2" w:space="0" w:color="auto"/>
            </w:tcBorders>
            <w:vAlign w:val="center"/>
          </w:tcPr>
          <w:p w14:paraId="5438696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941,102,462.16</w:t>
            </w:r>
          </w:p>
        </w:tc>
        <w:tc>
          <w:tcPr>
            <w:tcW w:w="967" w:type="dxa"/>
            <w:tcBorders>
              <w:top w:val="single" w:sz="2" w:space="0" w:color="auto"/>
              <w:left w:val="single" w:sz="2" w:space="0" w:color="auto"/>
              <w:bottom w:val="single" w:sz="2" w:space="0" w:color="auto"/>
              <w:right w:val="single" w:sz="2" w:space="0" w:color="auto"/>
            </w:tcBorders>
            <w:vAlign w:val="center"/>
          </w:tcPr>
          <w:p w14:paraId="13316E8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-162.56%</w:t>
            </w:r>
          </w:p>
        </w:tc>
        <w:tc>
          <w:tcPr>
            <w:tcW w:w="1455" w:type="dxa"/>
            <w:tcBorders>
              <w:top w:val="single" w:sz="2" w:space="0" w:color="auto"/>
              <w:left w:val="single" w:sz="2" w:space="0" w:color="auto"/>
              <w:bottom w:val="single" w:sz="2" w:space="0" w:color="auto"/>
              <w:right w:val="single" w:sz="2" w:space="0" w:color="auto"/>
            </w:tcBorders>
            <w:vAlign w:val="center"/>
          </w:tcPr>
          <w:p w14:paraId="6A69715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-87,677,769.49</w:t>
            </w:r>
          </w:p>
        </w:tc>
        <w:tc>
          <w:tcPr>
            <w:tcW w:w="1547" w:type="dxa"/>
            <w:tcBorders>
              <w:top w:val="single" w:sz="2" w:space="0" w:color="auto"/>
              <w:left w:val="single" w:sz="2" w:space="0" w:color="auto"/>
              <w:bottom w:val="single" w:sz="2" w:space="0" w:color="auto"/>
              <w:right w:val="single" w:sz="2" w:space="0" w:color="auto"/>
            </w:tcBorders>
            <w:vAlign w:val="center"/>
          </w:tcPr>
          <w:p w14:paraId="6A2E7A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-87,677,769.49</w:t>
            </w:r>
          </w:p>
        </w:tc>
      </w:tr>
      <w:tr w:rsidR="001D26E7" w:rsidRPr="00F614F9" w14:paraId="7D7767C2" w14:textId="77777777" w:rsidTr="00B11EA0">
        <w:trPr>
          <w:trHeight w:val="240"/>
          <w:jc w:val="center"/>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6D38128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基本每股收益（元</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股）</w:t>
            </w:r>
          </w:p>
        </w:tc>
        <w:tc>
          <w:tcPr>
            <w:tcW w:w="1446" w:type="dxa"/>
            <w:tcBorders>
              <w:top w:val="single" w:sz="2" w:space="0" w:color="auto"/>
              <w:left w:val="single" w:sz="2" w:space="0" w:color="auto"/>
              <w:bottom w:val="single" w:sz="2" w:space="0" w:color="auto"/>
              <w:right w:val="single" w:sz="2" w:space="0" w:color="auto"/>
            </w:tcBorders>
            <w:vAlign w:val="center"/>
          </w:tcPr>
          <w:p w14:paraId="1B2C542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-1.43</w:t>
            </w:r>
          </w:p>
        </w:tc>
        <w:tc>
          <w:tcPr>
            <w:tcW w:w="1559" w:type="dxa"/>
            <w:tcBorders>
              <w:top w:val="single" w:sz="2" w:space="0" w:color="auto"/>
              <w:left w:val="single" w:sz="2" w:space="0" w:color="auto"/>
              <w:bottom w:val="single" w:sz="2" w:space="0" w:color="auto"/>
              <w:right w:val="single" w:sz="2" w:space="0" w:color="auto"/>
            </w:tcBorders>
            <w:vAlign w:val="center"/>
          </w:tcPr>
          <w:p w14:paraId="0EA47D1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0.07</w:t>
            </w:r>
          </w:p>
        </w:tc>
        <w:tc>
          <w:tcPr>
            <w:tcW w:w="1559" w:type="dxa"/>
            <w:tcBorders>
              <w:top w:val="single" w:sz="2" w:space="0" w:color="auto"/>
              <w:left w:val="single" w:sz="2" w:space="0" w:color="auto"/>
              <w:bottom w:val="single" w:sz="2" w:space="0" w:color="auto"/>
              <w:right w:val="single" w:sz="2" w:space="0" w:color="auto"/>
            </w:tcBorders>
            <w:vAlign w:val="center"/>
          </w:tcPr>
          <w:p w14:paraId="575F7B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0.07</w:t>
            </w:r>
          </w:p>
        </w:tc>
        <w:tc>
          <w:tcPr>
            <w:tcW w:w="967" w:type="dxa"/>
            <w:tcBorders>
              <w:top w:val="single" w:sz="2" w:space="0" w:color="auto"/>
              <w:left w:val="single" w:sz="2" w:space="0" w:color="auto"/>
              <w:bottom w:val="single" w:sz="2" w:space="0" w:color="auto"/>
              <w:right w:val="single" w:sz="2" w:space="0" w:color="auto"/>
            </w:tcBorders>
            <w:vAlign w:val="center"/>
          </w:tcPr>
          <w:p w14:paraId="0514944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-2,142.86%</w:t>
            </w:r>
          </w:p>
        </w:tc>
        <w:tc>
          <w:tcPr>
            <w:tcW w:w="1455" w:type="dxa"/>
            <w:tcBorders>
              <w:top w:val="single" w:sz="2" w:space="0" w:color="auto"/>
              <w:left w:val="single" w:sz="2" w:space="0" w:color="auto"/>
              <w:bottom w:val="single" w:sz="2" w:space="0" w:color="auto"/>
              <w:right w:val="single" w:sz="2" w:space="0" w:color="auto"/>
            </w:tcBorders>
            <w:vAlign w:val="center"/>
          </w:tcPr>
          <w:p w14:paraId="0189A5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-0.64</w:t>
            </w:r>
          </w:p>
        </w:tc>
        <w:tc>
          <w:tcPr>
            <w:tcW w:w="1547" w:type="dxa"/>
            <w:tcBorders>
              <w:top w:val="single" w:sz="2" w:space="0" w:color="auto"/>
              <w:left w:val="single" w:sz="2" w:space="0" w:color="auto"/>
              <w:bottom w:val="single" w:sz="2" w:space="0" w:color="auto"/>
              <w:right w:val="single" w:sz="2" w:space="0" w:color="auto"/>
            </w:tcBorders>
            <w:vAlign w:val="center"/>
          </w:tcPr>
          <w:p w14:paraId="1893E9A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-0.64</w:t>
            </w:r>
          </w:p>
        </w:tc>
      </w:tr>
      <w:tr w:rsidR="001D26E7" w:rsidRPr="00F614F9" w14:paraId="09827461" w14:textId="77777777" w:rsidTr="00B11EA0">
        <w:trPr>
          <w:trHeight w:val="240"/>
          <w:jc w:val="center"/>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68D47CB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稀释每股收益（元</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股）</w:t>
            </w:r>
          </w:p>
        </w:tc>
        <w:tc>
          <w:tcPr>
            <w:tcW w:w="1446" w:type="dxa"/>
            <w:tcBorders>
              <w:top w:val="single" w:sz="2" w:space="0" w:color="auto"/>
              <w:left w:val="single" w:sz="2" w:space="0" w:color="auto"/>
              <w:bottom w:val="single" w:sz="2" w:space="0" w:color="auto"/>
              <w:right w:val="single" w:sz="2" w:space="0" w:color="auto"/>
            </w:tcBorders>
            <w:vAlign w:val="center"/>
          </w:tcPr>
          <w:p w14:paraId="3AC25F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-1.28</w:t>
            </w:r>
          </w:p>
        </w:tc>
        <w:tc>
          <w:tcPr>
            <w:tcW w:w="1559" w:type="dxa"/>
            <w:tcBorders>
              <w:top w:val="single" w:sz="2" w:space="0" w:color="auto"/>
              <w:left w:val="single" w:sz="2" w:space="0" w:color="auto"/>
              <w:bottom w:val="single" w:sz="2" w:space="0" w:color="auto"/>
              <w:right w:val="single" w:sz="2" w:space="0" w:color="auto"/>
            </w:tcBorders>
            <w:vAlign w:val="center"/>
          </w:tcPr>
          <w:p w14:paraId="4DDAD4A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0.07</w:t>
            </w:r>
          </w:p>
        </w:tc>
        <w:tc>
          <w:tcPr>
            <w:tcW w:w="1559" w:type="dxa"/>
            <w:tcBorders>
              <w:top w:val="single" w:sz="2" w:space="0" w:color="auto"/>
              <w:left w:val="single" w:sz="2" w:space="0" w:color="auto"/>
              <w:bottom w:val="single" w:sz="2" w:space="0" w:color="auto"/>
              <w:right w:val="single" w:sz="2" w:space="0" w:color="auto"/>
            </w:tcBorders>
            <w:vAlign w:val="center"/>
          </w:tcPr>
          <w:p w14:paraId="5F1D544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0.07</w:t>
            </w:r>
          </w:p>
        </w:tc>
        <w:tc>
          <w:tcPr>
            <w:tcW w:w="967" w:type="dxa"/>
            <w:tcBorders>
              <w:top w:val="single" w:sz="2" w:space="0" w:color="auto"/>
              <w:left w:val="single" w:sz="2" w:space="0" w:color="auto"/>
              <w:bottom w:val="single" w:sz="2" w:space="0" w:color="auto"/>
              <w:right w:val="single" w:sz="2" w:space="0" w:color="auto"/>
            </w:tcBorders>
            <w:vAlign w:val="center"/>
          </w:tcPr>
          <w:p w14:paraId="0337DFF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-1,928.57%</w:t>
            </w:r>
          </w:p>
        </w:tc>
        <w:tc>
          <w:tcPr>
            <w:tcW w:w="1455" w:type="dxa"/>
            <w:tcBorders>
              <w:top w:val="single" w:sz="2" w:space="0" w:color="auto"/>
              <w:left w:val="single" w:sz="2" w:space="0" w:color="auto"/>
              <w:bottom w:val="single" w:sz="2" w:space="0" w:color="auto"/>
              <w:right w:val="single" w:sz="2" w:space="0" w:color="auto"/>
            </w:tcBorders>
            <w:vAlign w:val="center"/>
          </w:tcPr>
          <w:p w14:paraId="119715D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-0.57</w:t>
            </w:r>
          </w:p>
        </w:tc>
        <w:tc>
          <w:tcPr>
            <w:tcW w:w="1547" w:type="dxa"/>
            <w:tcBorders>
              <w:top w:val="single" w:sz="2" w:space="0" w:color="auto"/>
              <w:left w:val="single" w:sz="2" w:space="0" w:color="auto"/>
              <w:bottom w:val="single" w:sz="2" w:space="0" w:color="auto"/>
              <w:right w:val="single" w:sz="2" w:space="0" w:color="auto"/>
            </w:tcBorders>
            <w:vAlign w:val="center"/>
          </w:tcPr>
          <w:p w14:paraId="6C2CB0A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-0.57</w:t>
            </w:r>
          </w:p>
        </w:tc>
      </w:tr>
      <w:tr w:rsidR="001D26E7" w:rsidRPr="00F614F9" w14:paraId="7AF23E18" w14:textId="77777777" w:rsidTr="00B11EA0">
        <w:trPr>
          <w:trHeight w:val="240"/>
          <w:jc w:val="center"/>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6CB7623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加权平均净资产收益率</w:t>
            </w:r>
          </w:p>
        </w:tc>
        <w:tc>
          <w:tcPr>
            <w:tcW w:w="1446" w:type="dxa"/>
            <w:tcBorders>
              <w:top w:val="single" w:sz="2" w:space="0" w:color="auto"/>
              <w:left w:val="single" w:sz="2" w:space="0" w:color="auto"/>
              <w:bottom w:val="single" w:sz="2" w:space="0" w:color="auto"/>
              <w:right w:val="single" w:sz="2" w:space="0" w:color="auto"/>
            </w:tcBorders>
            <w:vAlign w:val="center"/>
          </w:tcPr>
          <w:p w14:paraId="523F9B9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-67.23%</w:t>
            </w:r>
          </w:p>
        </w:tc>
        <w:tc>
          <w:tcPr>
            <w:tcW w:w="1559" w:type="dxa"/>
            <w:tcBorders>
              <w:top w:val="single" w:sz="2" w:space="0" w:color="auto"/>
              <w:left w:val="single" w:sz="2" w:space="0" w:color="auto"/>
              <w:bottom w:val="single" w:sz="2" w:space="0" w:color="auto"/>
              <w:right w:val="single" w:sz="2" w:space="0" w:color="auto"/>
            </w:tcBorders>
            <w:vAlign w:val="center"/>
          </w:tcPr>
          <w:p w14:paraId="6D3FDD8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2.42%</w:t>
            </w:r>
          </w:p>
        </w:tc>
        <w:tc>
          <w:tcPr>
            <w:tcW w:w="1559" w:type="dxa"/>
            <w:tcBorders>
              <w:top w:val="single" w:sz="2" w:space="0" w:color="auto"/>
              <w:left w:val="single" w:sz="2" w:space="0" w:color="auto"/>
              <w:bottom w:val="single" w:sz="2" w:space="0" w:color="auto"/>
              <w:right w:val="single" w:sz="2" w:space="0" w:color="auto"/>
            </w:tcBorders>
            <w:vAlign w:val="center"/>
          </w:tcPr>
          <w:p w14:paraId="46221A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2.42%</w:t>
            </w:r>
          </w:p>
        </w:tc>
        <w:tc>
          <w:tcPr>
            <w:tcW w:w="967" w:type="dxa"/>
            <w:tcBorders>
              <w:top w:val="single" w:sz="2" w:space="0" w:color="auto"/>
              <w:left w:val="single" w:sz="2" w:space="0" w:color="auto"/>
              <w:bottom w:val="single" w:sz="2" w:space="0" w:color="auto"/>
              <w:right w:val="single" w:sz="2" w:space="0" w:color="auto"/>
            </w:tcBorders>
            <w:vAlign w:val="center"/>
          </w:tcPr>
          <w:p w14:paraId="25718C6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-69.65%</w:t>
            </w:r>
          </w:p>
        </w:tc>
        <w:tc>
          <w:tcPr>
            <w:tcW w:w="1455" w:type="dxa"/>
            <w:tcBorders>
              <w:top w:val="single" w:sz="2" w:space="0" w:color="auto"/>
              <w:left w:val="single" w:sz="2" w:space="0" w:color="auto"/>
              <w:bottom w:val="single" w:sz="2" w:space="0" w:color="auto"/>
              <w:right w:val="single" w:sz="2" w:space="0" w:color="auto"/>
            </w:tcBorders>
            <w:vAlign w:val="center"/>
          </w:tcPr>
          <w:p w14:paraId="10247CB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-20.90%</w:t>
            </w:r>
          </w:p>
        </w:tc>
        <w:tc>
          <w:tcPr>
            <w:tcW w:w="1547" w:type="dxa"/>
            <w:tcBorders>
              <w:top w:val="single" w:sz="2" w:space="0" w:color="auto"/>
              <w:left w:val="single" w:sz="2" w:space="0" w:color="auto"/>
              <w:bottom w:val="single" w:sz="2" w:space="0" w:color="auto"/>
              <w:right w:val="single" w:sz="2" w:space="0" w:color="auto"/>
            </w:tcBorders>
            <w:vAlign w:val="center"/>
          </w:tcPr>
          <w:p w14:paraId="62D0AFB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-20.90%</w:t>
            </w:r>
          </w:p>
        </w:tc>
      </w:tr>
      <w:tr w:rsidR="001D26E7" w:rsidRPr="00F614F9" w14:paraId="1C47283E" w14:textId="77777777" w:rsidTr="00B11EA0">
        <w:trPr>
          <w:trHeight w:val="240"/>
          <w:jc w:val="center"/>
        </w:trPr>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A452285" w14:textId="77777777" w:rsidR="001D26E7" w:rsidRPr="00F614F9" w:rsidRDefault="001D26E7">
            <w:pPr>
              <w:rPr>
                <w:rFonts w:ascii="Times New Roman" w:hAnsi="Times New Roman"/>
              </w:rPr>
            </w:pPr>
          </w:p>
        </w:tc>
        <w:tc>
          <w:tcPr>
            <w:tcW w:w="144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94A0F4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年末</w:t>
            </w:r>
          </w:p>
        </w:tc>
        <w:tc>
          <w:tcPr>
            <w:tcW w:w="311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938CAC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年末</w:t>
            </w:r>
          </w:p>
        </w:tc>
        <w:tc>
          <w:tcPr>
            <w:tcW w:w="967" w:type="dxa"/>
            <w:tcBorders>
              <w:top w:val="single" w:sz="2" w:space="0" w:color="auto"/>
              <w:left w:val="single" w:sz="2" w:space="0" w:color="auto"/>
              <w:bottom w:val="single" w:sz="2" w:space="0" w:color="auto"/>
              <w:right w:val="single" w:sz="2" w:space="0" w:color="auto"/>
            </w:tcBorders>
            <w:shd w:val="clear" w:color="auto" w:fill="D3D3D3"/>
            <w:vAlign w:val="center"/>
          </w:tcPr>
          <w:p w14:paraId="12C8A9D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本年末比上年末增减</w:t>
            </w:r>
          </w:p>
        </w:tc>
        <w:tc>
          <w:tcPr>
            <w:tcW w:w="300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728335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年末</w:t>
            </w:r>
          </w:p>
        </w:tc>
      </w:tr>
      <w:tr w:rsidR="00B11EA0" w:rsidRPr="00F614F9" w14:paraId="0FC029D6" w14:textId="77777777" w:rsidTr="00B11EA0">
        <w:trPr>
          <w:trHeight w:val="240"/>
          <w:jc w:val="center"/>
        </w:trPr>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0DF8180" w14:textId="77777777" w:rsidR="001D26E7" w:rsidRPr="00F614F9" w:rsidRDefault="001D26E7">
            <w:pPr>
              <w:rPr>
                <w:rFonts w:ascii="Times New Roman" w:hAnsi="Times New Roman"/>
              </w:rPr>
            </w:pPr>
          </w:p>
        </w:tc>
        <w:tc>
          <w:tcPr>
            <w:tcW w:w="144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978076E" w14:textId="77777777" w:rsidR="001D26E7" w:rsidRPr="00F614F9" w:rsidRDefault="001D26E7">
            <w:pPr>
              <w:rPr>
                <w:rFonts w:ascii="Times New Roman" w:hAnsi="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1CC1F19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调整前</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575DCD2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调整后</w:t>
            </w:r>
          </w:p>
        </w:tc>
        <w:tc>
          <w:tcPr>
            <w:tcW w:w="967" w:type="dxa"/>
            <w:tcBorders>
              <w:top w:val="single" w:sz="2" w:space="0" w:color="auto"/>
              <w:left w:val="single" w:sz="2" w:space="0" w:color="auto"/>
              <w:bottom w:val="single" w:sz="2" w:space="0" w:color="auto"/>
              <w:right w:val="single" w:sz="2" w:space="0" w:color="auto"/>
            </w:tcBorders>
            <w:shd w:val="clear" w:color="auto" w:fill="D3D3D3"/>
            <w:vAlign w:val="center"/>
          </w:tcPr>
          <w:p w14:paraId="44950E5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调整后</w:t>
            </w:r>
          </w:p>
        </w:tc>
        <w:tc>
          <w:tcPr>
            <w:tcW w:w="1455" w:type="dxa"/>
            <w:tcBorders>
              <w:top w:val="single" w:sz="2" w:space="0" w:color="auto"/>
              <w:left w:val="single" w:sz="2" w:space="0" w:color="auto"/>
              <w:bottom w:val="single" w:sz="2" w:space="0" w:color="auto"/>
              <w:right w:val="single" w:sz="2" w:space="0" w:color="auto"/>
            </w:tcBorders>
            <w:shd w:val="clear" w:color="auto" w:fill="D3D3D3"/>
            <w:vAlign w:val="center"/>
          </w:tcPr>
          <w:p w14:paraId="2553F50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调整前</w:t>
            </w:r>
          </w:p>
        </w:tc>
        <w:tc>
          <w:tcPr>
            <w:tcW w:w="1547" w:type="dxa"/>
            <w:tcBorders>
              <w:top w:val="single" w:sz="2" w:space="0" w:color="auto"/>
              <w:left w:val="single" w:sz="2" w:space="0" w:color="auto"/>
              <w:bottom w:val="single" w:sz="2" w:space="0" w:color="auto"/>
              <w:right w:val="single" w:sz="2" w:space="0" w:color="auto"/>
            </w:tcBorders>
            <w:shd w:val="clear" w:color="auto" w:fill="D3D3D3"/>
            <w:vAlign w:val="center"/>
          </w:tcPr>
          <w:p w14:paraId="20EBC3B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调整后</w:t>
            </w:r>
          </w:p>
        </w:tc>
      </w:tr>
      <w:tr w:rsidR="001D26E7" w:rsidRPr="00F614F9" w14:paraId="79573B9A" w14:textId="77777777" w:rsidTr="00B11EA0">
        <w:trPr>
          <w:trHeight w:val="240"/>
          <w:jc w:val="center"/>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5A11AED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总资产（元）</w:t>
            </w:r>
          </w:p>
        </w:tc>
        <w:tc>
          <w:tcPr>
            <w:tcW w:w="1446" w:type="dxa"/>
            <w:tcBorders>
              <w:top w:val="single" w:sz="2" w:space="0" w:color="auto"/>
              <w:left w:val="single" w:sz="2" w:space="0" w:color="auto"/>
              <w:bottom w:val="single" w:sz="2" w:space="0" w:color="auto"/>
              <w:right w:val="single" w:sz="2" w:space="0" w:color="auto"/>
            </w:tcBorders>
            <w:vAlign w:val="center"/>
          </w:tcPr>
          <w:p w14:paraId="736E2FF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6,317,538,408.46</w:t>
            </w:r>
          </w:p>
        </w:tc>
        <w:tc>
          <w:tcPr>
            <w:tcW w:w="1559" w:type="dxa"/>
            <w:tcBorders>
              <w:top w:val="single" w:sz="2" w:space="0" w:color="auto"/>
              <w:left w:val="single" w:sz="2" w:space="0" w:color="auto"/>
              <w:bottom w:val="single" w:sz="2" w:space="0" w:color="auto"/>
              <w:right w:val="single" w:sz="2" w:space="0" w:color="auto"/>
            </w:tcBorders>
            <w:vAlign w:val="center"/>
          </w:tcPr>
          <w:p w14:paraId="6534301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7,977,125,571.16</w:t>
            </w:r>
          </w:p>
        </w:tc>
        <w:tc>
          <w:tcPr>
            <w:tcW w:w="1559" w:type="dxa"/>
            <w:tcBorders>
              <w:top w:val="single" w:sz="2" w:space="0" w:color="auto"/>
              <w:left w:val="single" w:sz="2" w:space="0" w:color="auto"/>
              <w:bottom w:val="single" w:sz="2" w:space="0" w:color="auto"/>
              <w:right w:val="single" w:sz="2" w:space="0" w:color="auto"/>
            </w:tcBorders>
            <w:vAlign w:val="center"/>
          </w:tcPr>
          <w:p w14:paraId="1E24BB5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7,977,198,797.93</w:t>
            </w:r>
          </w:p>
        </w:tc>
        <w:tc>
          <w:tcPr>
            <w:tcW w:w="967" w:type="dxa"/>
            <w:tcBorders>
              <w:top w:val="single" w:sz="2" w:space="0" w:color="auto"/>
              <w:left w:val="single" w:sz="2" w:space="0" w:color="auto"/>
              <w:bottom w:val="single" w:sz="2" w:space="0" w:color="auto"/>
              <w:right w:val="single" w:sz="2" w:space="0" w:color="auto"/>
            </w:tcBorders>
            <w:vAlign w:val="center"/>
          </w:tcPr>
          <w:p w14:paraId="0233D72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-20.81%</w:t>
            </w:r>
          </w:p>
        </w:tc>
        <w:tc>
          <w:tcPr>
            <w:tcW w:w="1455" w:type="dxa"/>
            <w:tcBorders>
              <w:top w:val="single" w:sz="2" w:space="0" w:color="auto"/>
              <w:left w:val="single" w:sz="2" w:space="0" w:color="auto"/>
              <w:bottom w:val="single" w:sz="2" w:space="0" w:color="auto"/>
              <w:right w:val="single" w:sz="2" w:space="0" w:color="auto"/>
            </w:tcBorders>
            <w:vAlign w:val="center"/>
          </w:tcPr>
          <w:p w14:paraId="19D248F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8,233,177,121.66</w:t>
            </w:r>
          </w:p>
        </w:tc>
        <w:tc>
          <w:tcPr>
            <w:tcW w:w="1547" w:type="dxa"/>
            <w:tcBorders>
              <w:top w:val="single" w:sz="2" w:space="0" w:color="auto"/>
              <w:left w:val="single" w:sz="2" w:space="0" w:color="auto"/>
              <w:bottom w:val="single" w:sz="2" w:space="0" w:color="auto"/>
              <w:right w:val="single" w:sz="2" w:space="0" w:color="auto"/>
            </w:tcBorders>
            <w:vAlign w:val="center"/>
          </w:tcPr>
          <w:p w14:paraId="334501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8,233,177,121.66</w:t>
            </w:r>
          </w:p>
        </w:tc>
      </w:tr>
      <w:tr w:rsidR="001D26E7" w:rsidRPr="00F614F9" w14:paraId="315299ED" w14:textId="77777777" w:rsidTr="00B11EA0">
        <w:trPr>
          <w:trHeight w:val="240"/>
          <w:jc w:val="center"/>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296745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归属于上市公司股东的净资产（元）</w:t>
            </w:r>
          </w:p>
        </w:tc>
        <w:tc>
          <w:tcPr>
            <w:tcW w:w="1446" w:type="dxa"/>
            <w:tcBorders>
              <w:top w:val="single" w:sz="2" w:space="0" w:color="auto"/>
              <w:left w:val="single" w:sz="2" w:space="0" w:color="auto"/>
              <w:bottom w:val="single" w:sz="2" w:space="0" w:color="auto"/>
              <w:right w:val="single" w:sz="2" w:space="0" w:color="auto"/>
            </w:tcBorders>
            <w:vAlign w:val="center"/>
          </w:tcPr>
          <w:p w14:paraId="00F8F42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1,481,981,607.33</w:t>
            </w:r>
          </w:p>
        </w:tc>
        <w:tc>
          <w:tcPr>
            <w:tcW w:w="1559" w:type="dxa"/>
            <w:tcBorders>
              <w:top w:val="single" w:sz="2" w:space="0" w:color="auto"/>
              <w:left w:val="single" w:sz="2" w:space="0" w:color="auto"/>
              <w:bottom w:val="single" w:sz="2" w:space="0" w:color="auto"/>
              <w:right w:val="single" w:sz="2" w:space="0" w:color="auto"/>
            </w:tcBorders>
            <w:vAlign w:val="center"/>
          </w:tcPr>
          <w:p w14:paraId="69BB8D3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3,320,208,427.61</w:t>
            </w:r>
          </w:p>
        </w:tc>
        <w:tc>
          <w:tcPr>
            <w:tcW w:w="1559" w:type="dxa"/>
            <w:tcBorders>
              <w:top w:val="single" w:sz="2" w:space="0" w:color="auto"/>
              <w:left w:val="single" w:sz="2" w:space="0" w:color="auto"/>
              <w:bottom w:val="single" w:sz="2" w:space="0" w:color="auto"/>
              <w:right w:val="single" w:sz="2" w:space="0" w:color="auto"/>
            </w:tcBorders>
            <w:vAlign w:val="center"/>
          </w:tcPr>
          <w:p w14:paraId="5B25DD1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3,320,280,649.56</w:t>
            </w:r>
          </w:p>
        </w:tc>
        <w:tc>
          <w:tcPr>
            <w:tcW w:w="967" w:type="dxa"/>
            <w:tcBorders>
              <w:top w:val="single" w:sz="2" w:space="0" w:color="auto"/>
              <w:left w:val="single" w:sz="2" w:space="0" w:color="auto"/>
              <w:bottom w:val="single" w:sz="2" w:space="0" w:color="auto"/>
              <w:right w:val="single" w:sz="2" w:space="0" w:color="auto"/>
            </w:tcBorders>
            <w:vAlign w:val="center"/>
          </w:tcPr>
          <w:p w14:paraId="569F735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-55.37%</w:t>
            </w:r>
          </w:p>
        </w:tc>
        <w:tc>
          <w:tcPr>
            <w:tcW w:w="1455" w:type="dxa"/>
            <w:tcBorders>
              <w:top w:val="single" w:sz="2" w:space="0" w:color="auto"/>
              <w:left w:val="single" w:sz="2" w:space="0" w:color="auto"/>
              <w:bottom w:val="single" w:sz="2" w:space="0" w:color="auto"/>
              <w:right w:val="single" w:sz="2" w:space="0" w:color="auto"/>
            </w:tcBorders>
            <w:vAlign w:val="center"/>
          </w:tcPr>
          <w:p w14:paraId="3E182B4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3,234,847,472.77</w:t>
            </w:r>
          </w:p>
        </w:tc>
        <w:tc>
          <w:tcPr>
            <w:tcW w:w="1547" w:type="dxa"/>
            <w:tcBorders>
              <w:top w:val="single" w:sz="2" w:space="0" w:color="auto"/>
              <w:left w:val="single" w:sz="2" w:space="0" w:color="auto"/>
              <w:bottom w:val="single" w:sz="2" w:space="0" w:color="auto"/>
              <w:right w:val="single" w:sz="2" w:space="0" w:color="auto"/>
            </w:tcBorders>
            <w:vAlign w:val="center"/>
          </w:tcPr>
          <w:p w14:paraId="4041A48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3,234,847,472.77</w:t>
            </w:r>
          </w:p>
        </w:tc>
      </w:tr>
    </w:tbl>
    <w:p w14:paraId="48E7F7B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会计政策变更的原因及会计差错更正的情况</w:t>
      </w:r>
    </w:p>
    <w:p w14:paraId="0617AA96" w14:textId="77777777" w:rsidR="00872599" w:rsidRPr="00F614F9" w:rsidRDefault="00000000" w:rsidP="004164F4">
      <w:pPr>
        <w:pStyle w:val="a3"/>
        <w:spacing w:before="40" w:beforeAutospacing="0" w:after="40" w:afterAutospacing="0" w:line="276" w:lineRule="auto"/>
        <w:ind w:firstLine="408"/>
        <w:divId w:val="1618875747"/>
        <w:rPr>
          <w:rFonts w:ascii="Times New Roman" w:hAnsi="Times New Roman"/>
          <w:sz w:val="18"/>
          <w:szCs w:val="18"/>
        </w:rPr>
      </w:pPr>
      <w:r w:rsidRPr="00F614F9">
        <w:rPr>
          <w:rFonts w:ascii="Times New Roman" w:hAnsi="Times New Roman" w:hint="eastAsia"/>
          <w:sz w:val="18"/>
          <w:szCs w:val="18"/>
        </w:rPr>
        <w:t>财政部于</w:t>
      </w:r>
      <w:r w:rsidRPr="00F614F9">
        <w:rPr>
          <w:rFonts w:ascii="Times New Roman" w:hAnsi="Times New Roman" w:hint="eastAsia"/>
          <w:sz w:val="18"/>
          <w:szCs w:val="18"/>
        </w:rPr>
        <w:t>2022</w:t>
      </w:r>
      <w:r w:rsidRPr="00F614F9">
        <w:rPr>
          <w:rFonts w:ascii="Times New Roman" w:hAnsi="Times New Roman" w:hint="eastAsia"/>
          <w:sz w:val="18"/>
          <w:szCs w:val="18"/>
        </w:rPr>
        <w:t>年</w:t>
      </w:r>
      <w:r w:rsidRPr="00F614F9">
        <w:rPr>
          <w:rFonts w:ascii="Times New Roman" w:hAnsi="Times New Roman" w:hint="eastAsia"/>
          <w:sz w:val="18"/>
          <w:szCs w:val="18"/>
        </w:rPr>
        <w:t>11</w:t>
      </w:r>
      <w:r w:rsidRPr="00F614F9">
        <w:rPr>
          <w:rFonts w:ascii="Times New Roman" w:hAnsi="Times New Roman" w:hint="eastAsia"/>
          <w:sz w:val="18"/>
          <w:szCs w:val="18"/>
        </w:rPr>
        <w:t>月</w:t>
      </w:r>
      <w:r w:rsidRPr="00F614F9">
        <w:rPr>
          <w:rFonts w:ascii="Times New Roman" w:hAnsi="Times New Roman" w:hint="eastAsia"/>
          <w:sz w:val="18"/>
          <w:szCs w:val="18"/>
        </w:rPr>
        <w:t>30</w:t>
      </w:r>
      <w:r w:rsidRPr="00F614F9">
        <w:rPr>
          <w:rFonts w:ascii="Times New Roman" w:hAnsi="Times New Roman" w:hint="eastAsia"/>
          <w:sz w:val="18"/>
          <w:szCs w:val="18"/>
        </w:rPr>
        <w:t>日发布了《企业会计准则解释第</w:t>
      </w:r>
      <w:r w:rsidRPr="00F614F9">
        <w:rPr>
          <w:rFonts w:ascii="Times New Roman" w:hAnsi="Times New Roman" w:hint="eastAsia"/>
          <w:sz w:val="18"/>
          <w:szCs w:val="18"/>
        </w:rPr>
        <w:t>16</w:t>
      </w:r>
      <w:r w:rsidRPr="00F614F9">
        <w:rPr>
          <w:rFonts w:ascii="Times New Roman" w:hAnsi="Times New Roman" w:hint="eastAsia"/>
          <w:sz w:val="18"/>
          <w:szCs w:val="18"/>
        </w:rPr>
        <w:t>号》，对</w:t>
      </w:r>
      <w:proofErr w:type="gramStart"/>
      <w:r w:rsidRPr="00F614F9">
        <w:rPr>
          <w:rFonts w:ascii="Times New Roman" w:hAnsi="Times New Roman" w:hint="eastAsia"/>
          <w:sz w:val="18"/>
          <w:szCs w:val="18"/>
        </w:rPr>
        <w:t>《企业会计准则第</w:t>
      </w:r>
      <w:r w:rsidRPr="00F614F9">
        <w:rPr>
          <w:rFonts w:ascii="Times New Roman" w:hAnsi="Times New Roman" w:hint="eastAsia"/>
          <w:sz w:val="18"/>
          <w:szCs w:val="18"/>
        </w:rPr>
        <w:t>18</w:t>
      </w:r>
      <w:r w:rsidRPr="00F614F9">
        <w:rPr>
          <w:rFonts w:ascii="Times New Roman" w:hAnsi="Times New Roman" w:hint="eastAsia"/>
          <w:sz w:val="18"/>
          <w:szCs w:val="18"/>
        </w:rPr>
        <w:t>号——所得税》中递延</w:t>
      </w:r>
      <w:proofErr w:type="gramEnd"/>
      <w:r w:rsidRPr="00F614F9">
        <w:rPr>
          <w:rFonts w:ascii="Times New Roman" w:hAnsi="Times New Roman" w:hint="eastAsia"/>
          <w:sz w:val="18"/>
          <w:szCs w:val="18"/>
        </w:rPr>
        <w:t>所得税初始确认豁免的范围进行了修订，明确对于不是企业合并、交易发生时既不影响会计利润也不影响应纳税所得额（或可抵扣亏损）、且初始确认的资产和负债导致产生等额应纳税暂时性差异和可抵扣暂时性差异的单项交易，不适用《企业会计准则第</w:t>
      </w:r>
      <w:r w:rsidRPr="00F614F9">
        <w:rPr>
          <w:rFonts w:ascii="Times New Roman" w:hAnsi="Times New Roman" w:hint="eastAsia"/>
          <w:sz w:val="18"/>
          <w:szCs w:val="18"/>
        </w:rPr>
        <w:t>18</w:t>
      </w:r>
      <w:r w:rsidRPr="00F614F9">
        <w:rPr>
          <w:rFonts w:ascii="Times New Roman" w:hAnsi="Times New Roman" w:hint="eastAsia"/>
          <w:sz w:val="18"/>
          <w:szCs w:val="18"/>
        </w:rPr>
        <w:t>号——所得税》关于豁免初始确认递延所得税负债和递延所得税资产的规定。该规定自</w:t>
      </w:r>
      <w:r w:rsidRPr="00F614F9">
        <w:rPr>
          <w:rFonts w:ascii="Times New Roman" w:hAnsi="Times New Roman" w:hint="eastAsia"/>
          <w:sz w:val="18"/>
          <w:szCs w:val="18"/>
        </w:rPr>
        <w:t>2023</w:t>
      </w:r>
      <w:r w:rsidRPr="00F614F9">
        <w:rPr>
          <w:rFonts w:ascii="Times New Roman" w:hAnsi="Times New Roman" w:hint="eastAsia"/>
          <w:sz w:val="18"/>
          <w:szCs w:val="18"/>
        </w:rPr>
        <w:t>年</w:t>
      </w:r>
      <w:r w:rsidRPr="00F614F9">
        <w:rPr>
          <w:rFonts w:ascii="Times New Roman" w:hAnsi="Times New Roman" w:hint="eastAsia"/>
          <w:sz w:val="18"/>
          <w:szCs w:val="18"/>
        </w:rPr>
        <w:t>1</w:t>
      </w:r>
      <w:r w:rsidRPr="00F614F9">
        <w:rPr>
          <w:rFonts w:ascii="Times New Roman" w:hAnsi="Times New Roman" w:hint="eastAsia"/>
          <w:sz w:val="18"/>
          <w:szCs w:val="18"/>
        </w:rPr>
        <w:t>月</w:t>
      </w:r>
      <w:r w:rsidRPr="00F614F9">
        <w:rPr>
          <w:rFonts w:ascii="Times New Roman" w:hAnsi="Times New Roman" w:hint="eastAsia"/>
          <w:sz w:val="18"/>
          <w:szCs w:val="18"/>
        </w:rPr>
        <w:t>1</w:t>
      </w:r>
      <w:r w:rsidRPr="00F614F9">
        <w:rPr>
          <w:rFonts w:ascii="Times New Roman" w:hAnsi="Times New Roman" w:hint="eastAsia"/>
          <w:sz w:val="18"/>
          <w:szCs w:val="18"/>
        </w:rPr>
        <w:t>日起施行，可以提前执行。公司自</w:t>
      </w:r>
      <w:r w:rsidRPr="00F614F9">
        <w:rPr>
          <w:rFonts w:ascii="Times New Roman" w:hAnsi="Times New Roman" w:hint="eastAsia"/>
          <w:sz w:val="18"/>
          <w:szCs w:val="18"/>
        </w:rPr>
        <w:t>2023</w:t>
      </w:r>
      <w:r w:rsidRPr="00F614F9">
        <w:rPr>
          <w:rFonts w:ascii="Times New Roman" w:hAnsi="Times New Roman" w:hint="eastAsia"/>
          <w:sz w:val="18"/>
          <w:szCs w:val="18"/>
        </w:rPr>
        <w:t>年</w:t>
      </w:r>
      <w:r w:rsidRPr="00F614F9">
        <w:rPr>
          <w:rFonts w:ascii="Times New Roman" w:hAnsi="Times New Roman" w:hint="eastAsia"/>
          <w:sz w:val="18"/>
          <w:szCs w:val="18"/>
        </w:rPr>
        <w:t>1</w:t>
      </w:r>
      <w:r w:rsidRPr="00F614F9">
        <w:rPr>
          <w:rFonts w:ascii="Times New Roman" w:hAnsi="Times New Roman" w:hint="eastAsia"/>
          <w:sz w:val="18"/>
          <w:szCs w:val="18"/>
        </w:rPr>
        <w:t>月</w:t>
      </w:r>
      <w:r w:rsidRPr="00F614F9">
        <w:rPr>
          <w:rFonts w:ascii="Times New Roman" w:hAnsi="Times New Roman" w:hint="eastAsia"/>
          <w:sz w:val="18"/>
          <w:szCs w:val="18"/>
        </w:rPr>
        <w:t>1</w:t>
      </w:r>
      <w:r w:rsidRPr="00F614F9">
        <w:rPr>
          <w:rFonts w:ascii="Times New Roman" w:hAnsi="Times New Roman" w:hint="eastAsia"/>
          <w:sz w:val="18"/>
          <w:szCs w:val="18"/>
        </w:rPr>
        <w:t>日起执行该解释，并根据解释要求对</w:t>
      </w:r>
      <w:r w:rsidRPr="00F614F9">
        <w:rPr>
          <w:rFonts w:ascii="Times New Roman" w:hAnsi="Times New Roman" w:hint="eastAsia"/>
          <w:sz w:val="18"/>
          <w:szCs w:val="18"/>
        </w:rPr>
        <w:t>2023</w:t>
      </w:r>
      <w:r w:rsidRPr="00F614F9">
        <w:rPr>
          <w:rFonts w:ascii="Times New Roman" w:hAnsi="Times New Roman" w:hint="eastAsia"/>
          <w:sz w:val="18"/>
          <w:szCs w:val="18"/>
        </w:rPr>
        <w:t>年</w:t>
      </w:r>
      <w:r w:rsidRPr="00F614F9">
        <w:rPr>
          <w:rFonts w:ascii="Times New Roman" w:hAnsi="Times New Roman" w:hint="eastAsia"/>
          <w:sz w:val="18"/>
          <w:szCs w:val="18"/>
        </w:rPr>
        <w:t>1</w:t>
      </w:r>
      <w:r w:rsidRPr="00F614F9">
        <w:rPr>
          <w:rFonts w:ascii="Times New Roman" w:hAnsi="Times New Roman" w:hint="eastAsia"/>
          <w:sz w:val="18"/>
          <w:szCs w:val="18"/>
        </w:rPr>
        <w:t>月</w:t>
      </w:r>
      <w:r w:rsidRPr="00F614F9">
        <w:rPr>
          <w:rFonts w:ascii="Times New Roman" w:hAnsi="Times New Roman" w:hint="eastAsia"/>
          <w:sz w:val="18"/>
          <w:szCs w:val="18"/>
        </w:rPr>
        <w:t>1</w:t>
      </w:r>
      <w:r w:rsidRPr="00F614F9">
        <w:rPr>
          <w:rFonts w:ascii="Times New Roman" w:hAnsi="Times New Roman" w:hint="eastAsia"/>
          <w:sz w:val="18"/>
          <w:szCs w:val="18"/>
        </w:rPr>
        <w:t>日因适用该解释的单项交易而确认的租赁负债和使用权资产产生的应纳税暂时性差异和可抵扣暂时性差异财务报表列报数据进行重述。</w:t>
      </w:r>
    </w:p>
    <w:p w14:paraId="54F7F450" w14:textId="77777777" w:rsidR="001D26E7" w:rsidRPr="00F614F9" w:rsidRDefault="00000000" w:rsidP="004164F4">
      <w:pPr>
        <w:spacing w:before="100" w:after="100" w:line="276" w:lineRule="auto"/>
        <w:rPr>
          <w:rFonts w:ascii="Times New Roman" w:eastAsia="宋体" w:hAnsi="Times New Roman" w:cs="宋体"/>
          <w:sz w:val="18"/>
          <w:szCs w:val="18"/>
        </w:rPr>
      </w:pPr>
      <w:r w:rsidRPr="00F614F9">
        <w:rPr>
          <w:rFonts w:ascii="Times New Roman" w:eastAsia="宋体" w:hAnsi="Times New Roman" w:cs="宋体"/>
          <w:sz w:val="18"/>
          <w:szCs w:val="18"/>
        </w:rPr>
        <w:t>公司最近三个会计年度扣除非经常性损益</w:t>
      </w:r>
      <w:proofErr w:type="gramStart"/>
      <w:r w:rsidRPr="00F614F9">
        <w:rPr>
          <w:rFonts w:ascii="Times New Roman" w:eastAsia="宋体" w:hAnsi="Times New Roman" w:cs="宋体"/>
          <w:sz w:val="18"/>
          <w:szCs w:val="18"/>
        </w:rPr>
        <w:t>前后净</w:t>
      </w:r>
      <w:proofErr w:type="gramEnd"/>
      <w:r w:rsidRPr="00F614F9">
        <w:rPr>
          <w:rFonts w:ascii="Times New Roman" w:eastAsia="宋体" w:hAnsi="Times New Roman" w:cs="宋体"/>
          <w:sz w:val="18"/>
          <w:szCs w:val="18"/>
        </w:rPr>
        <w:t>利润孰低者均为负值，且最近一年审计报告显示公司持续经营能力存在不确定性</w:t>
      </w:r>
    </w:p>
    <w:p w14:paraId="47648744"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否</w:t>
      </w:r>
    </w:p>
    <w:p w14:paraId="76A60C3F"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扣除非经常损益前后的净利润孰低者为负值</w:t>
      </w:r>
    </w:p>
    <w:p w14:paraId="5B30D734"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否</w:t>
      </w:r>
    </w:p>
    <w:tbl>
      <w:tblPr>
        <w:tblW w:w="9781"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10"/>
        <w:gridCol w:w="1701"/>
        <w:gridCol w:w="1843"/>
        <w:gridCol w:w="3827"/>
      </w:tblGrid>
      <w:tr w:rsidR="001D26E7" w:rsidRPr="00F614F9" w14:paraId="74848255" w14:textId="77777777" w:rsidTr="004164F4">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BBCCBB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14E025E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761B545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p>
        </w:tc>
        <w:tc>
          <w:tcPr>
            <w:tcW w:w="3827" w:type="dxa"/>
            <w:tcBorders>
              <w:top w:val="single" w:sz="2" w:space="0" w:color="auto"/>
              <w:left w:val="single" w:sz="2" w:space="0" w:color="auto"/>
              <w:bottom w:val="single" w:sz="2" w:space="0" w:color="auto"/>
              <w:right w:val="single" w:sz="2" w:space="0" w:color="auto"/>
            </w:tcBorders>
            <w:shd w:val="clear" w:color="auto" w:fill="D3D3D3"/>
            <w:vAlign w:val="center"/>
          </w:tcPr>
          <w:p w14:paraId="117FF27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备注</w:t>
            </w:r>
          </w:p>
        </w:tc>
      </w:tr>
      <w:tr w:rsidR="001D26E7" w:rsidRPr="00F614F9" w14:paraId="6E4C471D" w14:textId="77777777" w:rsidTr="004164F4">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A88FA4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营业收入（元）</w:t>
            </w:r>
          </w:p>
        </w:tc>
        <w:tc>
          <w:tcPr>
            <w:tcW w:w="1701" w:type="dxa"/>
            <w:tcBorders>
              <w:top w:val="single" w:sz="2" w:space="0" w:color="auto"/>
              <w:left w:val="single" w:sz="2" w:space="0" w:color="auto"/>
              <w:bottom w:val="single" w:sz="2" w:space="0" w:color="auto"/>
              <w:right w:val="single" w:sz="2" w:space="0" w:color="auto"/>
            </w:tcBorders>
            <w:vAlign w:val="center"/>
          </w:tcPr>
          <w:p w14:paraId="13F74CE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13,318,473,211.90</w:t>
            </w:r>
          </w:p>
        </w:tc>
        <w:tc>
          <w:tcPr>
            <w:tcW w:w="1843" w:type="dxa"/>
            <w:tcBorders>
              <w:top w:val="single" w:sz="2" w:space="0" w:color="auto"/>
              <w:left w:val="single" w:sz="2" w:space="0" w:color="auto"/>
              <w:bottom w:val="single" w:sz="2" w:space="0" w:color="auto"/>
              <w:right w:val="single" w:sz="2" w:space="0" w:color="auto"/>
            </w:tcBorders>
            <w:vAlign w:val="center"/>
          </w:tcPr>
          <w:p w14:paraId="114D96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16,116,307,059.41</w:t>
            </w:r>
          </w:p>
        </w:tc>
        <w:tc>
          <w:tcPr>
            <w:tcW w:w="3827" w:type="dxa"/>
            <w:tcBorders>
              <w:top w:val="single" w:sz="2" w:space="0" w:color="auto"/>
              <w:left w:val="single" w:sz="2" w:space="0" w:color="auto"/>
              <w:bottom w:val="single" w:sz="2" w:space="0" w:color="auto"/>
              <w:right w:val="single" w:sz="2" w:space="0" w:color="auto"/>
            </w:tcBorders>
            <w:vAlign w:val="center"/>
          </w:tcPr>
          <w:p w14:paraId="688FC38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经营租赁收入、材料销售收入、服务费收入等</w:t>
            </w:r>
          </w:p>
        </w:tc>
      </w:tr>
      <w:tr w:rsidR="001D26E7" w:rsidRPr="00F614F9" w14:paraId="38925010" w14:textId="77777777" w:rsidTr="004164F4">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F510B2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营业收入扣除金额（元）</w:t>
            </w:r>
          </w:p>
        </w:tc>
        <w:tc>
          <w:tcPr>
            <w:tcW w:w="1701" w:type="dxa"/>
            <w:tcBorders>
              <w:top w:val="single" w:sz="2" w:space="0" w:color="auto"/>
              <w:left w:val="single" w:sz="2" w:space="0" w:color="auto"/>
              <w:bottom w:val="single" w:sz="2" w:space="0" w:color="auto"/>
              <w:right w:val="single" w:sz="2" w:space="0" w:color="auto"/>
            </w:tcBorders>
            <w:vAlign w:val="center"/>
          </w:tcPr>
          <w:p w14:paraId="632605D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18,551,556.88</w:t>
            </w:r>
          </w:p>
        </w:tc>
        <w:tc>
          <w:tcPr>
            <w:tcW w:w="1843" w:type="dxa"/>
            <w:tcBorders>
              <w:top w:val="single" w:sz="2" w:space="0" w:color="auto"/>
              <w:left w:val="single" w:sz="2" w:space="0" w:color="auto"/>
              <w:bottom w:val="single" w:sz="2" w:space="0" w:color="auto"/>
              <w:right w:val="single" w:sz="2" w:space="0" w:color="auto"/>
            </w:tcBorders>
            <w:vAlign w:val="center"/>
          </w:tcPr>
          <w:p w14:paraId="44BA591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23,640,614.33</w:t>
            </w:r>
          </w:p>
        </w:tc>
        <w:tc>
          <w:tcPr>
            <w:tcW w:w="3827" w:type="dxa"/>
            <w:tcBorders>
              <w:top w:val="single" w:sz="2" w:space="0" w:color="auto"/>
              <w:left w:val="single" w:sz="2" w:space="0" w:color="auto"/>
              <w:bottom w:val="single" w:sz="2" w:space="0" w:color="auto"/>
              <w:right w:val="single" w:sz="2" w:space="0" w:color="auto"/>
            </w:tcBorders>
            <w:vAlign w:val="center"/>
          </w:tcPr>
          <w:p w14:paraId="3BF81D8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经营租赁收入、材料销售收入、服务费收入等</w:t>
            </w:r>
          </w:p>
        </w:tc>
      </w:tr>
      <w:tr w:rsidR="001D26E7" w:rsidRPr="00F614F9" w14:paraId="63A296BF" w14:textId="77777777" w:rsidTr="004164F4">
        <w:trPr>
          <w:trHeight w:val="240"/>
          <w:jc w:val="center"/>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016453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营业收入扣除后金额（元）</w:t>
            </w:r>
          </w:p>
        </w:tc>
        <w:tc>
          <w:tcPr>
            <w:tcW w:w="1701" w:type="dxa"/>
            <w:tcBorders>
              <w:top w:val="single" w:sz="2" w:space="0" w:color="auto"/>
              <w:left w:val="single" w:sz="2" w:space="0" w:color="auto"/>
              <w:bottom w:val="single" w:sz="2" w:space="0" w:color="auto"/>
              <w:right w:val="single" w:sz="2" w:space="0" w:color="auto"/>
            </w:tcBorders>
            <w:vAlign w:val="center"/>
          </w:tcPr>
          <w:p w14:paraId="516AFD5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13,299,921,655.02</w:t>
            </w:r>
          </w:p>
        </w:tc>
        <w:tc>
          <w:tcPr>
            <w:tcW w:w="1843" w:type="dxa"/>
            <w:tcBorders>
              <w:top w:val="single" w:sz="2" w:space="0" w:color="auto"/>
              <w:left w:val="single" w:sz="2" w:space="0" w:color="auto"/>
              <w:bottom w:val="single" w:sz="2" w:space="0" w:color="auto"/>
              <w:right w:val="single" w:sz="2" w:space="0" w:color="auto"/>
            </w:tcBorders>
            <w:vAlign w:val="center"/>
          </w:tcPr>
          <w:p w14:paraId="1084E33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16,092,666,445.08</w:t>
            </w:r>
          </w:p>
        </w:tc>
        <w:tc>
          <w:tcPr>
            <w:tcW w:w="3827" w:type="dxa"/>
            <w:tcBorders>
              <w:top w:val="single" w:sz="2" w:space="0" w:color="auto"/>
              <w:left w:val="single" w:sz="2" w:space="0" w:color="auto"/>
              <w:bottom w:val="single" w:sz="2" w:space="0" w:color="auto"/>
              <w:right w:val="single" w:sz="2" w:space="0" w:color="auto"/>
            </w:tcBorders>
            <w:vAlign w:val="center"/>
          </w:tcPr>
          <w:p w14:paraId="550CB5A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经营租赁收入、材料销售收入、服务费收入等</w:t>
            </w:r>
          </w:p>
        </w:tc>
      </w:tr>
    </w:tbl>
    <w:p w14:paraId="6F7E029D"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4" w:name="_Toc988897"/>
      <w:bookmarkStart w:id="15" w:name="_Toc164024751"/>
      <w:r w:rsidRPr="00F614F9">
        <w:rPr>
          <w:rFonts w:ascii="Times New Roman" w:eastAsia="宋体" w:hAnsi="Times New Roman" w:cs="宋体"/>
          <w:b/>
          <w:bCs/>
          <w:sz w:val="24"/>
          <w:szCs w:val="24"/>
        </w:rPr>
        <w:t>七、境内外会计准则下会计数据差异</w:t>
      </w:r>
      <w:bookmarkEnd w:id="14"/>
      <w:bookmarkEnd w:id="15"/>
    </w:p>
    <w:p w14:paraId="50372A15" w14:textId="77777777" w:rsidR="001D26E7" w:rsidRPr="00F614F9" w:rsidRDefault="00000000">
      <w:pPr>
        <w:pStyle w:val="3"/>
        <w:spacing w:line="280" w:lineRule="exact"/>
        <w:jc w:val="left"/>
        <w:rPr>
          <w:rFonts w:ascii="Times New Roman" w:hAnsi="Times New Roman" w:cs="宋体"/>
          <w:b/>
          <w:bCs/>
        </w:rPr>
      </w:pPr>
      <w:bookmarkStart w:id="16" w:name="_Toc988898"/>
      <w:r w:rsidRPr="00F614F9">
        <w:rPr>
          <w:rFonts w:ascii="Times New Roman" w:hAnsi="Times New Roman" w:cs="宋体"/>
          <w:b/>
          <w:bCs/>
        </w:rPr>
        <w:t>1</w:t>
      </w:r>
      <w:r w:rsidRPr="00F614F9">
        <w:rPr>
          <w:rFonts w:ascii="Times New Roman" w:hAnsi="Times New Roman" w:cs="宋体"/>
          <w:b/>
          <w:bCs/>
        </w:rPr>
        <w:t>、同时按照国际会计准则与按照中国会计准则披露的财务</w:t>
      </w:r>
      <w:proofErr w:type="gramStart"/>
      <w:r w:rsidRPr="00F614F9">
        <w:rPr>
          <w:rFonts w:ascii="Times New Roman" w:hAnsi="Times New Roman" w:cs="宋体"/>
          <w:b/>
          <w:bCs/>
        </w:rPr>
        <w:t>报告中净利润</w:t>
      </w:r>
      <w:proofErr w:type="gramEnd"/>
      <w:r w:rsidRPr="00F614F9">
        <w:rPr>
          <w:rFonts w:ascii="Times New Roman" w:hAnsi="Times New Roman" w:cs="宋体"/>
          <w:b/>
          <w:bCs/>
        </w:rPr>
        <w:t>和净资产差异情况</w:t>
      </w:r>
      <w:bookmarkEnd w:id="16"/>
    </w:p>
    <w:p w14:paraId="6F565AF1"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5EEBBE4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公司报告期不存在按照国际会计准则与按照中国会计准则披露的财务</w:t>
      </w:r>
      <w:proofErr w:type="gramStart"/>
      <w:r w:rsidRPr="00F614F9">
        <w:rPr>
          <w:rFonts w:ascii="Times New Roman" w:eastAsia="宋体" w:hAnsi="Times New Roman" w:cs="宋体"/>
          <w:sz w:val="18"/>
          <w:szCs w:val="18"/>
        </w:rPr>
        <w:t>报告中净利润</w:t>
      </w:r>
      <w:proofErr w:type="gramEnd"/>
      <w:r w:rsidRPr="00F614F9">
        <w:rPr>
          <w:rFonts w:ascii="Times New Roman" w:eastAsia="宋体" w:hAnsi="Times New Roman" w:cs="宋体"/>
          <w:sz w:val="18"/>
          <w:szCs w:val="18"/>
        </w:rPr>
        <w:t>和净资产差异情况。</w:t>
      </w:r>
    </w:p>
    <w:p w14:paraId="14F02F12" w14:textId="77777777" w:rsidR="001D26E7" w:rsidRPr="00F614F9" w:rsidRDefault="00000000">
      <w:pPr>
        <w:pStyle w:val="3"/>
        <w:spacing w:line="280" w:lineRule="exact"/>
        <w:jc w:val="left"/>
        <w:rPr>
          <w:rFonts w:ascii="Times New Roman" w:hAnsi="Times New Roman" w:cs="宋体"/>
          <w:b/>
          <w:bCs/>
        </w:rPr>
      </w:pPr>
      <w:bookmarkStart w:id="17" w:name="_Toc988899"/>
      <w:r w:rsidRPr="00F614F9">
        <w:rPr>
          <w:rFonts w:ascii="Times New Roman" w:hAnsi="Times New Roman" w:cs="宋体"/>
          <w:b/>
          <w:bCs/>
        </w:rPr>
        <w:t>2</w:t>
      </w:r>
      <w:r w:rsidRPr="00F614F9">
        <w:rPr>
          <w:rFonts w:ascii="Times New Roman" w:hAnsi="Times New Roman" w:cs="宋体"/>
          <w:b/>
          <w:bCs/>
        </w:rPr>
        <w:t>、同时按照境外会计准则与按照中国会计准则披露的财务</w:t>
      </w:r>
      <w:proofErr w:type="gramStart"/>
      <w:r w:rsidRPr="00F614F9">
        <w:rPr>
          <w:rFonts w:ascii="Times New Roman" w:hAnsi="Times New Roman" w:cs="宋体"/>
          <w:b/>
          <w:bCs/>
        </w:rPr>
        <w:t>报告中净利润</w:t>
      </w:r>
      <w:proofErr w:type="gramEnd"/>
      <w:r w:rsidRPr="00F614F9">
        <w:rPr>
          <w:rFonts w:ascii="Times New Roman" w:hAnsi="Times New Roman" w:cs="宋体"/>
          <w:b/>
          <w:bCs/>
        </w:rPr>
        <w:t>和净资产差异情况</w:t>
      </w:r>
      <w:bookmarkEnd w:id="17"/>
    </w:p>
    <w:p w14:paraId="5D4A87A0"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0F41E6E9"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公司报告期不存在按照境外会计准则与按照中国会计准则披露的财务</w:t>
      </w:r>
      <w:proofErr w:type="gramStart"/>
      <w:r w:rsidRPr="00F614F9">
        <w:rPr>
          <w:rFonts w:ascii="Times New Roman" w:eastAsia="宋体" w:hAnsi="Times New Roman" w:cs="宋体"/>
          <w:sz w:val="18"/>
          <w:szCs w:val="18"/>
        </w:rPr>
        <w:t>报告中净利润</w:t>
      </w:r>
      <w:proofErr w:type="gramEnd"/>
      <w:r w:rsidRPr="00F614F9">
        <w:rPr>
          <w:rFonts w:ascii="Times New Roman" w:eastAsia="宋体" w:hAnsi="Times New Roman" w:cs="宋体"/>
          <w:sz w:val="18"/>
          <w:szCs w:val="18"/>
        </w:rPr>
        <w:t>和净资产差异情况。</w:t>
      </w:r>
    </w:p>
    <w:p w14:paraId="6E442DB1"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8" w:name="_Toc988900"/>
      <w:bookmarkStart w:id="19" w:name="_Toc164024752"/>
      <w:r w:rsidRPr="00F614F9">
        <w:rPr>
          <w:rFonts w:ascii="Times New Roman" w:eastAsia="宋体" w:hAnsi="Times New Roman" w:cs="宋体"/>
          <w:b/>
          <w:bCs/>
          <w:sz w:val="24"/>
          <w:szCs w:val="24"/>
        </w:rPr>
        <w:t>八、分季度主要财务指标</w:t>
      </w:r>
      <w:bookmarkEnd w:id="18"/>
      <w:bookmarkEnd w:id="19"/>
    </w:p>
    <w:p w14:paraId="4899D038"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1D26E7" w:rsidRPr="00F614F9" w14:paraId="6654CF3D" w14:textId="77777777" w:rsidTr="004164F4">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FD5C3FE" w14:textId="77777777" w:rsidR="001D26E7" w:rsidRPr="00F614F9" w:rsidRDefault="001D26E7">
            <w:pPr>
              <w:rPr>
                <w:rFonts w:ascii="Times New Roman" w:hAnsi="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6CCC45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第一季度</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894E1A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第二季度</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2A15EF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第三季度</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3C421E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第四季度</w:t>
            </w:r>
          </w:p>
        </w:tc>
      </w:tr>
      <w:tr w:rsidR="001D26E7" w:rsidRPr="00F614F9" w14:paraId="4BCAB9BC" w14:textId="77777777" w:rsidTr="004164F4">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E9F45D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营业收入</w:t>
            </w:r>
          </w:p>
        </w:tc>
        <w:tc>
          <w:tcPr>
            <w:tcW w:w="1928" w:type="dxa"/>
            <w:tcBorders>
              <w:top w:val="single" w:sz="2" w:space="0" w:color="auto"/>
              <w:left w:val="single" w:sz="2" w:space="0" w:color="auto"/>
              <w:bottom w:val="single" w:sz="2" w:space="0" w:color="auto"/>
              <w:right w:val="single" w:sz="2" w:space="0" w:color="auto"/>
            </w:tcBorders>
            <w:vAlign w:val="center"/>
          </w:tcPr>
          <w:p w14:paraId="1F46BAB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3,476,825,794.20</w:t>
            </w:r>
          </w:p>
        </w:tc>
        <w:tc>
          <w:tcPr>
            <w:tcW w:w="1928" w:type="dxa"/>
            <w:tcBorders>
              <w:top w:val="single" w:sz="2" w:space="0" w:color="auto"/>
              <w:left w:val="single" w:sz="2" w:space="0" w:color="auto"/>
              <w:bottom w:val="single" w:sz="2" w:space="0" w:color="auto"/>
              <w:right w:val="single" w:sz="2" w:space="0" w:color="auto"/>
            </w:tcBorders>
            <w:vAlign w:val="center"/>
          </w:tcPr>
          <w:p w14:paraId="7776037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3,249,596,299.29</w:t>
            </w:r>
          </w:p>
        </w:tc>
        <w:tc>
          <w:tcPr>
            <w:tcW w:w="1928" w:type="dxa"/>
            <w:tcBorders>
              <w:top w:val="single" w:sz="2" w:space="0" w:color="auto"/>
              <w:left w:val="single" w:sz="2" w:space="0" w:color="auto"/>
              <w:bottom w:val="single" w:sz="2" w:space="0" w:color="auto"/>
              <w:right w:val="single" w:sz="2" w:space="0" w:color="auto"/>
            </w:tcBorders>
            <w:vAlign w:val="center"/>
          </w:tcPr>
          <w:p w14:paraId="057048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3,379,692,637.78</w:t>
            </w:r>
          </w:p>
        </w:tc>
        <w:tc>
          <w:tcPr>
            <w:tcW w:w="1928" w:type="dxa"/>
            <w:tcBorders>
              <w:top w:val="single" w:sz="2" w:space="0" w:color="auto"/>
              <w:left w:val="single" w:sz="2" w:space="0" w:color="auto"/>
              <w:bottom w:val="single" w:sz="2" w:space="0" w:color="auto"/>
              <w:right w:val="single" w:sz="2" w:space="0" w:color="auto"/>
            </w:tcBorders>
            <w:vAlign w:val="center"/>
          </w:tcPr>
          <w:p w14:paraId="3FAC306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3,212,358,480.63</w:t>
            </w:r>
          </w:p>
        </w:tc>
      </w:tr>
      <w:tr w:rsidR="001D26E7" w:rsidRPr="00F614F9" w14:paraId="0ACB1067" w14:textId="77777777" w:rsidTr="004164F4">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B444FF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归属于上市公司股东的净利润</w:t>
            </w:r>
          </w:p>
        </w:tc>
        <w:tc>
          <w:tcPr>
            <w:tcW w:w="1928" w:type="dxa"/>
            <w:tcBorders>
              <w:top w:val="single" w:sz="2" w:space="0" w:color="auto"/>
              <w:left w:val="single" w:sz="2" w:space="0" w:color="auto"/>
              <w:bottom w:val="single" w:sz="2" w:space="0" w:color="auto"/>
              <w:right w:val="single" w:sz="2" w:space="0" w:color="auto"/>
            </w:tcBorders>
            <w:vAlign w:val="center"/>
          </w:tcPr>
          <w:p w14:paraId="46BC9B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21,187,983.39</w:t>
            </w:r>
          </w:p>
        </w:tc>
        <w:tc>
          <w:tcPr>
            <w:tcW w:w="1928" w:type="dxa"/>
            <w:tcBorders>
              <w:top w:val="single" w:sz="2" w:space="0" w:color="auto"/>
              <w:left w:val="single" w:sz="2" w:space="0" w:color="auto"/>
              <w:bottom w:val="single" w:sz="2" w:space="0" w:color="auto"/>
              <w:right w:val="single" w:sz="2" w:space="0" w:color="auto"/>
            </w:tcBorders>
            <w:vAlign w:val="center"/>
          </w:tcPr>
          <w:p w14:paraId="4CA3CFF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-645,525,402.21</w:t>
            </w:r>
          </w:p>
        </w:tc>
        <w:tc>
          <w:tcPr>
            <w:tcW w:w="1928" w:type="dxa"/>
            <w:tcBorders>
              <w:top w:val="single" w:sz="2" w:space="0" w:color="auto"/>
              <w:left w:val="single" w:sz="2" w:space="0" w:color="auto"/>
              <w:bottom w:val="single" w:sz="2" w:space="0" w:color="auto"/>
              <w:right w:val="single" w:sz="2" w:space="0" w:color="auto"/>
            </w:tcBorders>
            <w:vAlign w:val="center"/>
          </w:tcPr>
          <w:p w14:paraId="436DD3A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-24,167,172.29</w:t>
            </w:r>
          </w:p>
        </w:tc>
        <w:tc>
          <w:tcPr>
            <w:tcW w:w="1928" w:type="dxa"/>
            <w:tcBorders>
              <w:top w:val="single" w:sz="2" w:space="0" w:color="auto"/>
              <w:left w:val="single" w:sz="2" w:space="0" w:color="auto"/>
              <w:bottom w:val="single" w:sz="2" w:space="0" w:color="auto"/>
              <w:right w:val="single" w:sz="2" w:space="0" w:color="auto"/>
            </w:tcBorders>
            <w:vAlign w:val="center"/>
          </w:tcPr>
          <w:p w14:paraId="675D8BD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-889,849,112.97</w:t>
            </w:r>
          </w:p>
        </w:tc>
      </w:tr>
      <w:tr w:rsidR="001D26E7" w:rsidRPr="00F614F9" w14:paraId="34410080" w14:textId="77777777" w:rsidTr="004164F4">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B40E99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归属于上市公司股东的扣除非经常性损益</w:t>
            </w:r>
            <w:r w:rsidRPr="00F614F9">
              <w:rPr>
                <w:rFonts w:ascii="Times New Roman" w:eastAsia="宋体" w:hAnsi="Times New Roman" w:cs="宋体"/>
                <w:sz w:val="18"/>
                <w:szCs w:val="18"/>
              </w:rPr>
              <w:lastRenderedPageBreak/>
              <w:t>的净利润</w:t>
            </w:r>
          </w:p>
        </w:tc>
        <w:tc>
          <w:tcPr>
            <w:tcW w:w="1928" w:type="dxa"/>
            <w:tcBorders>
              <w:top w:val="single" w:sz="2" w:space="0" w:color="auto"/>
              <w:left w:val="single" w:sz="2" w:space="0" w:color="auto"/>
              <w:bottom w:val="single" w:sz="2" w:space="0" w:color="auto"/>
              <w:right w:val="single" w:sz="2" w:space="0" w:color="auto"/>
            </w:tcBorders>
            <w:vAlign w:val="center"/>
          </w:tcPr>
          <w:p w14:paraId="744E9CE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lastRenderedPageBreak/>
              <w:t>22,942,469.53</w:t>
            </w:r>
          </w:p>
        </w:tc>
        <w:tc>
          <w:tcPr>
            <w:tcW w:w="1928" w:type="dxa"/>
            <w:tcBorders>
              <w:top w:val="single" w:sz="2" w:space="0" w:color="auto"/>
              <w:left w:val="single" w:sz="2" w:space="0" w:color="auto"/>
              <w:bottom w:val="single" w:sz="2" w:space="0" w:color="auto"/>
              <w:right w:val="single" w:sz="2" w:space="0" w:color="auto"/>
            </w:tcBorders>
            <w:vAlign w:val="center"/>
          </w:tcPr>
          <w:p w14:paraId="06E6093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-487,030,131.93</w:t>
            </w:r>
          </w:p>
        </w:tc>
        <w:tc>
          <w:tcPr>
            <w:tcW w:w="1928" w:type="dxa"/>
            <w:tcBorders>
              <w:top w:val="single" w:sz="2" w:space="0" w:color="auto"/>
              <w:left w:val="single" w:sz="2" w:space="0" w:color="auto"/>
              <w:bottom w:val="single" w:sz="2" w:space="0" w:color="auto"/>
              <w:right w:val="single" w:sz="2" w:space="0" w:color="auto"/>
            </w:tcBorders>
            <w:vAlign w:val="center"/>
          </w:tcPr>
          <w:p w14:paraId="41FD090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-24,290,023.56</w:t>
            </w:r>
          </w:p>
        </w:tc>
        <w:tc>
          <w:tcPr>
            <w:tcW w:w="1928" w:type="dxa"/>
            <w:tcBorders>
              <w:top w:val="single" w:sz="2" w:space="0" w:color="auto"/>
              <w:left w:val="single" w:sz="2" w:space="0" w:color="auto"/>
              <w:bottom w:val="single" w:sz="2" w:space="0" w:color="auto"/>
              <w:right w:val="single" w:sz="2" w:space="0" w:color="auto"/>
            </w:tcBorders>
            <w:vAlign w:val="center"/>
          </w:tcPr>
          <w:p w14:paraId="234F4CC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-876,318,453.60</w:t>
            </w:r>
          </w:p>
        </w:tc>
      </w:tr>
      <w:tr w:rsidR="001D26E7" w:rsidRPr="00F614F9" w14:paraId="40FB1FE8" w14:textId="77777777" w:rsidTr="004164F4">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CBD0DA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经营活动产生的现金流量净额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14:paraId="3BC1DA1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-83,329,768.45</w:t>
            </w:r>
          </w:p>
        </w:tc>
        <w:tc>
          <w:tcPr>
            <w:tcW w:w="1928" w:type="dxa"/>
            <w:tcBorders>
              <w:top w:val="single" w:sz="2" w:space="0" w:color="auto"/>
              <w:left w:val="single" w:sz="2" w:space="0" w:color="auto"/>
              <w:bottom w:val="single" w:sz="2" w:space="0" w:color="auto"/>
              <w:right w:val="single" w:sz="2" w:space="0" w:color="auto"/>
            </w:tcBorders>
            <w:vAlign w:val="center"/>
          </w:tcPr>
          <w:p w14:paraId="16D8B26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-283,225,675.99</w:t>
            </w:r>
          </w:p>
        </w:tc>
        <w:tc>
          <w:tcPr>
            <w:tcW w:w="1928" w:type="dxa"/>
            <w:tcBorders>
              <w:top w:val="single" w:sz="2" w:space="0" w:color="auto"/>
              <w:left w:val="single" w:sz="2" w:space="0" w:color="auto"/>
              <w:bottom w:val="single" w:sz="2" w:space="0" w:color="auto"/>
              <w:right w:val="single" w:sz="2" w:space="0" w:color="auto"/>
            </w:tcBorders>
            <w:vAlign w:val="center"/>
          </w:tcPr>
          <w:p w14:paraId="12419B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-162,625,634.06</w:t>
            </w:r>
          </w:p>
        </w:tc>
        <w:tc>
          <w:tcPr>
            <w:tcW w:w="1928" w:type="dxa"/>
            <w:tcBorders>
              <w:top w:val="single" w:sz="2" w:space="0" w:color="auto"/>
              <w:left w:val="single" w:sz="2" w:space="0" w:color="auto"/>
              <w:bottom w:val="single" w:sz="2" w:space="0" w:color="auto"/>
              <w:right w:val="single" w:sz="2" w:space="0" w:color="auto"/>
            </w:tcBorders>
            <w:vAlign w:val="center"/>
          </w:tcPr>
          <w:p w14:paraId="79FED9E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-59,537,400.19</w:t>
            </w:r>
          </w:p>
        </w:tc>
      </w:tr>
    </w:tbl>
    <w:p w14:paraId="7D03D3C8"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上述财务指标或其加总数是否与公司已披露季度报告、半年度报告相关财务指标存在重大差异</w:t>
      </w:r>
    </w:p>
    <w:p w14:paraId="16E08AF5"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否</w:t>
      </w:r>
    </w:p>
    <w:p w14:paraId="3F3F90AD"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20" w:name="_Toc988901"/>
      <w:bookmarkStart w:id="21" w:name="_Toc164024753"/>
      <w:r w:rsidRPr="00F614F9">
        <w:rPr>
          <w:rFonts w:ascii="Times New Roman" w:eastAsia="宋体" w:hAnsi="Times New Roman" w:cs="宋体"/>
          <w:b/>
          <w:bCs/>
          <w:sz w:val="24"/>
          <w:szCs w:val="24"/>
        </w:rPr>
        <w:t>九、非经常性损益项目及金额</w:t>
      </w:r>
      <w:bookmarkEnd w:id="20"/>
      <w:bookmarkEnd w:id="21"/>
    </w:p>
    <w:p w14:paraId="049E151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3F9CD253"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781"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616"/>
        <w:gridCol w:w="1771"/>
        <w:gridCol w:w="1984"/>
        <w:gridCol w:w="1701"/>
        <w:gridCol w:w="709"/>
      </w:tblGrid>
      <w:tr w:rsidR="001D26E7" w:rsidRPr="00F614F9" w14:paraId="66EB7AA9" w14:textId="77777777" w:rsidTr="004164F4">
        <w:trPr>
          <w:trHeight w:val="240"/>
          <w:jc w:val="center"/>
        </w:trPr>
        <w:tc>
          <w:tcPr>
            <w:tcW w:w="3616" w:type="dxa"/>
            <w:tcBorders>
              <w:top w:val="single" w:sz="2" w:space="0" w:color="auto"/>
              <w:left w:val="single" w:sz="2" w:space="0" w:color="auto"/>
              <w:bottom w:val="single" w:sz="2" w:space="0" w:color="auto"/>
              <w:right w:val="single" w:sz="2" w:space="0" w:color="auto"/>
            </w:tcBorders>
            <w:shd w:val="clear" w:color="auto" w:fill="D3D3D3"/>
            <w:vAlign w:val="center"/>
          </w:tcPr>
          <w:p w14:paraId="7E3D9D5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1771" w:type="dxa"/>
            <w:tcBorders>
              <w:top w:val="single" w:sz="2" w:space="0" w:color="auto"/>
              <w:left w:val="single" w:sz="2" w:space="0" w:color="auto"/>
              <w:bottom w:val="single" w:sz="2" w:space="0" w:color="auto"/>
              <w:right w:val="single" w:sz="2" w:space="0" w:color="auto"/>
            </w:tcBorders>
            <w:shd w:val="clear" w:color="auto" w:fill="D3D3D3"/>
            <w:vAlign w:val="center"/>
          </w:tcPr>
          <w:p w14:paraId="1CCA98C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年金额</w:t>
            </w: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14:paraId="2353F9B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年金额</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679F98C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年金额</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70B4E61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说明</w:t>
            </w:r>
          </w:p>
        </w:tc>
      </w:tr>
      <w:tr w:rsidR="001D26E7" w:rsidRPr="00F614F9" w14:paraId="145D929B" w14:textId="77777777" w:rsidTr="004164F4">
        <w:trPr>
          <w:trHeight w:val="240"/>
          <w:jc w:val="center"/>
        </w:trPr>
        <w:tc>
          <w:tcPr>
            <w:tcW w:w="3616" w:type="dxa"/>
            <w:tcBorders>
              <w:top w:val="single" w:sz="2" w:space="0" w:color="auto"/>
              <w:left w:val="single" w:sz="2" w:space="0" w:color="auto"/>
              <w:bottom w:val="single" w:sz="2" w:space="0" w:color="auto"/>
              <w:right w:val="single" w:sz="2" w:space="0" w:color="auto"/>
            </w:tcBorders>
            <w:shd w:val="clear" w:color="auto" w:fill="D3D3D3"/>
            <w:vAlign w:val="center"/>
          </w:tcPr>
          <w:p w14:paraId="72CD86B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非流动性资产处置损益（包括已计提资产减值准备的冲销部分）</w:t>
            </w:r>
          </w:p>
        </w:tc>
        <w:tc>
          <w:tcPr>
            <w:tcW w:w="1771" w:type="dxa"/>
            <w:tcBorders>
              <w:top w:val="single" w:sz="2" w:space="0" w:color="auto"/>
              <w:left w:val="single" w:sz="2" w:space="0" w:color="auto"/>
              <w:bottom w:val="single" w:sz="2" w:space="0" w:color="auto"/>
              <w:right w:val="single" w:sz="2" w:space="0" w:color="auto"/>
            </w:tcBorders>
            <w:vAlign w:val="center"/>
          </w:tcPr>
          <w:p w14:paraId="51B6658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-175,646,622.60</w:t>
            </w:r>
          </w:p>
        </w:tc>
        <w:tc>
          <w:tcPr>
            <w:tcW w:w="1984" w:type="dxa"/>
            <w:tcBorders>
              <w:top w:val="single" w:sz="2" w:space="0" w:color="auto"/>
              <w:left w:val="single" w:sz="2" w:space="0" w:color="auto"/>
              <w:bottom w:val="single" w:sz="2" w:space="0" w:color="auto"/>
              <w:right w:val="single" w:sz="2" w:space="0" w:color="auto"/>
            </w:tcBorders>
            <w:vAlign w:val="center"/>
          </w:tcPr>
          <w:p w14:paraId="5D621C3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-85,474,446.37</w:t>
            </w:r>
          </w:p>
        </w:tc>
        <w:tc>
          <w:tcPr>
            <w:tcW w:w="1701" w:type="dxa"/>
            <w:tcBorders>
              <w:top w:val="single" w:sz="2" w:space="0" w:color="auto"/>
              <w:left w:val="single" w:sz="2" w:space="0" w:color="auto"/>
              <w:bottom w:val="single" w:sz="2" w:space="0" w:color="auto"/>
              <w:right w:val="single" w:sz="2" w:space="0" w:color="auto"/>
            </w:tcBorders>
            <w:vAlign w:val="center"/>
          </w:tcPr>
          <w:p w14:paraId="17E0AB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-113,537,951.85</w:t>
            </w:r>
          </w:p>
        </w:tc>
        <w:tc>
          <w:tcPr>
            <w:tcW w:w="709" w:type="dxa"/>
            <w:tcBorders>
              <w:top w:val="single" w:sz="2" w:space="0" w:color="auto"/>
              <w:left w:val="single" w:sz="2" w:space="0" w:color="auto"/>
              <w:bottom w:val="single" w:sz="2" w:space="0" w:color="auto"/>
              <w:right w:val="single" w:sz="2" w:space="0" w:color="auto"/>
            </w:tcBorders>
            <w:vAlign w:val="center"/>
          </w:tcPr>
          <w:p w14:paraId="212B475E"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6DA847B3" w14:textId="77777777" w:rsidTr="004164F4">
        <w:trPr>
          <w:trHeight w:val="240"/>
          <w:jc w:val="center"/>
        </w:trPr>
        <w:tc>
          <w:tcPr>
            <w:tcW w:w="3616" w:type="dxa"/>
            <w:tcBorders>
              <w:top w:val="single" w:sz="2" w:space="0" w:color="auto"/>
              <w:left w:val="single" w:sz="2" w:space="0" w:color="auto"/>
              <w:bottom w:val="single" w:sz="2" w:space="0" w:color="auto"/>
              <w:right w:val="single" w:sz="2" w:space="0" w:color="auto"/>
            </w:tcBorders>
            <w:shd w:val="clear" w:color="auto" w:fill="D3D3D3"/>
            <w:vAlign w:val="center"/>
          </w:tcPr>
          <w:p w14:paraId="64CDF34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计入当期损益的政府补助（与公司正常经营业务密切相关，符合国家政策规定、按照确定的标准享有、对公司损益产生持续影响的政府补助除外）</w:t>
            </w:r>
          </w:p>
        </w:tc>
        <w:tc>
          <w:tcPr>
            <w:tcW w:w="1771" w:type="dxa"/>
            <w:tcBorders>
              <w:top w:val="single" w:sz="2" w:space="0" w:color="auto"/>
              <w:left w:val="single" w:sz="2" w:space="0" w:color="auto"/>
              <w:bottom w:val="single" w:sz="2" w:space="0" w:color="auto"/>
              <w:right w:val="single" w:sz="2" w:space="0" w:color="auto"/>
            </w:tcBorders>
            <w:vAlign w:val="center"/>
          </w:tcPr>
          <w:p w14:paraId="4BFB337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23,531,182.30</w:t>
            </w:r>
          </w:p>
        </w:tc>
        <w:tc>
          <w:tcPr>
            <w:tcW w:w="1984" w:type="dxa"/>
            <w:tcBorders>
              <w:top w:val="single" w:sz="2" w:space="0" w:color="auto"/>
              <w:left w:val="single" w:sz="2" w:space="0" w:color="auto"/>
              <w:bottom w:val="single" w:sz="2" w:space="0" w:color="auto"/>
              <w:right w:val="single" w:sz="2" w:space="0" w:color="auto"/>
            </w:tcBorders>
            <w:vAlign w:val="center"/>
          </w:tcPr>
          <w:p w14:paraId="7EF1AD3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18,538,588.58</w:t>
            </w:r>
          </w:p>
        </w:tc>
        <w:tc>
          <w:tcPr>
            <w:tcW w:w="1701" w:type="dxa"/>
            <w:tcBorders>
              <w:top w:val="single" w:sz="2" w:space="0" w:color="auto"/>
              <w:left w:val="single" w:sz="2" w:space="0" w:color="auto"/>
              <w:bottom w:val="single" w:sz="2" w:space="0" w:color="auto"/>
              <w:right w:val="single" w:sz="2" w:space="0" w:color="auto"/>
            </w:tcBorders>
            <w:vAlign w:val="center"/>
          </w:tcPr>
          <w:p w14:paraId="18904E5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24,830,592.80</w:t>
            </w:r>
          </w:p>
        </w:tc>
        <w:tc>
          <w:tcPr>
            <w:tcW w:w="709" w:type="dxa"/>
            <w:tcBorders>
              <w:top w:val="single" w:sz="2" w:space="0" w:color="auto"/>
              <w:left w:val="single" w:sz="2" w:space="0" w:color="auto"/>
              <w:bottom w:val="single" w:sz="2" w:space="0" w:color="auto"/>
              <w:right w:val="single" w:sz="2" w:space="0" w:color="auto"/>
            </w:tcBorders>
            <w:vAlign w:val="center"/>
          </w:tcPr>
          <w:p w14:paraId="731AFEA7"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31B49CD3" w14:textId="77777777" w:rsidTr="004164F4">
        <w:trPr>
          <w:trHeight w:val="240"/>
          <w:jc w:val="center"/>
        </w:trPr>
        <w:tc>
          <w:tcPr>
            <w:tcW w:w="3616" w:type="dxa"/>
            <w:tcBorders>
              <w:top w:val="single" w:sz="2" w:space="0" w:color="auto"/>
              <w:left w:val="single" w:sz="2" w:space="0" w:color="auto"/>
              <w:bottom w:val="single" w:sz="2" w:space="0" w:color="auto"/>
              <w:right w:val="single" w:sz="2" w:space="0" w:color="auto"/>
            </w:tcBorders>
            <w:shd w:val="clear" w:color="auto" w:fill="D3D3D3"/>
            <w:vAlign w:val="center"/>
          </w:tcPr>
          <w:p w14:paraId="6BD381C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除同公司正常经营业务相关的有效套期保值业务外，非金融企业持有金融资产和金融负债产生的公允价值变动损益以及处置金融资产和金融负债产生的损益</w:t>
            </w:r>
          </w:p>
        </w:tc>
        <w:tc>
          <w:tcPr>
            <w:tcW w:w="1771" w:type="dxa"/>
            <w:tcBorders>
              <w:top w:val="single" w:sz="2" w:space="0" w:color="auto"/>
              <w:left w:val="single" w:sz="2" w:space="0" w:color="auto"/>
              <w:bottom w:val="single" w:sz="2" w:space="0" w:color="auto"/>
              <w:right w:val="single" w:sz="2" w:space="0" w:color="auto"/>
            </w:tcBorders>
            <w:vAlign w:val="center"/>
          </w:tcPr>
          <w:p w14:paraId="2C25C053" w14:textId="77777777" w:rsidR="001D26E7" w:rsidRPr="00F614F9" w:rsidRDefault="001D26E7">
            <w:pPr>
              <w:spacing w:line="240" w:lineRule="exact"/>
              <w:jc w:val="right"/>
              <w:rPr>
                <w:rFonts w:ascii="Times New Roman" w:eastAsia="宋体" w:hAnsi="Times New Roman"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3F5009B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966,929.31</w:t>
            </w:r>
          </w:p>
        </w:tc>
        <w:tc>
          <w:tcPr>
            <w:tcW w:w="1701" w:type="dxa"/>
            <w:tcBorders>
              <w:top w:val="single" w:sz="2" w:space="0" w:color="auto"/>
              <w:left w:val="single" w:sz="2" w:space="0" w:color="auto"/>
              <w:bottom w:val="single" w:sz="2" w:space="0" w:color="auto"/>
              <w:right w:val="single" w:sz="2" w:space="0" w:color="auto"/>
            </w:tcBorders>
            <w:vAlign w:val="center"/>
          </w:tcPr>
          <w:p w14:paraId="7C90A776" w14:textId="77777777" w:rsidR="001D26E7" w:rsidRPr="00F614F9" w:rsidRDefault="001D26E7">
            <w:pPr>
              <w:spacing w:line="240" w:lineRule="exact"/>
              <w:jc w:val="right"/>
              <w:rPr>
                <w:rFonts w:ascii="Times New Roman" w:eastAsia="宋体" w:hAnsi="Times New Roman"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47543BD"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077DE429" w14:textId="77777777" w:rsidTr="004164F4">
        <w:trPr>
          <w:trHeight w:val="240"/>
          <w:jc w:val="center"/>
        </w:trPr>
        <w:tc>
          <w:tcPr>
            <w:tcW w:w="3616" w:type="dxa"/>
            <w:tcBorders>
              <w:top w:val="single" w:sz="2" w:space="0" w:color="auto"/>
              <w:left w:val="single" w:sz="2" w:space="0" w:color="auto"/>
              <w:bottom w:val="single" w:sz="2" w:space="0" w:color="auto"/>
              <w:right w:val="single" w:sz="2" w:space="0" w:color="auto"/>
            </w:tcBorders>
            <w:shd w:val="clear" w:color="auto" w:fill="D3D3D3"/>
            <w:vAlign w:val="center"/>
          </w:tcPr>
          <w:p w14:paraId="78F12B7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计入当期损益的对非金融企业收取的资金占用费</w:t>
            </w:r>
          </w:p>
        </w:tc>
        <w:tc>
          <w:tcPr>
            <w:tcW w:w="1771" w:type="dxa"/>
            <w:tcBorders>
              <w:top w:val="single" w:sz="2" w:space="0" w:color="auto"/>
              <w:left w:val="single" w:sz="2" w:space="0" w:color="auto"/>
              <w:bottom w:val="single" w:sz="2" w:space="0" w:color="auto"/>
              <w:right w:val="single" w:sz="2" w:space="0" w:color="auto"/>
            </w:tcBorders>
            <w:vAlign w:val="center"/>
          </w:tcPr>
          <w:p w14:paraId="571D1B6B" w14:textId="77777777" w:rsidR="001D26E7" w:rsidRPr="00F614F9" w:rsidRDefault="001D26E7">
            <w:pPr>
              <w:spacing w:line="240" w:lineRule="exact"/>
              <w:jc w:val="right"/>
              <w:rPr>
                <w:rFonts w:ascii="Times New Roman" w:eastAsia="宋体" w:hAnsi="Times New Roman"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12B1B1B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6,363,114.25</w:t>
            </w:r>
          </w:p>
        </w:tc>
        <w:tc>
          <w:tcPr>
            <w:tcW w:w="1701" w:type="dxa"/>
            <w:tcBorders>
              <w:top w:val="single" w:sz="2" w:space="0" w:color="auto"/>
              <w:left w:val="single" w:sz="2" w:space="0" w:color="auto"/>
              <w:bottom w:val="single" w:sz="2" w:space="0" w:color="auto"/>
              <w:right w:val="single" w:sz="2" w:space="0" w:color="auto"/>
            </w:tcBorders>
            <w:vAlign w:val="center"/>
          </w:tcPr>
          <w:p w14:paraId="45FB64CA" w14:textId="77777777" w:rsidR="001D26E7" w:rsidRPr="00F614F9" w:rsidRDefault="001D26E7">
            <w:pPr>
              <w:spacing w:line="240" w:lineRule="exact"/>
              <w:jc w:val="right"/>
              <w:rPr>
                <w:rFonts w:ascii="Times New Roman" w:eastAsia="宋体" w:hAnsi="Times New Roman"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85672C5"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41B82A8B" w14:textId="77777777" w:rsidTr="004164F4">
        <w:trPr>
          <w:trHeight w:val="240"/>
          <w:jc w:val="center"/>
        </w:trPr>
        <w:tc>
          <w:tcPr>
            <w:tcW w:w="3616" w:type="dxa"/>
            <w:tcBorders>
              <w:top w:val="single" w:sz="2" w:space="0" w:color="auto"/>
              <w:left w:val="single" w:sz="2" w:space="0" w:color="auto"/>
              <w:bottom w:val="single" w:sz="2" w:space="0" w:color="auto"/>
              <w:right w:val="single" w:sz="2" w:space="0" w:color="auto"/>
            </w:tcBorders>
            <w:shd w:val="clear" w:color="auto" w:fill="D3D3D3"/>
            <w:vAlign w:val="center"/>
          </w:tcPr>
          <w:p w14:paraId="03A69E4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除上述各项之外的其他营业外收入和支出</w:t>
            </w:r>
          </w:p>
        </w:tc>
        <w:tc>
          <w:tcPr>
            <w:tcW w:w="1771" w:type="dxa"/>
            <w:tcBorders>
              <w:top w:val="single" w:sz="2" w:space="0" w:color="auto"/>
              <w:left w:val="single" w:sz="2" w:space="0" w:color="auto"/>
              <w:bottom w:val="single" w:sz="2" w:space="0" w:color="auto"/>
              <w:right w:val="single" w:sz="2" w:space="0" w:color="auto"/>
            </w:tcBorders>
            <w:vAlign w:val="center"/>
          </w:tcPr>
          <w:p w14:paraId="2A13228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-28,669,462.62</w:t>
            </w:r>
          </w:p>
        </w:tc>
        <w:tc>
          <w:tcPr>
            <w:tcW w:w="1984" w:type="dxa"/>
            <w:tcBorders>
              <w:top w:val="single" w:sz="2" w:space="0" w:color="auto"/>
              <w:left w:val="single" w:sz="2" w:space="0" w:color="auto"/>
              <w:bottom w:val="single" w:sz="2" w:space="0" w:color="auto"/>
              <w:right w:val="single" w:sz="2" w:space="0" w:color="auto"/>
            </w:tcBorders>
            <w:vAlign w:val="center"/>
          </w:tcPr>
          <w:p w14:paraId="3B1F430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-7,818,762.52</w:t>
            </w:r>
          </w:p>
        </w:tc>
        <w:tc>
          <w:tcPr>
            <w:tcW w:w="1701" w:type="dxa"/>
            <w:tcBorders>
              <w:top w:val="single" w:sz="2" w:space="0" w:color="auto"/>
              <w:left w:val="single" w:sz="2" w:space="0" w:color="auto"/>
              <w:bottom w:val="single" w:sz="2" w:space="0" w:color="auto"/>
              <w:right w:val="single" w:sz="2" w:space="0" w:color="auto"/>
            </w:tcBorders>
            <w:vAlign w:val="center"/>
          </w:tcPr>
          <w:p w14:paraId="395AEB5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-4,915,955.38</w:t>
            </w:r>
          </w:p>
        </w:tc>
        <w:tc>
          <w:tcPr>
            <w:tcW w:w="709" w:type="dxa"/>
            <w:tcBorders>
              <w:top w:val="single" w:sz="2" w:space="0" w:color="auto"/>
              <w:left w:val="single" w:sz="2" w:space="0" w:color="auto"/>
              <w:bottom w:val="single" w:sz="2" w:space="0" w:color="auto"/>
              <w:right w:val="single" w:sz="2" w:space="0" w:color="auto"/>
            </w:tcBorders>
            <w:vAlign w:val="center"/>
          </w:tcPr>
          <w:p w14:paraId="700317E2"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0CBAA853" w14:textId="77777777" w:rsidTr="004164F4">
        <w:trPr>
          <w:trHeight w:val="240"/>
          <w:jc w:val="center"/>
        </w:trPr>
        <w:tc>
          <w:tcPr>
            <w:tcW w:w="3616" w:type="dxa"/>
            <w:tcBorders>
              <w:top w:val="single" w:sz="2" w:space="0" w:color="auto"/>
              <w:left w:val="single" w:sz="2" w:space="0" w:color="auto"/>
              <w:bottom w:val="single" w:sz="2" w:space="0" w:color="auto"/>
              <w:right w:val="single" w:sz="2" w:space="0" w:color="auto"/>
            </w:tcBorders>
            <w:shd w:val="clear" w:color="auto" w:fill="D3D3D3"/>
            <w:vAlign w:val="center"/>
          </w:tcPr>
          <w:p w14:paraId="5144F0A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其他符合非经常性损益定义的损益项目</w:t>
            </w:r>
          </w:p>
        </w:tc>
        <w:tc>
          <w:tcPr>
            <w:tcW w:w="1771" w:type="dxa"/>
            <w:tcBorders>
              <w:top w:val="single" w:sz="2" w:space="0" w:color="auto"/>
              <w:left w:val="single" w:sz="2" w:space="0" w:color="auto"/>
              <w:bottom w:val="single" w:sz="2" w:space="0" w:color="auto"/>
              <w:right w:val="single" w:sz="2" w:space="0" w:color="auto"/>
            </w:tcBorders>
            <w:vAlign w:val="center"/>
          </w:tcPr>
          <w:p w14:paraId="5CD06465" w14:textId="77777777" w:rsidR="001D26E7" w:rsidRPr="00F614F9" w:rsidRDefault="001D26E7">
            <w:pPr>
              <w:spacing w:line="240" w:lineRule="exact"/>
              <w:jc w:val="right"/>
              <w:rPr>
                <w:rFonts w:ascii="Times New Roman" w:eastAsia="宋体" w:hAnsi="Times New Roman"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41A865F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283,366.95</w:t>
            </w:r>
          </w:p>
        </w:tc>
        <w:tc>
          <w:tcPr>
            <w:tcW w:w="1701" w:type="dxa"/>
            <w:tcBorders>
              <w:top w:val="single" w:sz="2" w:space="0" w:color="auto"/>
              <w:left w:val="single" w:sz="2" w:space="0" w:color="auto"/>
              <w:bottom w:val="single" w:sz="2" w:space="0" w:color="auto"/>
              <w:right w:val="single" w:sz="2" w:space="0" w:color="auto"/>
            </w:tcBorders>
            <w:vAlign w:val="center"/>
          </w:tcPr>
          <w:p w14:paraId="745C5E1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7,851,105.48</w:t>
            </w:r>
          </w:p>
        </w:tc>
        <w:tc>
          <w:tcPr>
            <w:tcW w:w="709" w:type="dxa"/>
            <w:tcBorders>
              <w:top w:val="single" w:sz="2" w:space="0" w:color="auto"/>
              <w:left w:val="single" w:sz="2" w:space="0" w:color="auto"/>
              <w:bottom w:val="single" w:sz="2" w:space="0" w:color="auto"/>
              <w:right w:val="single" w:sz="2" w:space="0" w:color="auto"/>
            </w:tcBorders>
            <w:vAlign w:val="center"/>
          </w:tcPr>
          <w:p w14:paraId="16927C63"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5EE5E768" w14:textId="77777777" w:rsidTr="004164F4">
        <w:trPr>
          <w:trHeight w:val="240"/>
          <w:jc w:val="center"/>
        </w:trPr>
        <w:tc>
          <w:tcPr>
            <w:tcW w:w="3616" w:type="dxa"/>
            <w:tcBorders>
              <w:top w:val="single" w:sz="2" w:space="0" w:color="auto"/>
              <w:left w:val="single" w:sz="2" w:space="0" w:color="auto"/>
              <w:bottom w:val="single" w:sz="2" w:space="0" w:color="auto"/>
              <w:right w:val="single" w:sz="2" w:space="0" w:color="auto"/>
            </w:tcBorders>
            <w:shd w:val="clear" w:color="auto" w:fill="D3D3D3"/>
            <w:vAlign w:val="center"/>
          </w:tcPr>
          <w:p w14:paraId="6FD8412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减：所得税影响额</w:t>
            </w:r>
          </w:p>
        </w:tc>
        <w:tc>
          <w:tcPr>
            <w:tcW w:w="1771" w:type="dxa"/>
            <w:tcBorders>
              <w:top w:val="single" w:sz="2" w:space="0" w:color="auto"/>
              <w:left w:val="single" w:sz="2" w:space="0" w:color="auto"/>
              <w:bottom w:val="single" w:sz="2" w:space="0" w:color="auto"/>
              <w:right w:val="single" w:sz="2" w:space="0" w:color="auto"/>
            </w:tcBorders>
            <w:vAlign w:val="center"/>
          </w:tcPr>
          <w:p w14:paraId="56478C0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356,482.57</w:t>
            </w:r>
          </w:p>
        </w:tc>
        <w:tc>
          <w:tcPr>
            <w:tcW w:w="1984" w:type="dxa"/>
            <w:tcBorders>
              <w:top w:val="single" w:sz="2" w:space="0" w:color="auto"/>
              <w:left w:val="single" w:sz="2" w:space="0" w:color="auto"/>
              <w:bottom w:val="single" w:sz="2" w:space="0" w:color="auto"/>
              <w:right w:val="single" w:sz="2" w:space="0" w:color="auto"/>
            </w:tcBorders>
            <w:vAlign w:val="center"/>
          </w:tcPr>
          <w:p w14:paraId="11D461F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37,934.17</w:t>
            </w:r>
          </w:p>
        </w:tc>
        <w:tc>
          <w:tcPr>
            <w:tcW w:w="1701" w:type="dxa"/>
            <w:tcBorders>
              <w:top w:val="single" w:sz="2" w:space="0" w:color="auto"/>
              <w:left w:val="single" w:sz="2" w:space="0" w:color="auto"/>
              <w:bottom w:val="single" w:sz="2" w:space="0" w:color="auto"/>
              <w:right w:val="single" w:sz="2" w:space="0" w:color="auto"/>
            </w:tcBorders>
            <w:vAlign w:val="center"/>
          </w:tcPr>
          <w:p w14:paraId="1BBFA7D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337,783.06</w:t>
            </w:r>
          </w:p>
        </w:tc>
        <w:tc>
          <w:tcPr>
            <w:tcW w:w="709" w:type="dxa"/>
            <w:tcBorders>
              <w:top w:val="single" w:sz="2" w:space="0" w:color="auto"/>
              <w:left w:val="single" w:sz="2" w:space="0" w:color="auto"/>
              <w:bottom w:val="single" w:sz="2" w:space="0" w:color="auto"/>
              <w:right w:val="single" w:sz="2" w:space="0" w:color="auto"/>
            </w:tcBorders>
            <w:vAlign w:val="center"/>
          </w:tcPr>
          <w:p w14:paraId="229590EF"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6E6FBB26" w14:textId="77777777" w:rsidTr="004164F4">
        <w:trPr>
          <w:trHeight w:val="240"/>
          <w:jc w:val="center"/>
        </w:trPr>
        <w:tc>
          <w:tcPr>
            <w:tcW w:w="3616" w:type="dxa"/>
            <w:tcBorders>
              <w:top w:val="single" w:sz="2" w:space="0" w:color="auto"/>
              <w:left w:val="single" w:sz="2" w:space="0" w:color="auto"/>
              <w:bottom w:val="single" w:sz="2" w:space="0" w:color="auto"/>
              <w:right w:val="single" w:sz="2" w:space="0" w:color="auto"/>
            </w:tcBorders>
            <w:shd w:val="clear" w:color="auto" w:fill="D3D3D3"/>
            <w:vAlign w:val="center"/>
          </w:tcPr>
          <w:p w14:paraId="34EB5EAB"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少数股东权益影响额（税后）</w:t>
            </w:r>
          </w:p>
        </w:tc>
        <w:tc>
          <w:tcPr>
            <w:tcW w:w="1771" w:type="dxa"/>
            <w:tcBorders>
              <w:top w:val="single" w:sz="2" w:space="0" w:color="auto"/>
              <w:left w:val="single" w:sz="2" w:space="0" w:color="auto"/>
              <w:bottom w:val="single" w:sz="2" w:space="0" w:color="auto"/>
              <w:right w:val="single" w:sz="2" w:space="0" w:color="auto"/>
            </w:tcBorders>
            <w:vAlign w:val="center"/>
          </w:tcPr>
          <w:p w14:paraId="449B907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-6,445,994.10</w:t>
            </w:r>
          </w:p>
        </w:tc>
        <w:tc>
          <w:tcPr>
            <w:tcW w:w="1984" w:type="dxa"/>
            <w:tcBorders>
              <w:top w:val="single" w:sz="2" w:space="0" w:color="auto"/>
              <w:left w:val="single" w:sz="2" w:space="0" w:color="auto"/>
              <w:bottom w:val="single" w:sz="2" w:space="0" w:color="auto"/>
              <w:right w:val="single" w:sz="2" w:space="0" w:color="auto"/>
            </w:tcBorders>
            <w:vAlign w:val="center"/>
          </w:tcPr>
          <w:p w14:paraId="1F016CD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5,320,849.32</w:t>
            </w:r>
          </w:p>
        </w:tc>
        <w:tc>
          <w:tcPr>
            <w:tcW w:w="1701" w:type="dxa"/>
            <w:tcBorders>
              <w:top w:val="single" w:sz="2" w:space="0" w:color="auto"/>
              <w:left w:val="single" w:sz="2" w:space="0" w:color="auto"/>
              <w:bottom w:val="single" w:sz="2" w:space="0" w:color="auto"/>
              <w:right w:val="single" w:sz="2" w:space="0" w:color="auto"/>
            </w:tcBorders>
            <w:vAlign w:val="center"/>
          </w:tcPr>
          <w:p w14:paraId="14B823A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2,304,811.95</w:t>
            </w:r>
          </w:p>
        </w:tc>
        <w:tc>
          <w:tcPr>
            <w:tcW w:w="709" w:type="dxa"/>
            <w:tcBorders>
              <w:top w:val="single" w:sz="2" w:space="0" w:color="auto"/>
              <w:left w:val="single" w:sz="2" w:space="0" w:color="auto"/>
              <w:bottom w:val="single" w:sz="2" w:space="0" w:color="auto"/>
              <w:right w:val="single" w:sz="2" w:space="0" w:color="auto"/>
            </w:tcBorders>
            <w:vAlign w:val="center"/>
          </w:tcPr>
          <w:p w14:paraId="773CB16E"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3E071B9D" w14:textId="77777777" w:rsidTr="004164F4">
        <w:trPr>
          <w:trHeight w:val="240"/>
          <w:jc w:val="center"/>
        </w:trPr>
        <w:tc>
          <w:tcPr>
            <w:tcW w:w="3616" w:type="dxa"/>
            <w:tcBorders>
              <w:top w:val="single" w:sz="2" w:space="0" w:color="auto"/>
              <w:left w:val="single" w:sz="2" w:space="0" w:color="auto"/>
              <w:bottom w:val="single" w:sz="2" w:space="0" w:color="auto"/>
              <w:right w:val="single" w:sz="2" w:space="0" w:color="auto"/>
            </w:tcBorders>
            <w:shd w:val="clear" w:color="auto" w:fill="D3D3D3"/>
            <w:vAlign w:val="center"/>
          </w:tcPr>
          <w:p w14:paraId="4F6B9A1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771" w:type="dxa"/>
            <w:tcBorders>
              <w:top w:val="single" w:sz="2" w:space="0" w:color="auto"/>
              <w:left w:val="single" w:sz="2" w:space="0" w:color="auto"/>
              <w:bottom w:val="single" w:sz="2" w:space="0" w:color="auto"/>
              <w:right w:val="single" w:sz="2" w:space="0" w:color="auto"/>
            </w:tcBorders>
            <w:vAlign w:val="center"/>
          </w:tcPr>
          <w:p w14:paraId="6E0427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-174,695,391.39</w:t>
            </w:r>
          </w:p>
        </w:tc>
        <w:tc>
          <w:tcPr>
            <w:tcW w:w="1984" w:type="dxa"/>
            <w:tcBorders>
              <w:top w:val="single" w:sz="2" w:space="0" w:color="auto"/>
              <w:left w:val="single" w:sz="2" w:space="0" w:color="auto"/>
              <w:bottom w:val="single" w:sz="2" w:space="0" w:color="auto"/>
              <w:right w:val="single" w:sz="2" w:space="0" w:color="auto"/>
            </w:tcBorders>
            <w:vAlign w:val="center"/>
          </w:tcPr>
          <w:p w14:paraId="3067436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-72,499,993.29</w:t>
            </w:r>
          </w:p>
        </w:tc>
        <w:tc>
          <w:tcPr>
            <w:tcW w:w="1701" w:type="dxa"/>
            <w:tcBorders>
              <w:top w:val="single" w:sz="2" w:space="0" w:color="auto"/>
              <w:left w:val="single" w:sz="2" w:space="0" w:color="auto"/>
              <w:bottom w:val="single" w:sz="2" w:space="0" w:color="auto"/>
              <w:right w:val="single" w:sz="2" w:space="0" w:color="auto"/>
            </w:tcBorders>
            <w:vAlign w:val="center"/>
          </w:tcPr>
          <w:p w14:paraId="0490880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-88,414,803.96</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37BF3954" w14:textId="77777777" w:rsidR="001D26E7" w:rsidRPr="00F614F9" w:rsidRDefault="00000000">
            <w:pPr>
              <w:spacing w:before="40" w:after="40" w:line="240" w:lineRule="exact"/>
              <w:jc w:val="center"/>
              <w:rPr>
                <w:rFonts w:ascii="Times New Roman" w:eastAsia="宋体" w:hAnsi="Times New Roman" w:cs="宋体"/>
                <w:sz w:val="18"/>
                <w:szCs w:val="18"/>
                <w:shd w:val="clear" w:color="auto" w:fill="D3D3D3"/>
              </w:rPr>
            </w:pPr>
            <w:r w:rsidRPr="00F614F9">
              <w:rPr>
                <w:rFonts w:ascii="Times New Roman" w:eastAsia="宋体" w:hAnsi="Times New Roman" w:cs="宋体"/>
                <w:sz w:val="18"/>
                <w:szCs w:val="18"/>
                <w:shd w:val="clear" w:color="auto" w:fill="D3D3D3"/>
              </w:rPr>
              <w:t>--</w:t>
            </w:r>
          </w:p>
        </w:tc>
      </w:tr>
    </w:tbl>
    <w:p w14:paraId="31BB368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其他符合非经常性损益定义的损益项目的具体情况：</w:t>
      </w:r>
    </w:p>
    <w:p w14:paraId="76284A89"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02C0540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公司不存在其他符合非经常性损益定义的损益项目的具体情况。</w:t>
      </w:r>
    </w:p>
    <w:p w14:paraId="27640D2C" w14:textId="77777777" w:rsidR="001D26E7" w:rsidRPr="00F614F9" w:rsidRDefault="00000000" w:rsidP="00B11EA0">
      <w:pPr>
        <w:spacing w:before="100" w:after="100" w:line="276" w:lineRule="auto"/>
        <w:rPr>
          <w:rFonts w:ascii="Times New Roman" w:eastAsia="宋体" w:hAnsi="Times New Roman" w:cs="宋体"/>
          <w:sz w:val="18"/>
          <w:szCs w:val="18"/>
        </w:rPr>
      </w:pPr>
      <w:r w:rsidRPr="00F614F9">
        <w:rPr>
          <w:rFonts w:ascii="Times New Roman" w:eastAsia="宋体" w:hAnsi="Times New Roman" w:cs="宋体"/>
          <w:sz w:val="18"/>
          <w:szCs w:val="18"/>
        </w:rPr>
        <w:t>将《公开发行证券的公司信息披露解释性公告第</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号</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非经常性损益》中列举的非经常性损益项目界定为经常性损益项目的情况说明</w:t>
      </w:r>
    </w:p>
    <w:p w14:paraId="445A2428"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5129F4D6" w14:textId="77777777" w:rsidR="001D26E7" w:rsidRPr="00F614F9" w:rsidRDefault="00000000" w:rsidP="00B11EA0">
      <w:pPr>
        <w:spacing w:before="100" w:after="100" w:line="276" w:lineRule="auto"/>
        <w:rPr>
          <w:rFonts w:ascii="Times New Roman" w:eastAsia="宋体" w:hAnsi="Times New Roman" w:cs="宋体"/>
          <w:sz w:val="18"/>
          <w:szCs w:val="18"/>
        </w:rPr>
      </w:pPr>
      <w:r w:rsidRPr="00F614F9">
        <w:rPr>
          <w:rFonts w:ascii="Times New Roman" w:eastAsia="宋体" w:hAnsi="Times New Roman" w:cs="宋体"/>
          <w:sz w:val="18"/>
          <w:szCs w:val="18"/>
        </w:rPr>
        <w:t>公司不存在将《公开发行证券的公司信息披露解释性公告第</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号</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非经常性损益》中列举的非经常性损益项目界定为经常性损益的项目的情形。</w:t>
      </w:r>
    </w:p>
    <w:p w14:paraId="51A29B92" w14:textId="77777777" w:rsidR="001D26E7" w:rsidRPr="00F614F9" w:rsidRDefault="00000000">
      <w:pPr>
        <w:rPr>
          <w:rFonts w:ascii="Times New Roman" w:hAnsi="Times New Roman"/>
        </w:rPr>
      </w:pPr>
      <w:r w:rsidRPr="00F614F9">
        <w:rPr>
          <w:rFonts w:ascii="Times New Roman" w:hAnsi="Times New Roman"/>
        </w:rPr>
        <w:br w:type="page"/>
      </w:r>
    </w:p>
    <w:p w14:paraId="6637041B" w14:textId="77777777" w:rsidR="001D26E7" w:rsidRPr="00F614F9" w:rsidRDefault="00000000">
      <w:pPr>
        <w:pStyle w:val="headingh1"/>
        <w:spacing w:before="340" w:after="330" w:line="773" w:lineRule="exact"/>
        <w:jc w:val="center"/>
        <w:rPr>
          <w:rFonts w:ascii="Times New Roman" w:eastAsia="宋体" w:hAnsi="Times New Roman" w:cs="宋体"/>
          <w:b/>
          <w:bCs/>
          <w:sz w:val="32"/>
          <w:szCs w:val="32"/>
        </w:rPr>
      </w:pPr>
      <w:bookmarkStart w:id="22" w:name="_Toc164024754"/>
      <w:r w:rsidRPr="00F614F9">
        <w:rPr>
          <w:rFonts w:ascii="Times New Roman" w:eastAsia="宋体" w:hAnsi="Times New Roman" w:cs="宋体"/>
          <w:b/>
          <w:bCs/>
          <w:sz w:val="32"/>
          <w:szCs w:val="32"/>
        </w:rPr>
        <w:lastRenderedPageBreak/>
        <w:t>第三节</w:t>
      </w:r>
      <w:r w:rsidRPr="00F614F9">
        <w:rPr>
          <w:rFonts w:ascii="Times New Roman" w:eastAsia="宋体" w:hAnsi="Times New Roman" w:cs="宋体"/>
          <w:b/>
          <w:bCs/>
          <w:sz w:val="32"/>
          <w:szCs w:val="32"/>
        </w:rPr>
        <w:t xml:space="preserve"> </w:t>
      </w:r>
      <w:r w:rsidRPr="00F614F9">
        <w:rPr>
          <w:rFonts w:ascii="Times New Roman" w:eastAsia="宋体" w:hAnsi="Times New Roman" w:cs="宋体"/>
          <w:b/>
          <w:bCs/>
          <w:sz w:val="32"/>
          <w:szCs w:val="32"/>
        </w:rPr>
        <w:t>管理</w:t>
      </w:r>
      <w:proofErr w:type="gramStart"/>
      <w:r w:rsidRPr="00F614F9">
        <w:rPr>
          <w:rFonts w:ascii="Times New Roman" w:eastAsia="宋体" w:hAnsi="Times New Roman" w:cs="宋体"/>
          <w:b/>
          <w:bCs/>
          <w:sz w:val="32"/>
          <w:szCs w:val="32"/>
        </w:rPr>
        <w:t>层讨论</w:t>
      </w:r>
      <w:proofErr w:type="gramEnd"/>
      <w:r w:rsidRPr="00F614F9">
        <w:rPr>
          <w:rFonts w:ascii="Times New Roman" w:eastAsia="宋体" w:hAnsi="Times New Roman" w:cs="宋体"/>
          <w:b/>
          <w:bCs/>
          <w:sz w:val="32"/>
          <w:szCs w:val="32"/>
        </w:rPr>
        <w:t>与分析</w:t>
      </w:r>
      <w:bookmarkEnd w:id="22"/>
    </w:p>
    <w:p w14:paraId="67A5785E"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23" w:name="_Toc988903"/>
      <w:bookmarkStart w:id="24" w:name="_Toc164024755"/>
      <w:r w:rsidRPr="00F614F9">
        <w:rPr>
          <w:rFonts w:ascii="Times New Roman" w:eastAsia="宋体" w:hAnsi="Times New Roman" w:cs="宋体"/>
          <w:b/>
          <w:bCs/>
          <w:sz w:val="24"/>
          <w:szCs w:val="24"/>
        </w:rPr>
        <w:t>一、报告期内公司所处行业情况</w:t>
      </w:r>
      <w:bookmarkEnd w:id="23"/>
      <w:bookmarkEnd w:id="24"/>
    </w:p>
    <w:p w14:paraId="520791F4" w14:textId="77777777" w:rsidR="00872599" w:rsidRPr="00F614F9" w:rsidRDefault="00000000" w:rsidP="00C90873">
      <w:pPr>
        <w:pStyle w:val="a3"/>
        <w:spacing w:before="0" w:beforeAutospacing="0" w:after="0" w:afterAutospacing="0" w:line="276" w:lineRule="auto"/>
        <w:ind w:firstLine="360"/>
        <w:jc w:val="both"/>
        <w:divId w:val="2107846480"/>
        <w:rPr>
          <w:rFonts w:ascii="Times New Roman" w:eastAsia="等线" w:hAnsi="Times New Roman"/>
          <w:sz w:val="21"/>
          <w:szCs w:val="21"/>
        </w:rPr>
      </w:pPr>
      <w:r w:rsidRPr="00F614F9">
        <w:rPr>
          <w:rFonts w:ascii="Times New Roman" w:hAnsi="Times New Roman" w:hint="eastAsia"/>
          <w:color w:val="000000"/>
          <w:sz w:val="18"/>
          <w:szCs w:val="18"/>
        </w:rPr>
        <w:t>1</w:t>
      </w:r>
      <w:r w:rsidRPr="00F614F9">
        <w:rPr>
          <w:rFonts w:ascii="Times New Roman" w:hAnsi="Times New Roman" w:hint="eastAsia"/>
          <w:color w:val="000000"/>
          <w:sz w:val="18"/>
          <w:szCs w:val="18"/>
        </w:rPr>
        <w:t>．政策加持叠加</w:t>
      </w:r>
      <w:r w:rsidRPr="00F614F9">
        <w:rPr>
          <w:rFonts w:ascii="Times New Roman" w:hAnsi="Times New Roman" w:hint="eastAsia"/>
          <w:color w:val="000000"/>
          <w:sz w:val="18"/>
          <w:szCs w:val="18"/>
        </w:rPr>
        <w:t>B</w:t>
      </w:r>
      <w:r w:rsidRPr="00F614F9">
        <w:rPr>
          <w:rFonts w:ascii="Times New Roman" w:hAnsi="Times New Roman" w:hint="eastAsia"/>
          <w:color w:val="000000"/>
          <w:sz w:val="18"/>
          <w:szCs w:val="18"/>
        </w:rPr>
        <w:t>端降本及</w:t>
      </w:r>
      <w:r w:rsidRPr="00F614F9">
        <w:rPr>
          <w:rFonts w:ascii="Times New Roman" w:hAnsi="Times New Roman" w:hint="eastAsia"/>
          <w:color w:val="000000"/>
          <w:sz w:val="18"/>
          <w:szCs w:val="18"/>
        </w:rPr>
        <w:t>C</w:t>
      </w:r>
      <w:r w:rsidRPr="00F614F9">
        <w:rPr>
          <w:rFonts w:ascii="Times New Roman" w:hAnsi="Times New Roman" w:hint="eastAsia"/>
          <w:color w:val="000000"/>
          <w:sz w:val="18"/>
          <w:szCs w:val="18"/>
        </w:rPr>
        <w:t>端便捷需求，持续助力预制</w:t>
      </w:r>
      <w:proofErr w:type="gramStart"/>
      <w:r w:rsidRPr="00F614F9">
        <w:rPr>
          <w:rFonts w:ascii="Times New Roman" w:hAnsi="Times New Roman" w:hint="eastAsia"/>
          <w:color w:val="000000"/>
          <w:sz w:val="18"/>
          <w:szCs w:val="18"/>
        </w:rPr>
        <w:t>菜行业</w:t>
      </w:r>
      <w:proofErr w:type="gramEnd"/>
      <w:r w:rsidRPr="00F614F9">
        <w:rPr>
          <w:rFonts w:ascii="Times New Roman" w:hAnsi="Times New Roman" w:hint="eastAsia"/>
          <w:color w:val="000000"/>
          <w:sz w:val="18"/>
          <w:szCs w:val="18"/>
        </w:rPr>
        <w:t>发展</w:t>
      </w:r>
    </w:p>
    <w:p w14:paraId="07771563" w14:textId="77777777" w:rsidR="00872599" w:rsidRPr="00F614F9" w:rsidRDefault="00000000" w:rsidP="00C90873">
      <w:pPr>
        <w:pStyle w:val="a3"/>
        <w:spacing w:before="0" w:beforeAutospacing="0" w:after="0" w:afterAutospacing="0" w:line="276" w:lineRule="auto"/>
        <w:ind w:firstLine="360"/>
        <w:jc w:val="both"/>
        <w:divId w:val="2107846480"/>
        <w:rPr>
          <w:rFonts w:ascii="Times New Roman" w:eastAsia="等线" w:hAnsi="Times New Roman"/>
          <w:sz w:val="21"/>
          <w:szCs w:val="21"/>
        </w:rPr>
      </w:pPr>
      <w:r w:rsidRPr="00F614F9">
        <w:rPr>
          <w:rFonts w:ascii="Times New Roman" w:hAnsi="Times New Roman" w:hint="eastAsia"/>
          <w:color w:val="000000"/>
          <w:sz w:val="18"/>
          <w:szCs w:val="18"/>
        </w:rPr>
        <w:t>2023</w:t>
      </w:r>
      <w:r w:rsidRPr="00F614F9">
        <w:rPr>
          <w:rFonts w:ascii="Times New Roman" w:hAnsi="Times New Roman" w:hint="eastAsia"/>
          <w:color w:val="000000"/>
          <w:sz w:val="18"/>
          <w:szCs w:val="18"/>
        </w:rPr>
        <w:t>年</w:t>
      </w:r>
      <w:r w:rsidRPr="00F614F9">
        <w:rPr>
          <w:rFonts w:ascii="Times New Roman" w:hAnsi="Times New Roman" w:hint="eastAsia"/>
          <w:color w:val="000000"/>
          <w:sz w:val="18"/>
          <w:szCs w:val="18"/>
        </w:rPr>
        <w:t>2</w:t>
      </w:r>
      <w:r w:rsidRPr="00F614F9">
        <w:rPr>
          <w:rFonts w:ascii="Times New Roman" w:hAnsi="Times New Roman" w:hint="eastAsia"/>
          <w:color w:val="000000"/>
          <w:sz w:val="18"/>
          <w:szCs w:val="18"/>
        </w:rPr>
        <w:t>月，中央一号文件提出“提升净菜、中央厨房等产业标准化和规范化水平，培育发展预制菜产业”。</w:t>
      </w:r>
      <w:r w:rsidRPr="00F614F9">
        <w:rPr>
          <w:rFonts w:ascii="Times New Roman" w:hAnsi="Times New Roman" w:hint="eastAsia"/>
          <w:color w:val="000000"/>
          <w:sz w:val="18"/>
          <w:szCs w:val="18"/>
        </w:rPr>
        <w:t>2023</w:t>
      </w:r>
      <w:r w:rsidRPr="00F614F9">
        <w:rPr>
          <w:rFonts w:ascii="Times New Roman" w:hAnsi="Times New Roman" w:hint="eastAsia"/>
          <w:color w:val="000000"/>
          <w:sz w:val="18"/>
          <w:szCs w:val="18"/>
        </w:rPr>
        <w:t>年</w:t>
      </w:r>
      <w:r w:rsidRPr="00F614F9">
        <w:rPr>
          <w:rFonts w:ascii="Times New Roman" w:hAnsi="Times New Roman" w:hint="eastAsia"/>
          <w:color w:val="000000"/>
          <w:sz w:val="18"/>
          <w:szCs w:val="18"/>
        </w:rPr>
        <w:t>8</w:t>
      </w:r>
      <w:r w:rsidRPr="00F614F9">
        <w:rPr>
          <w:rFonts w:ascii="Times New Roman" w:hAnsi="Times New Roman" w:hint="eastAsia"/>
          <w:color w:val="000000"/>
          <w:sz w:val="18"/>
          <w:szCs w:val="18"/>
        </w:rPr>
        <w:t>月，工信部、</w:t>
      </w:r>
      <w:proofErr w:type="gramStart"/>
      <w:r w:rsidRPr="00F614F9">
        <w:rPr>
          <w:rFonts w:ascii="Times New Roman" w:hAnsi="Times New Roman" w:hint="eastAsia"/>
          <w:color w:val="000000"/>
          <w:sz w:val="18"/>
          <w:szCs w:val="18"/>
        </w:rPr>
        <w:t>发改委</w:t>
      </w:r>
      <w:proofErr w:type="gramEnd"/>
      <w:r w:rsidRPr="00F614F9">
        <w:rPr>
          <w:rFonts w:ascii="Times New Roman" w:hAnsi="Times New Roman" w:hint="eastAsia"/>
          <w:color w:val="000000"/>
          <w:sz w:val="18"/>
          <w:szCs w:val="18"/>
        </w:rPr>
        <w:t>、商务部印发《轻工业稳增长工作方案（</w:t>
      </w:r>
      <w:r w:rsidRPr="00F614F9">
        <w:rPr>
          <w:rFonts w:ascii="Times New Roman" w:hAnsi="Times New Roman" w:hint="eastAsia"/>
          <w:color w:val="000000"/>
          <w:sz w:val="18"/>
          <w:szCs w:val="18"/>
        </w:rPr>
        <w:t>2023</w:t>
      </w:r>
      <w:r w:rsidRPr="00F614F9">
        <w:rPr>
          <w:rFonts w:ascii="Times New Roman" w:hAnsi="Times New Roman" w:hint="eastAsia"/>
          <w:color w:val="000000"/>
          <w:sz w:val="18"/>
          <w:szCs w:val="18"/>
        </w:rPr>
        <w:t>—</w:t>
      </w:r>
      <w:r w:rsidRPr="00F614F9">
        <w:rPr>
          <w:rFonts w:ascii="Times New Roman" w:hAnsi="Times New Roman" w:hint="eastAsia"/>
          <w:color w:val="000000"/>
          <w:sz w:val="18"/>
          <w:szCs w:val="18"/>
        </w:rPr>
        <w:t>2024</w:t>
      </w:r>
      <w:r w:rsidRPr="00F614F9">
        <w:rPr>
          <w:rFonts w:ascii="Times New Roman" w:hAnsi="Times New Roman" w:hint="eastAsia"/>
          <w:color w:val="000000"/>
          <w:sz w:val="18"/>
          <w:szCs w:val="18"/>
        </w:rPr>
        <w:t>年）》，将预制</w:t>
      </w:r>
      <w:proofErr w:type="gramStart"/>
      <w:r w:rsidRPr="00F614F9">
        <w:rPr>
          <w:rFonts w:ascii="Times New Roman" w:hAnsi="Times New Roman" w:hint="eastAsia"/>
          <w:color w:val="000000"/>
          <w:sz w:val="18"/>
          <w:szCs w:val="18"/>
        </w:rPr>
        <w:t>化食品</w:t>
      </w:r>
      <w:proofErr w:type="gramEnd"/>
      <w:r w:rsidRPr="00F614F9">
        <w:rPr>
          <w:rFonts w:ascii="Times New Roman" w:hAnsi="Times New Roman" w:hint="eastAsia"/>
          <w:color w:val="000000"/>
          <w:sz w:val="18"/>
          <w:szCs w:val="18"/>
        </w:rPr>
        <w:t>列为培育壮大的新经济增长点之一。在此背景下，各地方政府相继出台预制</w:t>
      </w:r>
      <w:proofErr w:type="gramStart"/>
      <w:r w:rsidRPr="00F614F9">
        <w:rPr>
          <w:rFonts w:ascii="Times New Roman" w:hAnsi="Times New Roman" w:hint="eastAsia"/>
          <w:color w:val="000000"/>
          <w:sz w:val="18"/>
          <w:szCs w:val="18"/>
        </w:rPr>
        <w:t>菜产业</w:t>
      </w:r>
      <w:proofErr w:type="gramEnd"/>
      <w:r w:rsidRPr="00F614F9">
        <w:rPr>
          <w:rFonts w:ascii="Times New Roman" w:hAnsi="Times New Roman" w:hint="eastAsia"/>
          <w:color w:val="000000"/>
          <w:sz w:val="18"/>
          <w:szCs w:val="18"/>
        </w:rPr>
        <w:t>发展政策，资本市场和预制菜投资者也纷纷入局，地方也响应了中央的号召针对当地的预制</w:t>
      </w:r>
      <w:proofErr w:type="gramStart"/>
      <w:r w:rsidRPr="00F614F9">
        <w:rPr>
          <w:rFonts w:ascii="Times New Roman" w:hAnsi="Times New Roman" w:hint="eastAsia"/>
          <w:color w:val="000000"/>
          <w:sz w:val="18"/>
          <w:szCs w:val="18"/>
        </w:rPr>
        <w:t>菜产业</w:t>
      </w:r>
      <w:proofErr w:type="gramEnd"/>
      <w:r w:rsidRPr="00F614F9">
        <w:rPr>
          <w:rFonts w:ascii="Times New Roman" w:hAnsi="Times New Roman" w:hint="eastAsia"/>
          <w:color w:val="000000"/>
          <w:sz w:val="18"/>
          <w:szCs w:val="18"/>
        </w:rPr>
        <w:t>制定出相应发展方针和措施助</w:t>
      </w:r>
      <w:proofErr w:type="gramStart"/>
      <w:r w:rsidRPr="00F614F9">
        <w:rPr>
          <w:rFonts w:ascii="Times New Roman" w:hAnsi="Times New Roman" w:hint="eastAsia"/>
          <w:color w:val="000000"/>
          <w:sz w:val="18"/>
          <w:szCs w:val="18"/>
        </w:rPr>
        <w:t>推当地预制菜产业</w:t>
      </w:r>
      <w:proofErr w:type="gramEnd"/>
      <w:r w:rsidRPr="00F614F9">
        <w:rPr>
          <w:rFonts w:ascii="Times New Roman" w:hAnsi="Times New Roman" w:hint="eastAsia"/>
          <w:color w:val="000000"/>
          <w:sz w:val="18"/>
          <w:szCs w:val="18"/>
        </w:rPr>
        <w:t>的发展。同时，伴随</w:t>
      </w:r>
      <w:r w:rsidRPr="00F614F9">
        <w:rPr>
          <w:rFonts w:ascii="Times New Roman" w:hAnsi="Times New Roman" w:hint="eastAsia"/>
          <w:color w:val="000000"/>
          <w:sz w:val="18"/>
          <w:szCs w:val="18"/>
        </w:rPr>
        <w:t>B</w:t>
      </w:r>
      <w:proofErr w:type="gramStart"/>
      <w:r w:rsidRPr="00F614F9">
        <w:rPr>
          <w:rFonts w:ascii="Times New Roman" w:hAnsi="Times New Roman" w:hint="eastAsia"/>
          <w:color w:val="000000"/>
          <w:sz w:val="18"/>
          <w:szCs w:val="18"/>
        </w:rPr>
        <w:t>端客户</w:t>
      </w:r>
      <w:proofErr w:type="gramEnd"/>
      <w:r w:rsidRPr="00F614F9">
        <w:rPr>
          <w:rFonts w:ascii="Times New Roman" w:hAnsi="Times New Roman" w:hint="eastAsia"/>
          <w:color w:val="000000"/>
          <w:sz w:val="18"/>
          <w:szCs w:val="18"/>
        </w:rPr>
        <w:t>租金、人力成本不断上涨，推动餐饮企业降本提效以及经济发展和生活节奏加快，饮食便捷化催生预制菜</w:t>
      </w:r>
      <w:r w:rsidRPr="00F614F9">
        <w:rPr>
          <w:rFonts w:ascii="Times New Roman" w:hAnsi="Times New Roman" w:hint="eastAsia"/>
          <w:color w:val="000000"/>
          <w:sz w:val="18"/>
          <w:szCs w:val="18"/>
        </w:rPr>
        <w:t>C</w:t>
      </w:r>
      <w:proofErr w:type="gramStart"/>
      <w:r w:rsidRPr="00F614F9">
        <w:rPr>
          <w:rFonts w:ascii="Times New Roman" w:hAnsi="Times New Roman" w:hint="eastAsia"/>
          <w:color w:val="000000"/>
          <w:sz w:val="18"/>
          <w:szCs w:val="18"/>
        </w:rPr>
        <w:t>端客户</w:t>
      </w:r>
      <w:proofErr w:type="gramEnd"/>
      <w:r w:rsidRPr="00F614F9">
        <w:rPr>
          <w:rFonts w:ascii="Times New Roman" w:hAnsi="Times New Roman" w:hint="eastAsia"/>
          <w:color w:val="000000"/>
          <w:sz w:val="18"/>
          <w:szCs w:val="18"/>
        </w:rPr>
        <w:t>需求增涨，从而驱动预制</w:t>
      </w:r>
      <w:proofErr w:type="gramStart"/>
      <w:r w:rsidRPr="00F614F9">
        <w:rPr>
          <w:rFonts w:ascii="Times New Roman" w:hAnsi="Times New Roman" w:hint="eastAsia"/>
          <w:color w:val="000000"/>
          <w:sz w:val="18"/>
          <w:szCs w:val="18"/>
        </w:rPr>
        <w:t>菜行业</w:t>
      </w:r>
      <w:proofErr w:type="gramEnd"/>
      <w:r w:rsidRPr="00F614F9">
        <w:rPr>
          <w:rFonts w:ascii="Times New Roman" w:hAnsi="Times New Roman" w:hint="eastAsia"/>
          <w:color w:val="000000"/>
          <w:sz w:val="18"/>
          <w:szCs w:val="18"/>
        </w:rPr>
        <w:t>发展。</w:t>
      </w:r>
    </w:p>
    <w:p w14:paraId="7E7C1EF9" w14:textId="77777777" w:rsidR="00872599" w:rsidRPr="00F614F9" w:rsidRDefault="00000000" w:rsidP="00C90873">
      <w:pPr>
        <w:pStyle w:val="a3"/>
        <w:spacing w:before="0" w:beforeAutospacing="0" w:after="0" w:afterAutospacing="0" w:line="276" w:lineRule="auto"/>
        <w:ind w:firstLine="360"/>
        <w:jc w:val="both"/>
        <w:divId w:val="2107846480"/>
        <w:rPr>
          <w:rFonts w:ascii="Times New Roman" w:eastAsia="等线" w:hAnsi="Times New Roman"/>
          <w:sz w:val="21"/>
          <w:szCs w:val="21"/>
        </w:rPr>
      </w:pPr>
      <w:r w:rsidRPr="00F614F9">
        <w:rPr>
          <w:rFonts w:ascii="Times New Roman" w:hAnsi="Times New Roman" w:hint="eastAsia"/>
          <w:color w:val="000000"/>
          <w:sz w:val="18"/>
          <w:szCs w:val="18"/>
        </w:rPr>
        <w:t>尽管国内预制</w:t>
      </w:r>
      <w:proofErr w:type="gramStart"/>
      <w:r w:rsidRPr="00F614F9">
        <w:rPr>
          <w:rFonts w:ascii="Times New Roman" w:hAnsi="Times New Roman" w:hint="eastAsia"/>
          <w:color w:val="000000"/>
          <w:sz w:val="18"/>
          <w:szCs w:val="18"/>
        </w:rPr>
        <w:t>菜行业</w:t>
      </w:r>
      <w:proofErr w:type="gramEnd"/>
      <w:r w:rsidRPr="00F614F9">
        <w:rPr>
          <w:rFonts w:ascii="Times New Roman" w:hAnsi="Times New Roman" w:hint="eastAsia"/>
          <w:color w:val="000000"/>
          <w:sz w:val="18"/>
          <w:szCs w:val="18"/>
        </w:rPr>
        <w:t>处于起步阶段，但在多种因素的驱动下，预制</w:t>
      </w:r>
      <w:proofErr w:type="gramStart"/>
      <w:r w:rsidRPr="00F614F9">
        <w:rPr>
          <w:rFonts w:ascii="Times New Roman" w:hAnsi="Times New Roman" w:hint="eastAsia"/>
          <w:color w:val="000000"/>
          <w:sz w:val="18"/>
          <w:szCs w:val="18"/>
        </w:rPr>
        <w:t>菜行业</w:t>
      </w:r>
      <w:proofErr w:type="gramEnd"/>
      <w:r w:rsidRPr="00F614F9">
        <w:rPr>
          <w:rFonts w:ascii="Times New Roman" w:hAnsi="Times New Roman" w:hint="eastAsia"/>
          <w:color w:val="000000"/>
          <w:sz w:val="18"/>
          <w:szCs w:val="18"/>
        </w:rPr>
        <w:t>发展迅速。根据《</w:t>
      </w:r>
      <w:r w:rsidRPr="00F614F9">
        <w:rPr>
          <w:rFonts w:ascii="Times New Roman" w:hAnsi="Times New Roman" w:hint="eastAsia"/>
          <w:color w:val="000000"/>
          <w:sz w:val="18"/>
          <w:szCs w:val="18"/>
        </w:rPr>
        <w:t>2023</w:t>
      </w:r>
      <w:r w:rsidRPr="00F614F9">
        <w:rPr>
          <w:rFonts w:ascii="Times New Roman" w:hAnsi="Times New Roman" w:hint="eastAsia"/>
          <w:color w:val="000000"/>
          <w:sz w:val="18"/>
          <w:szCs w:val="18"/>
        </w:rPr>
        <w:t>年中国预制菜产业发展蓝皮书》，</w:t>
      </w:r>
      <w:r w:rsidRPr="00F614F9">
        <w:rPr>
          <w:rFonts w:ascii="Times New Roman" w:hAnsi="Times New Roman" w:hint="eastAsia"/>
          <w:color w:val="000000"/>
          <w:sz w:val="18"/>
          <w:szCs w:val="18"/>
        </w:rPr>
        <w:t>2023</w:t>
      </w:r>
      <w:r w:rsidRPr="00F614F9">
        <w:rPr>
          <w:rFonts w:ascii="Times New Roman" w:hAnsi="Times New Roman" w:hint="eastAsia"/>
          <w:color w:val="000000"/>
          <w:sz w:val="18"/>
          <w:szCs w:val="18"/>
        </w:rPr>
        <w:t>年中国预制菜市场规模已经达到了</w:t>
      </w:r>
      <w:r w:rsidRPr="00F614F9">
        <w:rPr>
          <w:rFonts w:ascii="Times New Roman" w:hAnsi="Times New Roman" w:hint="eastAsia"/>
          <w:color w:val="000000"/>
          <w:sz w:val="18"/>
          <w:szCs w:val="18"/>
        </w:rPr>
        <w:t>5,165</w:t>
      </w:r>
      <w:r w:rsidRPr="00F614F9">
        <w:rPr>
          <w:rFonts w:ascii="Times New Roman" w:hAnsi="Times New Roman" w:hint="eastAsia"/>
          <w:color w:val="000000"/>
          <w:sz w:val="18"/>
          <w:szCs w:val="18"/>
        </w:rPr>
        <w:t>亿元，同比增长</w:t>
      </w:r>
      <w:r w:rsidRPr="00F614F9">
        <w:rPr>
          <w:rFonts w:ascii="Times New Roman" w:hAnsi="Times New Roman" w:hint="eastAsia"/>
          <w:color w:val="000000"/>
          <w:sz w:val="18"/>
          <w:szCs w:val="18"/>
        </w:rPr>
        <w:t>23.1%</w:t>
      </w:r>
      <w:r w:rsidRPr="00F614F9">
        <w:rPr>
          <w:rFonts w:ascii="Times New Roman" w:hAnsi="Times New Roman" w:hint="eastAsia"/>
          <w:color w:val="000000"/>
          <w:sz w:val="18"/>
          <w:szCs w:val="18"/>
        </w:rPr>
        <w:t>。预计到</w:t>
      </w:r>
      <w:r w:rsidRPr="00F614F9">
        <w:rPr>
          <w:rFonts w:ascii="Times New Roman" w:hAnsi="Times New Roman" w:hint="eastAsia"/>
          <w:color w:val="000000"/>
          <w:sz w:val="18"/>
          <w:szCs w:val="18"/>
        </w:rPr>
        <w:t>2026</w:t>
      </w:r>
      <w:r w:rsidRPr="00F614F9">
        <w:rPr>
          <w:rFonts w:ascii="Times New Roman" w:hAnsi="Times New Roman" w:hint="eastAsia"/>
          <w:color w:val="000000"/>
          <w:sz w:val="18"/>
          <w:szCs w:val="18"/>
        </w:rPr>
        <w:t>年，国内预制菜市场规模将达</w:t>
      </w:r>
      <w:r w:rsidRPr="00F614F9">
        <w:rPr>
          <w:rFonts w:ascii="Times New Roman" w:hAnsi="Times New Roman" w:hint="eastAsia"/>
          <w:sz w:val="18"/>
          <w:szCs w:val="18"/>
        </w:rPr>
        <w:t>10,720</w:t>
      </w:r>
      <w:r w:rsidRPr="00F614F9">
        <w:rPr>
          <w:rFonts w:ascii="Times New Roman" w:hAnsi="Times New Roman" w:hint="eastAsia"/>
          <w:sz w:val="18"/>
          <w:szCs w:val="18"/>
        </w:rPr>
        <w:t>亿</w:t>
      </w:r>
      <w:r w:rsidRPr="00F614F9">
        <w:rPr>
          <w:rFonts w:ascii="Times New Roman" w:hAnsi="Times New Roman" w:hint="eastAsia"/>
          <w:color w:val="000000"/>
          <w:sz w:val="18"/>
          <w:szCs w:val="18"/>
        </w:rPr>
        <w:t>元。</w:t>
      </w:r>
    </w:p>
    <w:p w14:paraId="7ABD3682" w14:textId="77777777" w:rsidR="00872599" w:rsidRPr="00F614F9" w:rsidRDefault="00000000" w:rsidP="00C90873">
      <w:pPr>
        <w:pStyle w:val="a3"/>
        <w:spacing w:before="0" w:beforeAutospacing="0" w:after="0" w:afterAutospacing="0" w:line="276" w:lineRule="auto"/>
        <w:ind w:firstLine="360"/>
        <w:jc w:val="both"/>
        <w:divId w:val="2107846480"/>
        <w:rPr>
          <w:rFonts w:ascii="Times New Roman" w:eastAsia="等线" w:hAnsi="Times New Roman"/>
          <w:sz w:val="21"/>
          <w:szCs w:val="21"/>
        </w:rPr>
      </w:pPr>
      <w:r w:rsidRPr="00F614F9">
        <w:rPr>
          <w:rFonts w:ascii="Times New Roman" w:hAnsi="Times New Roman" w:hint="eastAsia"/>
          <w:color w:val="000000"/>
          <w:sz w:val="18"/>
          <w:szCs w:val="18"/>
        </w:rPr>
        <w:t>此外，</w:t>
      </w:r>
      <w:r w:rsidRPr="00F614F9">
        <w:rPr>
          <w:rFonts w:ascii="Times New Roman" w:hAnsi="Times New Roman" w:hint="eastAsia"/>
          <w:color w:val="000000"/>
          <w:sz w:val="18"/>
          <w:szCs w:val="18"/>
        </w:rPr>
        <w:t>2024</w:t>
      </w:r>
      <w:r w:rsidRPr="00F614F9">
        <w:rPr>
          <w:rFonts w:ascii="Times New Roman" w:hAnsi="Times New Roman" w:hint="eastAsia"/>
          <w:color w:val="000000"/>
          <w:sz w:val="18"/>
          <w:szCs w:val="18"/>
        </w:rPr>
        <w:t>年</w:t>
      </w:r>
      <w:r w:rsidRPr="00F614F9">
        <w:rPr>
          <w:rFonts w:ascii="Times New Roman" w:hAnsi="Times New Roman" w:hint="eastAsia"/>
          <w:color w:val="000000"/>
          <w:sz w:val="18"/>
          <w:szCs w:val="18"/>
        </w:rPr>
        <w:t>3</w:t>
      </w:r>
      <w:r w:rsidRPr="00F614F9">
        <w:rPr>
          <w:rFonts w:ascii="Times New Roman" w:hAnsi="Times New Roman" w:hint="eastAsia"/>
          <w:color w:val="000000"/>
          <w:sz w:val="18"/>
          <w:szCs w:val="18"/>
        </w:rPr>
        <w:t>月，国家市场监督管理总局联合教育部、工业和信息化部、农业农村部、商务部、国家卫生健康委印发《关于加强预制菜食品安全监管促进产业高质量发展的通知》，对预制菜原辅料、预加工工艺等进行了严格界定，大力提升了消费者对预制菜的安全感和满意度。为预制</w:t>
      </w:r>
      <w:proofErr w:type="gramStart"/>
      <w:r w:rsidRPr="00F614F9">
        <w:rPr>
          <w:rFonts w:ascii="Times New Roman" w:hAnsi="Times New Roman" w:hint="eastAsia"/>
          <w:color w:val="000000"/>
          <w:sz w:val="18"/>
          <w:szCs w:val="18"/>
        </w:rPr>
        <w:t>菜行业</w:t>
      </w:r>
      <w:proofErr w:type="gramEnd"/>
      <w:r w:rsidRPr="00F614F9">
        <w:rPr>
          <w:rFonts w:ascii="Times New Roman" w:hAnsi="Times New Roman" w:hint="eastAsia"/>
          <w:color w:val="000000"/>
          <w:sz w:val="18"/>
          <w:szCs w:val="18"/>
        </w:rPr>
        <w:t>的健康、规范、高质量发展指明了方向。而公司作为头部企业也将迎来新一轮的发展机遇，有利于公司进一步巩固行业地位，扩大市场份额。</w:t>
      </w:r>
    </w:p>
    <w:p w14:paraId="47E10366" w14:textId="77777777" w:rsidR="00872599" w:rsidRPr="00F614F9" w:rsidRDefault="00000000" w:rsidP="00C90873">
      <w:pPr>
        <w:pStyle w:val="a3"/>
        <w:spacing w:before="0" w:beforeAutospacing="0" w:after="0" w:afterAutospacing="0" w:line="276" w:lineRule="auto"/>
        <w:ind w:firstLine="360"/>
        <w:jc w:val="both"/>
        <w:divId w:val="2107846480"/>
        <w:rPr>
          <w:rFonts w:ascii="Times New Roman" w:eastAsia="等线" w:hAnsi="Times New Roman"/>
          <w:sz w:val="21"/>
          <w:szCs w:val="21"/>
        </w:rPr>
      </w:pPr>
      <w:r w:rsidRPr="00F614F9">
        <w:rPr>
          <w:rFonts w:ascii="Times New Roman" w:hAnsi="Times New Roman" w:hint="eastAsia"/>
          <w:color w:val="000000"/>
          <w:sz w:val="18"/>
          <w:szCs w:val="18"/>
        </w:rPr>
        <w:t>2</w:t>
      </w:r>
      <w:r w:rsidRPr="00F614F9">
        <w:rPr>
          <w:rFonts w:ascii="Times New Roman" w:hAnsi="Times New Roman" w:hint="eastAsia"/>
          <w:color w:val="000000"/>
          <w:sz w:val="18"/>
          <w:szCs w:val="18"/>
        </w:rPr>
        <w:t>．屠宰行业受政策影响推动，行业集中度持续提升</w:t>
      </w:r>
    </w:p>
    <w:p w14:paraId="1E4C48BB" w14:textId="77777777" w:rsidR="00872599" w:rsidRPr="00F614F9" w:rsidRDefault="00000000" w:rsidP="00C90873">
      <w:pPr>
        <w:pStyle w:val="a3"/>
        <w:spacing w:before="0" w:beforeAutospacing="0" w:after="0" w:afterAutospacing="0" w:line="276" w:lineRule="auto"/>
        <w:ind w:firstLine="360"/>
        <w:jc w:val="both"/>
        <w:divId w:val="2107846480"/>
        <w:rPr>
          <w:rFonts w:ascii="Times New Roman" w:eastAsia="等线" w:hAnsi="Times New Roman"/>
          <w:sz w:val="21"/>
          <w:szCs w:val="21"/>
        </w:rPr>
      </w:pPr>
      <w:r w:rsidRPr="00F614F9">
        <w:rPr>
          <w:rFonts w:ascii="Times New Roman" w:hAnsi="Times New Roman" w:hint="eastAsia"/>
          <w:color w:val="000000"/>
          <w:sz w:val="18"/>
          <w:szCs w:val="18"/>
        </w:rPr>
        <w:t>近年来环保趋紧导致上游养殖散户逐步出清，行业集中度逐渐提升，屠宰业务正从粗加工向深加工转型，盈利能力持续提高。非洲猪瘟爆发以来，农业农村部发布多项文件，要求坚决关闭不符合条件的生猪屠宰企业，压缩落后产能，严厉打击私屠滥宰等违法行为，鼓励优势屠宰企业整合产业链，加快推进生猪屠宰的清理整顿和标准化创建，规模小、盈利能力弱、不合标的企业将退出，私屠滥宰将得到较好整治，龙头企业得以更好发挥规模效应的优势，进一步推动行业集中度中长期提升。</w:t>
      </w:r>
    </w:p>
    <w:p w14:paraId="6F8EFE41" w14:textId="77777777" w:rsidR="00872599" w:rsidRPr="00F614F9" w:rsidRDefault="00000000" w:rsidP="00C90873">
      <w:pPr>
        <w:spacing w:line="276" w:lineRule="auto"/>
        <w:ind w:firstLineChars="200" w:firstLine="360"/>
        <w:divId w:val="2107846480"/>
        <w:rPr>
          <w:rFonts w:ascii="Times New Roman" w:eastAsia="宋体" w:hAnsi="Times New Roman"/>
          <w:sz w:val="18"/>
          <w:szCs w:val="18"/>
        </w:rPr>
      </w:pPr>
      <w:r w:rsidRPr="00F614F9">
        <w:rPr>
          <w:rFonts w:ascii="Times New Roman" w:eastAsia="宋体" w:hAnsi="Times New Roman" w:hint="eastAsia"/>
          <w:sz w:val="18"/>
          <w:szCs w:val="18"/>
        </w:rPr>
        <w:t>3</w:t>
      </w:r>
      <w:r w:rsidRPr="00F614F9">
        <w:rPr>
          <w:rFonts w:ascii="Times New Roman" w:eastAsia="宋体" w:hAnsi="Times New Roman" w:hint="eastAsia"/>
          <w:sz w:val="18"/>
          <w:szCs w:val="18"/>
        </w:rPr>
        <w:t>．中小养殖</w:t>
      </w:r>
      <w:proofErr w:type="gramStart"/>
      <w:r w:rsidRPr="00F614F9">
        <w:rPr>
          <w:rFonts w:ascii="Times New Roman" w:eastAsia="宋体" w:hAnsi="Times New Roman" w:hint="eastAsia"/>
          <w:sz w:val="18"/>
          <w:szCs w:val="18"/>
        </w:rPr>
        <w:t>户逐渐</w:t>
      </w:r>
      <w:proofErr w:type="gramEnd"/>
      <w:r w:rsidRPr="00F614F9">
        <w:rPr>
          <w:rFonts w:ascii="Times New Roman" w:eastAsia="宋体" w:hAnsi="Times New Roman" w:hint="eastAsia"/>
          <w:sz w:val="18"/>
          <w:szCs w:val="18"/>
        </w:rPr>
        <w:t>出清，生猪养殖行业规模化发展进程持续</w:t>
      </w:r>
    </w:p>
    <w:p w14:paraId="5BBCF906" w14:textId="77777777" w:rsidR="00872599" w:rsidRPr="00F614F9" w:rsidRDefault="00000000" w:rsidP="00C90873">
      <w:pPr>
        <w:spacing w:line="276" w:lineRule="auto"/>
        <w:ind w:firstLineChars="200" w:firstLine="360"/>
        <w:divId w:val="2107846480"/>
        <w:rPr>
          <w:rFonts w:ascii="Times New Roman" w:eastAsia="宋体" w:hAnsi="Times New Roman"/>
          <w:sz w:val="18"/>
          <w:szCs w:val="18"/>
        </w:rPr>
      </w:pPr>
      <w:r w:rsidRPr="00F614F9">
        <w:rPr>
          <w:rFonts w:ascii="Times New Roman" w:eastAsia="宋体" w:hAnsi="Times New Roman" w:hint="eastAsia"/>
          <w:sz w:val="18"/>
          <w:szCs w:val="18"/>
        </w:rPr>
        <w:t>我国生猪养殖行业以散户为主，集中度处于较低水平。近年来，国家高度重视生猪养殖行业的生产发展，随着一系列政策的出台、日益严格的环保要求以及非洲猪瘟爆发，提高了养殖场硬件设施的要求，都在加速了中小养殖户的出清，推动生猪规模化养殖的发展，国内生猪养殖行业集中度仍有较大提升空间。</w:t>
      </w:r>
    </w:p>
    <w:p w14:paraId="7BAA4D4B" w14:textId="77777777" w:rsidR="00872599" w:rsidRPr="00F614F9" w:rsidRDefault="00000000" w:rsidP="00C90873">
      <w:pPr>
        <w:spacing w:line="276" w:lineRule="auto"/>
        <w:ind w:firstLineChars="200" w:firstLine="360"/>
        <w:divId w:val="2107846480"/>
        <w:rPr>
          <w:rFonts w:ascii="Times New Roman" w:eastAsia="宋体" w:hAnsi="Times New Roman"/>
          <w:sz w:val="18"/>
          <w:szCs w:val="18"/>
        </w:rPr>
      </w:pPr>
      <w:r w:rsidRPr="00F614F9">
        <w:rPr>
          <w:rFonts w:ascii="Times New Roman" w:eastAsia="宋体" w:hAnsi="Times New Roman" w:hint="eastAsia"/>
          <w:sz w:val="18"/>
          <w:szCs w:val="18"/>
        </w:rPr>
        <w:t>自</w:t>
      </w:r>
      <w:r w:rsidRPr="00F614F9">
        <w:rPr>
          <w:rFonts w:ascii="Times New Roman" w:eastAsia="宋体" w:hAnsi="Times New Roman" w:hint="eastAsia"/>
          <w:sz w:val="18"/>
          <w:szCs w:val="18"/>
        </w:rPr>
        <w:t xml:space="preserve">2023 </w:t>
      </w:r>
      <w:r w:rsidRPr="00F614F9">
        <w:rPr>
          <w:rFonts w:ascii="Times New Roman" w:eastAsia="宋体" w:hAnsi="Times New Roman" w:hint="eastAsia"/>
          <w:sz w:val="18"/>
          <w:szCs w:val="18"/>
        </w:rPr>
        <w:t>年</w:t>
      </w: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月全国进入去产能周期以来，截至</w:t>
      </w:r>
      <w:r w:rsidRPr="00F614F9">
        <w:rPr>
          <w:rFonts w:ascii="Times New Roman" w:eastAsia="宋体" w:hAnsi="Times New Roman" w:hint="eastAsia"/>
          <w:sz w:val="18"/>
          <w:szCs w:val="18"/>
        </w:rPr>
        <w:t xml:space="preserve"> 2024</w:t>
      </w:r>
      <w:r w:rsidRPr="00F614F9">
        <w:rPr>
          <w:rFonts w:ascii="Times New Roman" w:eastAsia="宋体" w:hAnsi="Times New Roman" w:hint="eastAsia"/>
          <w:sz w:val="18"/>
          <w:szCs w:val="18"/>
        </w:rPr>
        <w:t>年</w:t>
      </w: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月，</w:t>
      </w:r>
      <w:proofErr w:type="gramStart"/>
      <w:r w:rsidRPr="00F614F9">
        <w:rPr>
          <w:rFonts w:ascii="Times New Roman" w:eastAsia="宋体" w:hAnsi="Times New Roman" w:hint="eastAsia"/>
          <w:sz w:val="18"/>
          <w:szCs w:val="18"/>
        </w:rPr>
        <w:t>全国能繁母猪</w:t>
      </w:r>
      <w:proofErr w:type="gramEnd"/>
      <w:r w:rsidRPr="00F614F9">
        <w:rPr>
          <w:rFonts w:ascii="Times New Roman" w:eastAsia="宋体" w:hAnsi="Times New Roman" w:hint="eastAsia"/>
          <w:sz w:val="18"/>
          <w:szCs w:val="18"/>
        </w:rPr>
        <w:t>存栏量已经降至</w:t>
      </w:r>
      <w:r w:rsidRPr="00F614F9">
        <w:rPr>
          <w:rFonts w:ascii="Times New Roman" w:eastAsia="宋体" w:hAnsi="Times New Roman" w:hint="eastAsia"/>
          <w:sz w:val="18"/>
          <w:szCs w:val="18"/>
        </w:rPr>
        <w:t>4,067</w:t>
      </w:r>
      <w:r w:rsidRPr="00F614F9">
        <w:rPr>
          <w:rFonts w:ascii="Times New Roman" w:eastAsia="宋体" w:hAnsi="Times New Roman" w:hint="eastAsia"/>
          <w:sz w:val="18"/>
          <w:szCs w:val="18"/>
        </w:rPr>
        <w:t>万头，自</w:t>
      </w:r>
      <w:r w:rsidRPr="00F614F9">
        <w:rPr>
          <w:rFonts w:ascii="Times New Roman" w:eastAsia="宋体" w:hAnsi="Times New Roman" w:hint="eastAsia"/>
          <w:sz w:val="18"/>
          <w:szCs w:val="18"/>
        </w:rPr>
        <w:t>2022</w:t>
      </w:r>
      <w:r w:rsidRPr="00F614F9">
        <w:rPr>
          <w:rFonts w:ascii="Times New Roman" w:eastAsia="宋体" w:hAnsi="Times New Roman" w:hint="eastAsia"/>
          <w:sz w:val="18"/>
          <w:szCs w:val="18"/>
        </w:rPr>
        <w:t>年</w:t>
      </w:r>
      <w:r w:rsidRPr="00F614F9">
        <w:rPr>
          <w:rFonts w:ascii="Times New Roman" w:eastAsia="宋体" w:hAnsi="Times New Roman" w:hint="eastAsia"/>
          <w:sz w:val="18"/>
          <w:szCs w:val="18"/>
        </w:rPr>
        <w:t>12</w:t>
      </w:r>
      <w:r w:rsidRPr="00F614F9">
        <w:rPr>
          <w:rFonts w:ascii="Times New Roman" w:eastAsia="宋体" w:hAnsi="Times New Roman" w:hint="eastAsia"/>
          <w:sz w:val="18"/>
          <w:szCs w:val="18"/>
        </w:rPr>
        <w:t>月高点已累计下降</w:t>
      </w:r>
      <w:r w:rsidRPr="00F614F9">
        <w:rPr>
          <w:rFonts w:ascii="Times New Roman" w:eastAsia="宋体" w:hAnsi="Times New Roman" w:hint="eastAsia"/>
          <w:sz w:val="18"/>
          <w:szCs w:val="18"/>
        </w:rPr>
        <w:t>7.4%</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2024</w:t>
      </w:r>
      <w:r w:rsidRPr="00F614F9">
        <w:rPr>
          <w:rFonts w:ascii="Times New Roman" w:eastAsia="宋体" w:hAnsi="Times New Roman" w:hint="eastAsia"/>
          <w:sz w:val="18"/>
          <w:szCs w:val="18"/>
        </w:rPr>
        <w:t>年</w:t>
      </w:r>
      <w:r w:rsidRPr="00F614F9">
        <w:rPr>
          <w:rFonts w:ascii="Times New Roman" w:eastAsia="宋体" w:hAnsi="Times New Roman" w:hint="eastAsia"/>
          <w:sz w:val="18"/>
          <w:szCs w:val="18"/>
        </w:rPr>
        <w:t>3</w:t>
      </w:r>
      <w:r w:rsidRPr="00F614F9">
        <w:rPr>
          <w:rFonts w:ascii="Times New Roman" w:eastAsia="宋体" w:hAnsi="Times New Roman" w:hint="eastAsia"/>
          <w:sz w:val="18"/>
          <w:szCs w:val="18"/>
        </w:rPr>
        <w:t>月</w:t>
      </w: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日，农业部正式</w:t>
      </w:r>
      <w:proofErr w:type="gramStart"/>
      <w:r w:rsidRPr="00F614F9">
        <w:rPr>
          <w:rFonts w:ascii="Times New Roman" w:eastAsia="宋体" w:hAnsi="Times New Roman" w:hint="eastAsia"/>
          <w:sz w:val="18"/>
          <w:szCs w:val="18"/>
        </w:rPr>
        <w:t>下调能繁母猪</w:t>
      </w:r>
      <w:proofErr w:type="gramEnd"/>
      <w:r w:rsidRPr="00F614F9">
        <w:rPr>
          <w:rFonts w:ascii="Times New Roman" w:eastAsia="宋体" w:hAnsi="Times New Roman" w:hint="eastAsia"/>
          <w:sz w:val="18"/>
          <w:szCs w:val="18"/>
        </w:rPr>
        <w:t>的正常保有量，从</w:t>
      </w:r>
      <w:r w:rsidRPr="00F614F9">
        <w:rPr>
          <w:rFonts w:ascii="Times New Roman" w:eastAsia="宋体" w:hAnsi="Times New Roman" w:hint="eastAsia"/>
          <w:sz w:val="18"/>
          <w:szCs w:val="18"/>
        </w:rPr>
        <w:t>4,100</w:t>
      </w:r>
      <w:r w:rsidRPr="00F614F9">
        <w:rPr>
          <w:rFonts w:ascii="Times New Roman" w:eastAsia="宋体" w:hAnsi="Times New Roman" w:hint="eastAsia"/>
          <w:sz w:val="18"/>
          <w:szCs w:val="18"/>
        </w:rPr>
        <w:t>万头下调至</w:t>
      </w:r>
      <w:r w:rsidRPr="00F614F9">
        <w:rPr>
          <w:rFonts w:ascii="Times New Roman" w:eastAsia="宋体" w:hAnsi="Times New Roman" w:hint="eastAsia"/>
          <w:sz w:val="18"/>
          <w:szCs w:val="18"/>
        </w:rPr>
        <w:t xml:space="preserve"> 3,900</w:t>
      </w:r>
      <w:r w:rsidRPr="00F614F9">
        <w:rPr>
          <w:rFonts w:ascii="Times New Roman" w:eastAsia="宋体" w:hAnsi="Times New Roman" w:hint="eastAsia"/>
          <w:sz w:val="18"/>
          <w:szCs w:val="18"/>
        </w:rPr>
        <w:t>万头，预计本轮产能出清还有空间。</w:t>
      </w:r>
    </w:p>
    <w:p w14:paraId="4F642896"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25" w:name="_Toc988904"/>
      <w:bookmarkStart w:id="26" w:name="_Toc164024756"/>
      <w:r w:rsidRPr="00F614F9">
        <w:rPr>
          <w:rFonts w:ascii="Times New Roman" w:eastAsia="宋体" w:hAnsi="Times New Roman" w:cs="宋体"/>
          <w:b/>
          <w:bCs/>
          <w:sz w:val="24"/>
          <w:szCs w:val="24"/>
        </w:rPr>
        <w:t>二、报告期内公司从事的主要业务</w:t>
      </w:r>
      <w:bookmarkEnd w:id="25"/>
      <w:bookmarkEnd w:id="26"/>
    </w:p>
    <w:p w14:paraId="5075E386" w14:textId="77777777" w:rsidR="001D26E7" w:rsidRPr="00F614F9" w:rsidRDefault="00000000" w:rsidP="00C90873">
      <w:pPr>
        <w:spacing w:before="100" w:after="100" w:line="276" w:lineRule="auto"/>
        <w:rPr>
          <w:rFonts w:ascii="Times New Roman" w:eastAsia="宋体" w:hAnsi="Times New Roman" w:cs="宋体"/>
          <w:sz w:val="18"/>
          <w:szCs w:val="18"/>
        </w:rPr>
      </w:pPr>
      <w:r w:rsidRPr="00F614F9">
        <w:rPr>
          <w:rFonts w:ascii="Times New Roman" w:eastAsia="宋体" w:hAnsi="Times New Roman" w:cs="宋体"/>
          <w:sz w:val="18"/>
          <w:szCs w:val="18"/>
        </w:rPr>
        <w:t>公司需遵守《深圳证券交易所上市公司自律监管指引第</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号</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行业信息披露》中食品及酒制造相关业的披露要求</w:t>
      </w:r>
    </w:p>
    <w:p w14:paraId="55A66E22" w14:textId="77777777" w:rsidR="00872599" w:rsidRPr="00F614F9" w:rsidRDefault="00000000" w:rsidP="00C90873">
      <w:pPr>
        <w:pStyle w:val="a3"/>
        <w:spacing w:before="0" w:beforeAutospacing="0" w:after="0" w:afterAutospacing="0" w:line="276" w:lineRule="auto"/>
        <w:ind w:firstLine="360"/>
        <w:jc w:val="both"/>
        <w:divId w:val="378289483"/>
        <w:rPr>
          <w:rFonts w:ascii="Times New Roman" w:hAnsi="Times New Roman"/>
        </w:rPr>
      </w:pPr>
      <w:r w:rsidRPr="00F614F9">
        <w:rPr>
          <w:rFonts w:ascii="Times New Roman" w:hAnsi="Times New Roman" w:hint="eastAsia"/>
          <w:color w:val="000000"/>
          <w:sz w:val="18"/>
          <w:szCs w:val="18"/>
        </w:rPr>
        <w:t>报告期内，公司秉持“一体两翼”发展战略，以食品为主体，以养殖和屠宰为两翼支撑，致力于发展成为中国领先的食品企业，为中国人健康饮食提供高品质的系统解决方案。主要产品为预制食品、熟食制品及鲜冻肉。</w:t>
      </w:r>
    </w:p>
    <w:p w14:paraId="6CDC021D" w14:textId="77777777" w:rsidR="00872599" w:rsidRPr="00F614F9" w:rsidRDefault="00000000" w:rsidP="00C90873">
      <w:pPr>
        <w:pStyle w:val="a3"/>
        <w:spacing w:before="0" w:beforeAutospacing="0" w:after="0" w:afterAutospacing="0" w:line="276" w:lineRule="auto"/>
        <w:ind w:firstLine="360"/>
        <w:jc w:val="both"/>
        <w:divId w:val="378289483"/>
        <w:rPr>
          <w:rFonts w:ascii="Times New Roman" w:hAnsi="Times New Roman"/>
        </w:rPr>
      </w:pPr>
      <w:r w:rsidRPr="00F614F9">
        <w:rPr>
          <w:rFonts w:ascii="Times New Roman" w:hAnsi="Times New Roman" w:hint="eastAsia"/>
          <w:color w:val="000000"/>
          <w:sz w:val="18"/>
          <w:szCs w:val="18"/>
        </w:rPr>
        <w:t>（一）食品业务</w:t>
      </w:r>
    </w:p>
    <w:p w14:paraId="4F4A04BA" w14:textId="77777777" w:rsidR="00872599" w:rsidRPr="00F614F9" w:rsidRDefault="00000000" w:rsidP="00C90873">
      <w:pPr>
        <w:pStyle w:val="a3"/>
        <w:spacing w:before="0" w:beforeAutospacing="0" w:after="0" w:afterAutospacing="0" w:line="276" w:lineRule="auto"/>
        <w:ind w:firstLine="360"/>
        <w:jc w:val="both"/>
        <w:divId w:val="378289483"/>
        <w:rPr>
          <w:rFonts w:ascii="Times New Roman" w:hAnsi="Times New Roman"/>
        </w:rPr>
      </w:pPr>
      <w:r w:rsidRPr="00F614F9">
        <w:rPr>
          <w:rFonts w:ascii="Times New Roman" w:hAnsi="Times New Roman" w:hint="eastAsia"/>
          <w:color w:val="000000"/>
          <w:sz w:val="18"/>
          <w:szCs w:val="18"/>
        </w:rPr>
        <w:lastRenderedPageBreak/>
        <w:t>公司食品业务主要包括预制食品和熟食制品的研发、生产和销售。在研发上，公司打造“三位一体”研发格局，以市场需求为导向，持续加大在产品设计、口味创新、质量控制、保鲜技术和加工工艺的投入，保障产品满足市场需求。在生产上，公司聚焦战略路径的构建与夯实，在全国范围内拓展产能，基本完成全国化布局；在营销上，公司着力构建消费市场洞察体系，服务广大食品加工和餐饮企业，协同进行市场推广，创新营销模式，积极应用市场思维打造亿元级、千万元级的大单品，以大单品策略快速服务市场。目前，公司已与海底捞、肯德基、麦当劳、西贝</w:t>
      </w:r>
      <w:proofErr w:type="gramStart"/>
      <w:r w:rsidRPr="00F614F9">
        <w:rPr>
          <w:rFonts w:ascii="Times New Roman" w:hAnsi="Times New Roman" w:hint="eastAsia"/>
          <w:color w:val="000000"/>
          <w:sz w:val="18"/>
          <w:szCs w:val="18"/>
        </w:rPr>
        <w:t>莜</w:t>
      </w:r>
      <w:proofErr w:type="gramEnd"/>
      <w:r w:rsidRPr="00F614F9">
        <w:rPr>
          <w:rFonts w:ascii="Times New Roman" w:hAnsi="Times New Roman" w:hint="eastAsia"/>
          <w:color w:val="000000"/>
          <w:sz w:val="18"/>
          <w:szCs w:val="18"/>
        </w:rPr>
        <w:t>面村、荷美尔、半天妖、永辉、家乐福等多个知名餐饮连锁企业、食品加工企业和大型连锁商超等客户建立了长期稳定的合作关系，成长为国内优秀的食品餐饮供应商之一。</w:t>
      </w:r>
    </w:p>
    <w:p w14:paraId="65A42684" w14:textId="77777777" w:rsidR="00872599" w:rsidRPr="00F614F9" w:rsidRDefault="00000000" w:rsidP="00C90873">
      <w:pPr>
        <w:pStyle w:val="a3"/>
        <w:spacing w:before="0" w:beforeAutospacing="0" w:after="0" w:afterAutospacing="0" w:line="276" w:lineRule="auto"/>
        <w:ind w:firstLine="360"/>
        <w:jc w:val="both"/>
        <w:divId w:val="378289483"/>
        <w:rPr>
          <w:rFonts w:ascii="Times New Roman" w:hAnsi="Times New Roman"/>
        </w:rPr>
      </w:pPr>
      <w:r w:rsidRPr="00F614F9">
        <w:rPr>
          <w:rFonts w:ascii="Times New Roman" w:hAnsi="Times New Roman" w:hint="eastAsia"/>
          <w:color w:val="000000"/>
          <w:sz w:val="18"/>
          <w:szCs w:val="18"/>
        </w:rPr>
        <w:t>（二）屠宰业务</w:t>
      </w:r>
    </w:p>
    <w:p w14:paraId="656672B6" w14:textId="77777777" w:rsidR="00872599" w:rsidRPr="00F614F9" w:rsidRDefault="00000000" w:rsidP="00C90873">
      <w:pPr>
        <w:pStyle w:val="a3"/>
        <w:spacing w:before="0" w:beforeAutospacing="0" w:after="0" w:afterAutospacing="0" w:line="276" w:lineRule="auto"/>
        <w:ind w:firstLine="360"/>
        <w:jc w:val="both"/>
        <w:divId w:val="378289483"/>
        <w:rPr>
          <w:rFonts w:ascii="Times New Roman" w:hAnsi="Times New Roman"/>
        </w:rPr>
      </w:pPr>
      <w:r w:rsidRPr="00F614F9">
        <w:rPr>
          <w:rFonts w:ascii="Times New Roman" w:hAnsi="Times New Roman" w:hint="eastAsia"/>
          <w:color w:val="000000"/>
          <w:sz w:val="18"/>
          <w:szCs w:val="18"/>
        </w:rPr>
        <w:t>公司屠宰业务主要包括生猪屠宰及鲜冻肉的加工业务，目前公司拥有莱阳、聊城、潍坊、黑龙江、河南、巴中等</w:t>
      </w:r>
      <w:r w:rsidRPr="00F614F9">
        <w:rPr>
          <w:rFonts w:ascii="Times New Roman" w:hAnsi="Times New Roman" w:hint="eastAsia"/>
          <w:color w:val="000000"/>
          <w:sz w:val="18"/>
          <w:szCs w:val="18"/>
        </w:rPr>
        <w:t>8</w:t>
      </w:r>
      <w:r w:rsidRPr="00F614F9">
        <w:rPr>
          <w:rFonts w:ascii="Times New Roman" w:hAnsi="Times New Roman" w:hint="eastAsia"/>
          <w:color w:val="000000"/>
          <w:sz w:val="18"/>
          <w:szCs w:val="18"/>
        </w:rPr>
        <w:t>个大型屠宰场，年生猪屠宰能力达</w:t>
      </w:r>
      <w:r w:rsidRPr="00F614F9">
        <w:rPr>
          <w:rFonts w:ascii="Times New Roman" w:hAnsi="Times New Roman" w:cs="Times New Roman"/>
          <w:color w:val="000000"/>
          <w:sz w:val="18"/>
          <w:szCs w:val="18"/>
        </w:rPr>
        <w:t>到</w:t>
      </w:r>
      <w:r w:rsidRPr="00F614F9">
        <w:rPr>
          <w:rFonts w:ascii="Times New Roman" w:hAnsi="Times New Roman" w:cs="Times New Roman"/>
          <w:color w:val="000000"/>
          <w:sz w:val="18"/>
          <w:szCs w:val="18"/>
        </w:rPr>
        <w:t>1,500</w:t>
      </w:r>
      <w:r w:rsidRPr="00F614F9">
        <w:rPr>
          <w:rFonts w:ascii="Times New Roman" w:hAnsi="Times New Roman" w:cs="Times New Roman"/>
          <w:color w:val="000000"/>
          <w:sz w:val="18"/>
          <w:szCs w:val="18"/>
        </w:rPr>
        <w:t>万头。报告期内</w:t>
      </w:r>
      <w:r w:rsidRPr="00F614F9">
        <w:rPr>
          <w:rFonts w:ascii="Times New Roman" w:hAnsi="Times New Roman" w:hint="eastAsia"/>
          <w:color w:val="000000"/>
          <w:sz w:val="18"/>
          <w:szCs w:val="18"/>
        </w:rPr>
        <w:t>，屠宰生猪</w:t>
      </w:r>
      <w:r w:rsidRPr="00F614F9">
        <w:rPr>
          <w:rFonts w:ascii="Times New Roman" w:hAnsi="Times New Roman" w:cs="Times New Roman"/>
          <w:color w:val="000000"/>
          <w:sz w:val="18"/>
          <w:szCs w:val="18"/>
        </w:rPr>
        <w:t>643.54</w:t>
      </w:r>
      <w:r w:rsidRPr="00F614F9">
        <w:rPr>
          <w:rFonts w:ascii="Times New Roman" w:hAnsi="Times New Roman" w:hint="eastAsia"/>
          <w:color w:val="000000"/>
          <w:sz w:val="18"/>
          <w:szCs w:val="18"/>
        </w:rPr>
        <w:t>万头。</w:t>
      </w:r>
    </w:p>
    <w:p w14:paraId="264BAB60" w14:textId="77777777" w:rsidR="00872599" w:rsidRPr="00F614F9" w:rsidRDefault="00000000" w:rsidP="00C90873">
      <w:pPr>
        <w:pStyle w:val="a3"/>
        <w:spacing w:before="0" w:beforeAutospacing="0" w:after="0" w:afterAutospacing="0" w:line="276" w:lineRule="auto"/>
        <w:ind w:firstLine="360"/>
        <w:jc w:val="both"/>
        <w:divId w:val="378289483"/>
        <w:rPr>
          <w:rFonts w:ascii="Times New Roman" w:hAnsi="Times New Roman"/>
        </w:rPr>
      </w:pPr>
      <w:r w:rsidRPr="00F614F9">
        <w:rPr>
          <w:rFonts w:ascii="Times New Roman" w:hAnsi="Times New Roman" w:hint="eastAsia"/>
          <w:color w:val="000000"/>
          <w:sz w:val="18"/>
          <w:szCs w:val="18"/>
        </w:rPr>
        <w:t>生猪是生产鲜冻肉的主要原材料，从生猪产品到鲜冻肉的加工完成需经过宰杀工序、劈脊工序、分割工序和包装工序。公司生猪屠宰线采用国际一流进口设备，全自动生猪屠宰，分割白条肉，以全封闭、无菌式的生产管理，保证出产产品完全符合国际化高标准的卫生要求。屠宰后的生猪迅速进行预冷排酸，使胴体温度降至</w:t>
      </w:r>
      <w:r w:rsidRPr="00F614F9">
        <w:rPr>
          <w:rFonts w:ascii="Times New Roman" w:hAnsi="Times New Roman" w:cs="Times New Roman"/>
          <w:color w:val="000000"/>
          <w:sz w:val="18"/>
          <w:szCs w:val="18"/>
        </w:rPr>
        <w:t>0-4</w:t>
      </w:r>
      <w:r w:rsidRPr="00F614F9">
        <w:rPr>
          <w:rFonts w:ascii="Times New Roman" w:hAnsi="Times New Roman" w:hint="eastAsia"/>
          <w:color w:val="000000"/>
          <w:sz w:val="18"/>
          <w:szCs w:val="18"/>
        </w:rPr>
        <w:t>摄氏度，并在后续加工、物流、销售环节中始终保持这一温度，确保低温环境下的高安全系数，肌肉经过排酸软化质地柔软有弹性，食用更营养更鲜美。全程冷链直达终端销售，使微生物等菌类生长繁殖得到更有效控制，真正实现从养殖场到终端的全产业链、全程管控、全程可溯体系。</w:t>
      </w:r>
    </w:p>
    <w:p w14:paraId="3FFA53FF" w14:textId="77777777" w:rsidR="00872599" w:rsidRPr="00F614F9" w:rsidRDefault="00000000" w:rsidP="00C90873">
      <w:pPr>
        <w:pStyle w:val="a3"/>
        <w:spacing w:before="0" w:beforeAutospacing="0" w:after="0" w:afterAutospacing="0" w:line="276" w:lineRule="auto"/>
        <w:ind w:firstLine="360"/>
        <w:jc w:val="both"/>
        <w:divId w:val="378289483"/>
        <w:rPr>
          <w:rFonts w:ascii="Times New Roman" w:hAnsi="Times New Roman"/>
        </w:rPr>
      </w:pPr>
      <w:r w:rsidRPr="00F614F9">
        <w:rPr>
          <w:rFonts w:ascii="Times New Roman" w:hAnsi="Times New Roman" w:hint="eastAsia"/>
          <w:color w:val="000000"/>
          <w:sz w:val="18"/>
          <w:szCs w:val="18"/>
        </w:rPr>
        <w:t>（三）养殖业务</w:t>
      </w:r>
    </w:p>
    <w:p w14:paraId="01753A7A" w14:textId="77777777" w:rsidR="00872599" w:rsidRPr="00F614F9" w:rsidRDefault="00000000" w:rsidP="00C90873">
      <w:pPr>
        <w:pStyle w:val="a3"/>
        <w:spacing w:before="0" w:beforeAutospacing="0" w:after="0" w:afterAutospacing="0" w:line="276" w:lineRule="auto"/>
        <w:ind w:firstLine="360"/>
        <w:jc w:val="both"/>
        <w:divId w:val="378289483"/>
        <w:rPr>
          <w:rFonts w:ascii="Times New Roman" w:hAnsi="Times New Roman"/>
        </w:rPr>
      </w:pPr>
      <w:r w:rsidRPr="00F614F9">
        <w:rPr>
          <w:rFonts w:ascii="Times New Roman" w:hAnsi="Times New Roman" w:hint="eastAsia"/>
          <w:color w:val="000000"/>
          <w:sz w:val="18"/>
          <w:szCs w:val="18"/>
        </w:rPr>
        <w:t>公司养殖业务主要定位于为食品业务把控原材料成本和满足大客户的溯源需求，并根据大客户的需要进行产能的动态调配。公司养殖业务主要采取“公司</w:t>
      </w:r>
      <w:r w:rsidRPr="00F614F9">
        <w:rPr>
          <w:rFonts w:ascii="Times New Roman" w:hAnsi="Times New Roman" w:cs="Times New Roman"/>
          <w:color w:val="000000"/>
          <w:sz w:val="18"/>
          <w:szCs w:val="18"/>
        </w:rPr>
        <w:t>+</w:t>
      </w:r>
      <w:r w:rsidRPr="00F614F9">
        <w:rPr>
          <w:rFonts w:ascii="Times New Roman" w:hAnsi="Times New Roman" w:hint="eastAsia"/>
          <w:color w:val="000000"/>
          <w:sz w:val="18"/>
          <w:szCs w:val="18"/>
        </w:rPr>
        <w:t>农户</w:t>
      </w:r>
      <w:r w:rsidRPr="00F614F9">
        <w:rPr>
          <w:rFonts w:ascii="Times New Roman" w:hAnsi="Times New Roman" w:cs="Times New Roman"/>
          <w:color w:val="000000"/>
          <w:sz w:val="18"/>
          <w:szCs w:val="18"/>
        </w:rPr>
        <w:t>”</w:t>
      </w:r>
      <w:r w:rsidRPr="00F614F9">
        <w:rPr>
          <w:rFonts w:ascii="Times New Roman" w:hAnsi="Times New Roman" w:hint="eastAsia"/>
          <w:color w:val="000000"/>
          <w:sz w:val="18"/>
          <w:szCs w:val="18"/>
        </w:rPr>
        <w:t>和公司自养两种养殖模式。在</w:t>
      </w:r>
      <w:r w:rsidRPr="00F614F9">
        <w:rPr>
          <w:rFonts w:ascii="Times New Roman" w:hAnsi="Times New Roman" w:cs="Times New Roman"/>
          <w:color w:val="000000"/>
          <w:sz w:val="18"/>
          <w:szCs w:val="18"/>
        </w:rPr>
        <w:t>“</w:t>
      </w:r>
      <w:r w:rsidRPr="00F614F9">
        <w:rPr>
          <w:rFonts w:ascii="Times New Roman" w:hAnsi="Times New Roman" w:hint="eastAsia"/>
          <w:color w:val="000000"/>
          <w:sz w:val="18"/>
          <w:szCs w:val="18"/>
        </w:rPr>
        <w:t>公司</w:t>
      </w:r>
      <w:r w:rsidRPr="00F614F9">
        <w:rPr>
          <w:rFonts w:ascii="Times New Roman" w:hAnsi="Times New Roman" w:cs="Times New Roman"/>
          <w:color w:val="000000"/>
          <w:sz w:val="18"/>
          <w:szCs w:val="18"/>
        </w:rPr>
        <w:t>+</w:t>
      </w:r>
      <w:r w:rsidRPr="00F614F9">
        <w:rPr>
          <w:rFonts w:ascii="Times New Roman" w:hAnsi="Times New Roman" w:hint="eastAsia"/>
          <w:color w:val="000000"/>
          <w:sz w:val="18"/>
          <w:szCs w:val="18"/>
        </w:rPr>
        <w:t>农户</w:t>
      </w:r>
      <w:r w:rsidRPr="00F614F9">
        <w:rPr>
          <w:rFonts w:ascii="Times New Roman" w:hAnsi="Times New Roman" w:cs="Times New Roman"/>
          <w:color w:val="000000"/>
          <w:sz w:val="18"/>
          <w:szCs w:val="18"/>
        </w:rPr>
        <w:t>”</w:t>
      </w:r>
      <w:r w:rsidRPr="00F614F9">
        <w:rPr>
          <w:rFonts w:ascii="Times New Roman" w:hAnsi="Times New Roman" w:hint="eastAsia"/>
          <w:color w:val="000000"/>
          <w:sz w:val="18"/>
          <w:szCs w:val="18"/>
        </w:rPr>
        <w:t>的模式下，公司通过委托代养的方法与农户合作，委托模式采取统一规划、统一猪种、统一饲料、统一防疫、统一保健和统一检测全力保障生猪养殖品质。在公司自养的模式下，公司对养殖场实施完全控制，公司管理涵盖了从种猪到育肥猪的整个养殖过程。公司通过自建饲料公司，自产饲料进行生猪喂养，结合</w:t>
      </w:r>
      <w:r w:rsidRPr="00F614F9">
        <w:rPr>
          <w:rFonts w:ascii="Times New Roman" w:hAnsi="Times New Roman" w:cs="Times New Roman"/>
          <w:color w:val="000000"/>
          <w:sz w:val="18"/>
          <w:szCs w:val="18"/>
        </w:rPr>
        <w:t>“</w:t>
      </w:r>
      <w:r w:rsidRPr="00F614F9">
        <w:rPr>
          <w:rFonts w:ascii="Times New Roman" w:hAnsi="Times New Roman" w:hint="eastAsia"/>
          <w:color w:val="000000"/>
          <w:sz w:val="18"/>
          <w:szCs w:val="18"/>
        </w:rPr>
        <w:t>全产业链</w:t>
      </w:r>
      <w:r w:rsidRPr="00F614F9">
        <w:rPr>
          <w:rFonts w:ascii="Times New Roman" w:hAnsi="Times New Roman" w:cs="Times New Roman"/>
          <w:color w:val="000000"/>
          <w:sz w:val="18"/>
          <w:szCs w:val="18"/>
        </w:rPr>
        <w:t>”</w:t>
      </w:r>
      <w:r w:rsidRPr="00F614F9">
        <w:rPr>
          <w:rFonts w:ascii="Times New Roman" w:hAnsi="Times New Roman" w:hint="eastAsia"/>
          <w:color w:val="000000"/>
          <w:sz w:val="18"/>
          <w:szCs w:val="18"/>
        </w:rPr>
        <w:t>发展模式，通过全过程质量控制，为企业客户提供优质的产品供应和品质保障。同时养殖业务作为公司食品业务的支撑，可以降低原材料采购成本，提高公司盈利水平，降低市场风险。报告期内，公司生猪出栏量为</w:t>
      </w:r>
      <w:r w:rsidRPr="00F614F9">
        <w:rPr>
          <w:rFonts w:ascii="Times New Roman" w:hAnsi="Times New Roman" w:hint="eastAsia"/>
          <w:color w:val="000000"/>
          <w:sz w:val="18"/>
          <w:szCs w:val="18"/>
        </w:rPr>
        <w:t>65</w:t>
      </w:r>
      <w:r w:rsidRPr="00F614F9">
        <w:rPr>
          <w:rFonts w:ascii="Times New Roman" w:hAnsi="Times New Roman" w:hint="eastAsia"/>
          <w:color w:val="000000"/>
          <w:sz w:val="18"/>
          <w:szCs w:val="18"/>
        </w:rPr>
        <w:t>万头，同比增长</w:t>
      </w:r>
      <w:r w:rsidRPr="00F614F9">
        <w:rPr>
          <w:rFonts w:ascii="Times New Roman" w:hAnsi="Times New Roman" w:cs="Times New Roman"/>
          <w:color w:val="000000"/>
          <w:sz w:val="18"/>
          <w:szCs w:val="18"/>
        </w:rPr>
        <w:t>29.6%</w:t>
      </w:r>
      <w:r w:rsidRPr="00F614F9">
        <w:rPr>
          <w:rFonts w:ascii="Times New Roman" w:hAnsi="Times New Roman" w:hint="eastAsia"/>
          <w:color w:val="000000"/>
          <w:sz w:val="18"/>
          <w:szCs w:val="18"/>
        </w:rPr>
        <w:t>。</w:t>
      </w:r>
    </w:p>
    <w:p w14:paraId="09510FD3" w14:textId="77777777" w:rsidR="001D26E7" w:rsidRPr="00F614F9" w:rsidRDefault="00000000" w:rsidP="00C90873">
      <w:pPr>
        <w:spacing w:before="100" w:after="100" w:line="276" w:lineRule="auto"/>
        <w:rPr>
          <w:rFonts w:ascii="Times New Roman" w:eastAsia="宋体" w:hAnsi="Times New Roman" w:cs="宋体"/>
          <w:sz w:val="18"/>
          <w:szCs w:val="18"/>
        </w:rPr>
      </w:pPr>
      <w:r w:rsidRPr="00F614F9">
        <w:rPr>
          <w:rFonts w:ascii="Times New Roman" w:eastAsia="宋体" w:hAnsi="Times New Roman" w:cs="宋体"/>
          <w:sz w:val="18"/>
          <w:szCs w:val="18"/>
        </w:rPr>
        <w:t>主要销售模式</w:t>
      </w:r>
    </w:p>
    <w:p w14:paraId="05D8B94B" w14:textId="77777777" w:rsidR="00872599" w:rsidRPr="00F614F9" w:rsidRDefault="00000000" w:rsidP="00C90873">
      <w:pPr>
        <w:pStyle w:val="a3"/>
        <w:spacing w:line="276" w:lineRule="auto"/>
        <w:ind w:firstLineChars="200" w:firstLine="360"/>
        <w:divId w:val="2083209206"/>
        <w:rPr>
          <w:rFonts w:ascii="Times New Roman" w:hAnsi="Times New Roman" w:cs="Times New Roman"/>
          <w:sz w:val="18"/>
          <w:szCs w:val="18"/>
        </w:rPr>
      </w:pPr>
      <w:r w:rsidRPr="00F614F9">
        <w:rPr>
          <w:rFonts w:ascii="Times New Roman" w:hAnsi="Times New Roman" w:cs="Times New Roman"/>
          <w:color w:val="000000"/>
          <w:sz w:val="18"/>
          <w:szCs w:val="18"/>
          <w:shd w:val="clear" w:color="auto" w:fill="FFFFFF"/>
        </w:rPr>
        <w:t>公司销售模式以经销渠道为主。经销渠道占比</w:t>
      </w:r>
      <w:r w:rsidRPr="00F614F9">
        <w:rPr>
          <w:rFonts w:ascii="Times New Roman" w:hAnsi="Times New Roman" w:cs="Times New Roman"/>
          <w:color w:val="000000"/>
          <w:sz w:val="18"/>
          <w:szCs w:val="18"/>
          <w:shd w:val="clear" w:color="auto" w:fill="FFFFFF"/>
        </w:rPr>
        <w:t>79.18%</w:t>
      </w:r>
      <w:r w:rsidRPr="00F614F9">
        <w:rPr>
          <w:rFonts w:ascii="Times New Roman" w:hAnsi="Times New Roman" w:cs="Times New Roman"/>
          <w:color w:val="000000"/>
          <w:sz w:val="18"/>
          <w:szCs w:val="18"/>
          <w:shd w:val="clear" w:color="auto" w:fill="FFFFFF"/>
        </w:rPr>
        <w:t>，主要包括生鲜市场、冻品市场、农贸市场、中小型餐饮连锁和</w:t>
      </w:r>
      <w:r w:rsidRPr="00F614F9">
        <w:rPr>
          <w:rFonts w:ascii="Times New Roman" w:hAnsi="Times New Roman" w:cs="Times New Roman"/>
          <w:color w:val="000000"/>
          <w:sz w:val="18"/>
          <w:szCs w:val="18"/>
          <w:shd w:val="clear" w:color="auto" w:fill="FFFFFF"/>
        </w:rPr>
        <w:t>BC</w:t>
      </w:r>
      <w:r w:rsidRPr="00F614F9">
        <w:rPr>
          <w:rFonts w:ascii="Times New Roman" w:hAnsi="Times New Roman" w:cs="Times New Roman"/>
          <w:color w:val="000000"/>
          <w:sz w:val="18"/>
          <w:szCs w:val="18"/>
          <w:shd w:val="clear" w:color="auto" w:fill="FFFFFF"/>
        </w:rPr>
        <w:t>商超等。直营渠道占比</w:t>
      </w:r>
      <w:r w:rsidRPr="00F614F9">
        <w:rPr>
          <w:rFonts w:ascii="Times New Roman" w:hAnsi="Times New Roman" w:cs="Times New Roman"/>
          <w:color w:val="000000"/>
          <w:sz w:val="18"/>
          <w:szCs w:val="18"/>
          <w:shd w:val="clear" w:color="auto" w:fill="FFFFFF"/>
        </w:rPr>
        <w:t>20.82%</w:t>
      </w:r>
      <w:r w:rsidRPr="00F614F9">
        <w:rPr>
          <w:rFonts w:ascii="Times New Roman" w:hAnsi="Times New Roman" w:cs="Times New Roman"/>
          <w:color w:val="000000"/>
          <w:sz w:val="18"/>
          <w:szCs w:val="18"/>
          <w:shd w:val="clear" w:color="auto" w:fill="FFFFFF"/>
        </w:rPr>
        <w:t>，主要包括大型餐饮、食品加工企业、全国知名连锁商超、自营专卖店、线上新零售</w:t>
      </w:r>
      <w:proofErr w:type="gramStart"/>
      <w:r w:rsidRPr="00F614F9">
        <w:rPr>
          <w:rFonts w:ascii="Times New Roman" w:hAnsi="Times New Roman" w:cs="Times New Roman"/>
          <w:color w:val="000000"/>
          <w:sz w:val="18"/>
          <w:szCs w:val="18"/>
          <w:shd w:val="clear" w:color="auto" w:fill="FFFFFF"/>
        </w:rPr>
        <w:t>和特通渠道</w:t>
      </w:r>
      <w:proofErr w:type="gramEnd"/>
      <w:r w:rsidRPr="00F614F9">
        <w:rPr>
          <w:rFonts w:ascii="Times New Roman" w:hAnsi="Times New Roman" w:cs="Times New Roman"/>
          <w:color w:val="000000"/>
          <w:sz w:val="18"/>
          <w:szCs w:val="18"/>
          <w:shd w:val="clear" w:color="auto" w:fill="FFFFFF"/>
        </w:rPr>
        <w:t>等</w:t>
      </w:r>
      <w:r w:rsidR="004164F4" w:rsidRPr="00F614F9">
        <w:rPr>
          <w:rFonts w:ascii="Times New Roman" w:hAnsi="Times New Roman" w:cs="Times New Roman"/>
          <w:color w:val="000000"/>
          <w:sz w:val="18"/>
          <w:szCs w:val="18"/>
          <w:shd w:val="clear" w:color="auto" w:fill="FFFFFF"/>
        </w:rPr>
        <w:t>。</w:t>
      </w:r>
    </w:p>
    <w:p w14:paraId="66493498"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经销模式</w:t>
      </w:r>
    </w:p>
    <w:p w14:paraId="2173923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69BCDB76" w14:textId="77777777" w:rsidR="00872599" w:rsidRPr="00F614F9" w:rsidRDefault="00000000">
      <w:pPr>
        <w:pStyle w:val="a3"/>
        <w:spacing w:before="0" w:beforeAutospacing="0" w:after="0" w:afterAutospacing="0" w:line="276" w:lineRule="auto"/>
        <w:ind w:firstLine="360"/>
        <w:divId w:val="949893988"/>
        <w:rPr>
          <w:rFonts w:ascii="Times New Roman" w:eastAsia="等线" w:hAnsi="Times New Roman"/>
          <w:sz w:val="21"/>
          <w:szCs w:val="21"/>
        </w:rPr>
      </w:pPr>
      <w:r w:rsidRPr="00F614F9">
        <w:rPr>
          <w:rFonts w:ascii="Times New Roman" w:hAnsi="Times New Roman" w:hint="eastAsia"/>
          <w:sz w:val="18"/>
          <w:szCs w:val="18"/>
        </w:rPr>
        <w:t>公司销售模式和产品分类的营业收入、营业成本、毛利率及同比变动情况见本节第四小节“主营业务分析”。</w:t>
      </w:r>
    </w:p>
    <w:p w14:paraId="0D3C2067" w14:textId="77777777" w:rsidR="00872599" w:rsidRPr="00F614F9" w:rsidRDefault="00000000">
      <w:pPr>
        <w:pStyle w:val="a3"/>
        <w:divId w:val="949893988"/>
        <w:rPr>
          <w:rFonts w:ascii="Times New Roman" w:hAnsi="Times New Roman"/>
          <w:sz w:val="18"/>
          <w:szCs w:val="18"/>
        </w:rPr>
      </w:pPr>
      <w:r w:rsidRPr="00F614F9">
        <w:rPr>
          <w:rFonts w:ascii="Times New Roman" w:hAnsi="Times New Roman" w:hint="eastAsia"/>
          <w:sz w:val="18"/>
          <w:szCs w:val="18"/>
        </w:rPr>
        <w:t>报告期内经销商变动情况如下：</w:t>
      </w:r>
    </w:p>
    <w:tbl>
      <w:tblPr>
        <w:tblW w:w="9380" w:type="dxa"/>
        <w:jc w:val="center"/>
        <w:tblCellMar>
          <w:left w:w="0" w:type="dxa"/>
          <w:right w:w="0" w:type="dxa"/>
        </w:tblCellMar>
        <w:tblLook w:val="04A0" w:firstRow="1" w:lastRow="0" w:firstColumn="1" w:lastColumn="0" w:noHBand="0" w:noVBand="1"/>
      </w:tblPr>
      <w:tblGrid>
        <w:gridCol w:w="1900"/>
        <w:gridCol w:w="2069"/>
        <w:gridCol w:w="1991"/>
        <w:gridCol w:w="2080"/>
        <w:gridCol w:w="1340"/>
      </w:tblGrid>
      <w:tr w:rsidR="00872599" w:rsidRPr="00F614F9" w14:paraId="1C647AD7" w14:textId="77777777">
        <w:trPr>
          <w:divId w:val="949893988"/>
          <w:trHeight w:val="630"/>
          <w:jc w:val="center"/>
        </w:trPr>
        <w:tc>
          <w:tcPr>
            <w:tcW w:w="1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B3BD6C"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hint="eastAsia"/>
                <w:color w:val="000000"/>
                <w:sz w:val="18"/>
                <w:szCs w:val="18"/>
              </w:rPr>
              <w:t>分地区</w:t>
            </w:r>
          </w:p>
        </w:tc>
        <w:tc>
          <w:tcPr>
            <w:tcW w:w="206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876C64E"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2023</w:t>
            </w:r>
            <w:r w:rsidRPr="00F614F9">
              <w:rPr>
                <w:rFonts w:ascii="Times New Roman" w:hAnsi="Times New Roman" w:hint="eastAsia"/>
                <w:color w:val="000000"/>
                <w:sz w:val="18"/>
                <w:szCs w:val="18"/>
              </w:rPr>
              <w:t>年经销商数量（</w:t>
            </w:r>
            <w:proofErr w:type="gramStart"/>
            <w:r w:rsidRPr="00F614F9">
              <w:rPr>
                <w:rFonts w:ascii="Times New Roman" w:hAnsi="Times New Roman" w:hint="eastAsia"/>
                <w:color w:val="000000"/>
                <w:sz w:val="18"/>
                <w:szCs w:val="18"/>
              </w:rPr>
              <w:t>个</w:t>
            </w:r>
            <w:proofErr w:type="gramEnd"/>
            <w:r w:rsidRPr="00F614F9">
              <w:rPr>
                <w:rFonts w:ascii="Times New Roman" w:hAnsi="Times New Roman" w:hint="eastAsia"/>
                <w:color w:val="000000"/>
                <w:sz w:val="18"/>
                <w:szCs w:val="18"/>
              </w:rPr>
              <w:t>）</w:t>
            </w:r>
          </w:p>
        </w:tc>
        <w:tc>
          <w:tcPr>
            <w:tcW w:w="19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FA271A9"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2022</w:t>
            </w:r>
            <w:r w:rsidRPr="00F614F9">
              <w:rPr>
                <w:rFonts w:ascii="Times New Roman" w:hAnsi="Times New Roman" w:hint="eastAsia"/>
                <w:color w:val="000000"/>
                <w:sz w:val="18"/>
                <w:szCs w:val="18"/>
              </w:rPr>
              <w:t>年经销商数量（</w:t>
            </w:r>
            <w:proofErr w:type="gramStart"/>
            <w:r w:rsidRPr="00F614F9">
              <w:rPr>
                <w:rFonts w:ascii="Times New Roman" w:hAnsi="Times New Roman" w:hint="eastAsia"/>
                <w:color w:val="000000"/>
                <w:sz w:val="18"/>
                <w:szCs w:val="18"/>
              </w:rPr>
              <w:t>个</w:t>
            </w:r>
            <w:proofErr w:type="gramEnd"/>
            <w:r w:rsidRPr="00F614F9">
              <w:rPr>
                <w:rFonts w:ascii="Times New Roman" w:hAnsi="Times New Roman" w:hint="eastAsia"/>
                <w:color w:val="000000"/>
                <w:sz w:val="18"/>
                <w:szCs w:val="18"/>
              </w:rPr>
              <w:t>）</w:t>
            </w:r>
          </w:p>
        </w:tc>
        <w:tc>
          <w:tcPr>
            <w:tcW w:w="2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EF1345"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hint="eastAsia"/>
                <w:color w:val="000000"/>
                <w:sz w:val="18"/>
                <w:szCs w:val="18"/>
              </w:rPr>
              <w:t>报告期内增加、减少数量（</w:t>
            </w:r>
            <w:proofErr w:type="gramStart"/>
            <w:r w:rsidRPr="00F614F9">
              <w:rPr>
                <w:rFonts w:ascii="Times New Roman" w:hAnsi="Times New Roman" w:hint="eastAsia"/>
                <w:color w:val="000000"/>
                <w:sz w:val="18"/>
                <w:szCs w:val="18"/>
              </w:rPr>
              <w:t>个</w:t>
            </w:r>
            <w:proofErr w:type="gramEnd"/>
            <w:r w:rsidRPr="00F614F9">
              <w:rPr>
                <w:rFonts w:ascii="Times New Roman" w:hAnsi="Times New Roman" w:hint="eastAsia"/>
                <w:color w:val="000000"/>
                <w:sz w:val="18"/>
                <w:szCs w:val="18"/>
              </w:rPr>
              <w:t>）</w:t>
            </w:r>
          </w:p>
        </w:tc>
        <w:tc>
          <w:tcPr>
            <w:tcW w:w="13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C324B8"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hint="eastAsia"/>
                <w:color w:val="000000"/>
                <w:sz w:val="18"/>
                <w:szCs w:val="18"/>
              </w:rPr>
              <w:t>本年末比上年末增减</w:t>
            </w:r>
          </w:p>
        </w:tc>
      </w:tr>
      <w:tr w:rsidR="00872599" w:rsidRPr="00F614F9" w14:paraId="68CA3D49" w14:textId="77777777">
        <w:trPr>
          <w:divId w:val="949893988"/>
          <w:trHeight w:val="315"/>
          <w:jc w:val="center"/>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C95555"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hint="eastAsia"/>
                <w:color w:val="000000"/>
                <w:sz w:val="18"/>
                <w:szCs w:val="18"/>
              </w:rPr>
              <w:t>山东省</w:t>
            </w:r>
          </w:p>
        </w:tc>
        <w:tc>
          <w:tcPr>
            <w:tcW w:w="20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DB85CE"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3446</w:t>
            </w:r>
          </w:p>
        </w:tc>
        <w:tc>
          <w:tcPr>
            <w:tcW w:w="19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A90734"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3376</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8627CA"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70</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B13850"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2.07%</w:t>
            </w:r>
          </w:p>
        </w:tc>
      </w:tr>
      <w:tr w:rsidR="00872599" w:rsidRPr="00F614F9" w14:paraId="6F406A9B" w14:textId="77777777">
        <w:trPr>
          <w:divId w:val="949893988"/>
          <w:trHeight w:val="315"/>
          <w:jc w:val="center"/>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19E0CC3"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hint="eastAsia"/>
                <w:color w:val="000000"/>
                <w:sz w:val="18"/>
                <w:szCs w:val="18"/>
              </w:rPr>
              <w:t>华东其他地区</w:t>
            </w:r>
          </w:p>
        </w:tc>
        <w:tc>
          <w:tcPr>
            <w:tcW w:w="20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5C5641"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1705</w:t>
            </w:r>
          </w:p>
        </w:tc>
        <w:tc>
          <w:tcPr>
            <w:tcW w:w="19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65C50B"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2252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451122"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-547</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AF32E6"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-24.29%</w:t>
            </w:r>
          </w:p>
        </w:tc>
      </w:tr>
      <w:tr w:rsidR="00872599" w:rsidRPr="00F614F9" w14:paraId="5FF6911E" w14:textId="77777777">
        <w:trPr>
          <w:divId w:val="949893988"/>
          <w:trHeight w:val="315"/>
          <w:jc w:val="center"/>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546C056"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hint="eastAsia"/>
                <w:color w:val="000000"/>
                <w:sz w:val="18"/>
                <w:szCs w:val="18"/>
              </w:rPr>
              <w:lastRenderedPageBreak/>
              <w:t>华中地区</w:t>
            </w:r>
          </w:p>
        </w:tc>
        <w:tc>
          <w:tcPr>
            <w:tcW w:w="20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4D58D1"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1665</w:t>
            </w:r>
          </w:p>
        </w:tc>
        <w:tc>
          <w:tcPr>
            <w:tcW w:w="19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551EE4"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1350</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8F1049"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315</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7072F2"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23.33%</w:t>
            </w:r>
          </w:p>
        </w:tc>
      </w:tr>
      <w:tr w:rsidR="00872599" w:rsidRPr="00F614F9" w14:paraId="4599ED66" w14:textId="77777777">
        <w:trPr>
          <w:divId w:val="949893988"/>
          <w:trHeight w:val="315"/>
          <w:jc w:val="center"/>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12A189F"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hint="eastAsia"/>
                <w:color w:val="000000"/>
                <w:sz w:val="18"/>
                <w:szCs w:val="18"/>
              </w:rPr>
              <w:t>华北地区</w:t>
            </w:r>
          </w:p>
        </w:tc>
        <w:tc>
          <w:tcPr>
            <w:tcW w:w="20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FF54BF"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582</w:t>
            </w:r>
          </w:p>
        </w:tc>
        <w:tc>
          <w:tcPr>
            <w:tcW w:w="19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62D3B7"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568</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60F363"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14</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6609FC"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2.46%</w:t>
            </w:r>
          </w:p>
        </w:tc>
      </w:tr>
      <w:tr w:rsidR="00872599" w:rsidRPr="00F614F9" w14:paraId="2E23EAB2" w14:textId="77777777">
        <w:trPr>
          <w:divId w:val="949893988"/>
          <w:trHeight w:val="315"/>
          <w:jc w:val="center"/>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D354EA0"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hint="eastAsia"/>
                <w:color w:val="000000"/>
                <w:sz w:val="18"/>
                <w:szCs w:val="18"/>
              </w:rPr>
              <w:t>华南地区</w:t>
            </w:r>
          </w:p>
        </w:tc>
        <w:tc>
          <w:tcPr>
            <w:tcW w:w="20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163188"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213</w:t>
            </w:r>
          </w:p>
        </w:tc>
        <w:tc>
          <w:tcPr>
            <w:tcW w:w="19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770D58"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281</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47A1C3"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-68</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15A9E7"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-24.20%</w:t>
            </w:r>
          </w:p>
        </w:tc>
      </w:tr>
      <w:tr w:rsidR="00872599" w:rsidRPr="00F614F9" w14:paraId="068ED3EC" w14:textId="77777777">
        <w:trPr>
          <w:divId w:val="949893988"/>
          <w:trHeight w:val="315"/>
          <w:jc w:val="center"/>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2EF7818"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hint="eastAsia"/>
                <w:color w:val="000000"/>
                <w:sz w:val="18"/>
                <w:szCs w:val="18"/>
              </w:rPr>
              <w:t>东北地区</w:t>
            </w:r>
          </w:p>
        </w:tc>
        <w:tc>
          <w:tcPr>
            <w:tcW w:w="20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DF0ADC"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518</w:t>
            </w:r>
          </w:p>
        </w:tc>
        <w:tc>
          <w:tcPr>
            <w:tcW w:w="19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B0611B"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247</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8A11B7"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271</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D66934"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109.72%</w:t>
            </w:r>
          </w:p>
        </w:tc>
      </w:tr>
      <w:tr w:rsidR="00872599" w:rsidRPr="00F614F9" w14:paraId="08D9C084" w14:textId="77777777">
        <w:trPr>
          <w:divId w:val="949893988"/>
          <w:trHeight w:val="315"/>
          <w:jc w:val="center"/>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64CB05"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hint="eastAsia"/>
                <w:color w:val="000000"/>
                <w:sz w:val="18"/>
                <w:szCs w:val="18"/>
              </w:rPr>
              <w:t>西南地区</w:t>
            </w:r>
          </w:p>
        </w:tc>
        <w:tc>
          <w:tcPr>
            <w:tcW w:w="20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CD40D5"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935</w:t>
            </w:r>
          </w:p>
        </w:tc>
        <w:tc>
          <w:tcPr>
            <w:tcW w:w="19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3CDFD4"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749</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63A78D"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186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1F9667"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color w:val="000000"/>
                <w:sz w:val="18"/>
                <w:szCs w:val="18"/>
              </w:rPr>
              <w:t>24.83%</w:t>
            </w:r>
          </w:p>
        </w:tc>
      </w:tr>
      <w:tr w:rsidR="00872599" w:rsidRPr="00F614F9" w14:paraId="52FB8FCA" w14:textId="77777777">
        <w:trPr>
          <w:divId w:val="949893988"/>
          <w:trHeight w:val="315"/>
          <w:jc w:val="center"/>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BB4C4A"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hint="eastAsia"/>
                <w:sz w:val="18"/>
                <w:szCs w:val="18"/>
              </w:rPr>
              <w:t>西北地区及其他</w:t>
            </w:r>
          </w:p>
        </w:tc>
        <w:tc>
          <w:tcPr>
            <w:tcW w:w="20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6A7F89" w14:textId="77777777" w:rsidR="00872599" w:rsidRPr="00EC352F" w:rsidRDefault="00EC352F">
            <w:pPr>
              <w:pStyle w:val="a3"/>
              <w:spacing w:before="0" w:beforeAutospacing="0" w:after="0" w:afterAutospacing="0"/>
              <w:jc w:val="center"/>
              <w:rPr>
                <w:rFonts w:ascii="Times New Roman" w:hAnsi="Times New Roman" w:cs="Times New Roman"/>
                <w:color w:val="000000"/>
                <w:sz w:val="18"/>
                <w:szCs w:val="18"/>
              </w:rPr>
            </w:pPr>
            <w:r w:rsidRPr="00EC352F">
              <w:rPr>
                <w:rFonts w:ascii="Times New Roman" w:hAnsi="Times New Roman" w:cs="Times New Roman" w:hint="eastAsia"/>
                <w:color w:val="000000"/>
                <w:sz w:val="18"/>
                <w:szCs w:val="18"/>
              </w:rPr>
              <w:t>127</w:t>
            </w:r>
          </w:p>
        </w:tc>
        <w:tc>
          <w:tcPr>
            <w:tcW w:w="19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AB7DA4" w14:textId="77777777" w:rsidR="00872599" w:rsidRPr="00EC352F" w:rsidRDefault="00EC352F">
            <w:pPr>
              <w:pStyle w:val="a3"/>
              <w:spacing w:before="0" w:beforeAutospacing="0" w:after="0" w:afterAutospacing="0"/>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132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FFD25F" w14:textId="77777777" w:rsidR="00872599" w:rsidRPr="00F614F9" w:rsidRDefault="00EC352F">
            <w:pPr>
              <w:pStyle w:val="a3"/>
              <w:spacing w:before="0" w:beforeAutospacing="0" w:after="0" w:afterAutospacing="0"/>
              <w:jc w:val="center"/>
              <w:rPr>
                <w:rFonts w:ascii="Times New Roman" w:hAnsi="Times New Roman"/>
              </w:rPr>
            </w:pPr>
            <w:r>
              <w:rPr>
                <w:rFonts w:ascii="Times New Roman" w:hAnsi="Times New Roman" w:cs="Times New Roman" w:hint="eastAsia"/>
                <w:sz w:val="18"/>
                <w:szCs w:val="18"/>
              </w:rPr>
              <w:t>-5</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365F87" w14:textId="77777777" w:rsidR="00872599" w:rsidRPr="00F614F9" w:rsidRDefault="00EC352F">
            <w:pPr>
              <w:pStyle w:val="a3"/>
              <w:spacing w:before="0" w:beforeAutospacing="0" w:after="0" w:afterAutospacing="0"/>
              <w:jc w:val="center"/>
              <w:rPr>
                <w:rFonts w:ascii="Times New Roman" w:hAnsi="Times New Roman"/>
              </w:rPr>
            </w:pPr>
            <w:r>
              <w:rPr>
                <w:rFonts w:ascii="Times New Roman" w:hAnsi="Times New Roman" w:cs="Times New Roman" w:hint="eastAsia"/>
                <w:sz w:val="18"/>
                <w:szCs w:val="18"/>
              </w:rPr>
              <w:t>-3.79</w:t>
            </w:r>
            <w:r w:rsidRPr="00F614F9">
              <w:rPr>
                <w:rFonts w:ascii="Times New Roman" w:hAnsi="Times New Roman" w:cs="Times New Roman"/>
                <w:sz w:val="18"/>
                <w:szCs w:val="18"/>
              </w:rPr>
              <w:t>%</w:t>
            </w:r>
          </w:p>
        </w:tc>
      </w:tr>
      <w:tr w:rsidR="00872599" w:rsidRPr="00F614F9" w14:paraId="45756CC9" w14:textId="77777777">
        <w:trPr>
          <w:divId w:val="949893988"/>
          <w:trHeight w:val="315"/>
          <w:jc w:val="center"/>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C818BE"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hint="eastAsia"/>
                <w:sz w:val="18"/>
                <w:szCs w:val="18"/>
              </w:rPr>
              <w:t>合计</w:t>
            </w:r>
          </w:p>
        </w:tc>
        <w:tc>
          <w:tcPr>
            <w:tcW w:w="20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69FB20" w14:textId="77777777" w:rsidR="00872599" w:rsidRPr="00F614F9" w:rsidRDefault="00EC352F">
            <w:pPr>
              <w:pStyle w:val="a3"/>
              <w:spacing w:before="0" w:beforeAutospacing="0" w:after="0" w:afterAutospacing="0"/>
              <w:jc w:val="center"/>
              <w:rPr>
                <w:rFonts w:ascii="Times New Roman" w:hAnsi="Times New Roman"/>
              </w:rPr>
            </w:pPr>
            <w:r>
              <w:rPr>
                <w:rFonts w:ascii="Times New Roman" w:hAnsi="Times New Roman" w:cs="Times New Roman" w:hint="eastAsia"/>
                <w:sz w:val="18"/>
                <w:szCs w:val="18"/>
              </w:rPr>
              <w:t>9191</w:t>
            </w:r>
          </w:p>
        </w:tc>
        <w:tc>
          <w:tcPr>
            <w:tcW w:w="19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D3ED1D" w14:textId="77777777" w:rsidR="00872599" w:rsidRPr="00F614F9" w:rsidRDefault="00EC352F">
            <w:pPr>
              <w:pStyle w:val="a3"/>
              <w:spacing w:before="0" w:beforeAutospacing="0" w:after="0" w:afterAutospacing="0"/>
              <w:jc w:val="center"/>
              <w:rPr>
                <w:rFonts w:ascii="Times New Roman" w:hAnsi="Times New Roman"/>
              </w:rPr>
            </w:pPr>
            <w:r>
              <w:rPr>
                <w:rFonts w:ascii="Times New Roman" w:hAnsi="Times New Roman" w:cs="Times New Roman" w:hint="eastAsia"/>
                <w:sz w:val="18"/>
                <w:szCs w:val="18"/>
              </w:rPr>
              <w:t>8955</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3C605A" w14:textId="77777777" w:rsidR="00872599" w:rsidRPr="00F614F9" w:rsidRDefault="00872599">
            <w:pPr>
              <w:pStyle w:val="a3"/>
              <w:spacing w:before="0" w:beforeAutospacing="0" w:after="0" w:afterAutospacing="0"/>
              <w:jc w:val="center"/>
              <w:rPr>
                <w:rFonts w:ascii="Times New Roman" w:hAnsi="Times New Roman"/>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494F57" w14:textId="77777777" w:rsidR="00872599" w:rsidRPr="00F614F9" w:rsidRDefault="00000000">
            <w:pPr>
              <w:pStyle w:val="a3"/>
              <w:spacing w:before="0" w:beforeAutospacing="0" w:after="0" w:afterAutospacing="0"/>
              <w:jc w:val="center"/>
              <w:rPr>
                <w:rFonts w:ascii="Times New Roman" w:hAnsi="Times New Roman"/>
              </w:rPr>
            </w:pPr>
            <w:r w:rsidRPr="00F614F9">
              <w:rPr>
                <w:rFonts w:ascii="Times New Roman" w:hAnsi="Times New Roman" w:cs="Times New Roman"/>
                <w:sz w:val="18"/>
                <w:szCs w:val="18"/>
              </w:rPr>
              <w:t> </w:t>
            </w:r>
          </w:p>
        </w:tc>
      </w:tr>
    </w:tbl>
    <w:p w14:paraId="44DB2CFE" w14:textId="77777777" w:rsidR="00872599" w:rsidRPr="00F614F9" w:rsidRDefault="00000000" w:rsidP="00C90873">
      <w:pPr>
        <w:pStyle w:val="a3"/>
        <w:spacing w:line="276" w:lineRule="auto"/>
        <w:ind w:firstLineChars="200" w:firstLine="360"/>
        <w:divId w:val="949893988"/>
        <w:rPr>
          <w:rFonts w:ascii="Times New Roman" w:hAnsi="Times New Roman"/>
          <w:sz w:val="18"/>
          <w:szCs w:val="18"/>
        </w:rPr>
      </w:pPr>
      <w:r w:rsidRPr="00F614F9">
        <w:rPr>
          <w:rFonts w:ascii="Times New Roman" w:hAnsi="Times New Roman" w:hint="eastAsia"/>
          <w:sz w:val="18"/>
          <w:szCs w:val="18"/>
        </w:rPr>
        <w:t>报告期内，公司前五大经销客户销售总额合计为</w:t>
      </w:r>
      <w:r w:rsidRPr="00F614F9">
        <w:rPr>
          <w:rFonts w:ascii="Times New Roman" w:hAnsi="Times New Roman" w:hint="eastAsia"/>
          <w:sz w:val="18"/>
          <w:szCs w:val="18"/>
        </w:rPr>
        <w:t>90,993.19</w:t>
      </w:r>
      <w:r w:rsidRPr="00F614F9">
        <w:rPr>
          <w:rFonts w:ascii="Times New Roman" w:hAnsi="Times New Roman" w:hint="eastAsia"/>
          <w:sz w:val="18"/>
          <w:szCs w:val="18"/>
        </w:rPr>
        <w:t>万元，占公司营业收入的</w:t>
      </w:r>
      <w:r w:rsidRPr="00F614F9">
        <w:rPr>
          <w:rFonts w:ascii="Times New Roman" w:hAnsi="Times New Roman" w:hint="eastAsia"/>
          <w:sz w:val="18"/>
          <w:szCs w:val="18"/>
        </w:rPr>
        <w:t>6.83%</w:t>
      </w:r>
      <w:r w:rsidRPr="00F614F9">
        <w:rPr>
          <w:rFonts w:ascii="Times New Roman" w:hAnsi="Times New Roman" w:hint="eastAsia"/>
          <w:sz w:val="18"/>
          <w:szCs w:val="18"/>
        </w:rPr>
        <w:t>，截至本报告期末，公司前五大经销商客户应收账款合计为</w:t>
      </w:r>
      <w:r w:rsidRPr="00F614F9">
        <w:rPr>
          <w:rFonts w:ascii="Times New Roman" w:hAnsi="Times New Roman" w:hint="eastAsia"/>
          <w:sz w:val="18"/>
          <w:szCs w:val="18"/>
        </w:rPr>
        <w:t>7339.83</w:t>
      </w:r>
      <w:r w:rsidRPr="00F614F9">
        <w:rPr>
          <w:rFonts w:ascii="Times New Roman" w:hAnsi="Times New Roman" w:hint="eastAsia"/>
          <w:sz w:val="18"/>
          <w:szCs w:val="18"/>
        </w:rPr>
        <w:t>万元。</w:t>
      </w:r>
    </w:p>
    <w:p w14:paraId="2759DB2D" w14:textId="77777777" w:rsidR="001D26E7" w:rsidRPr="00F614F9" w:rsidRDefault="00000000" w:rsidP="00C90873">
      <w:pPr>
        <w:spacing w:before="100" w:after="100" w:line="276" w:lineRule="auto"/>
        <w:rPr>
          <w:rFonts w:ascii="Times New Roman" w:eastAsia="宋体" w:hAnsi="Times New Roman" w:cs="宋体"/>
          <w:sz w:val="18"/>
          <w:szCs w:val="18"/>
        </w:rPr>
      </w:pPr>
      <w:r w:rsidRPr="00F614F9">
        <w:rPr>
          <w:rFonts w:ascii="Times New Roman" w:eastAsia="宋体" w:hAnsi="Times New Roman" w:cs="宋体"/>
          <w:sz w:val="18"/>
          <w:szCs w:val="18"/>
        </w:rPr>
        <w:t>门店销售终端占比超过</w:t>
      </w:r>
      <w:r w:rsidRPr="00F614F9">
        <w:rPr>
          <w:rFonts w:ascii="Times New Roman" w:eastAsia="宋体" w:hAnsi="Times New Roman" w:cs="宋体"/>
          <w:sz w:val="18"/>
          <w:szCs w:val="18"/>
        </w:rPr>
        <w:t>10%</w:t>
      </w:r>
    </w:p>
    <w:p w14:paraId="3D3A0B17" w14:textId="77777777" w:rsidR="001D26E7" w:rsidRPr="00F614F9" w:rsidRDefault="00000000" w:rsidP="00C90873">
      <w:pPr>
        <w:spacing w:before="100" w:after="100" w:line="276" w:lineRule="auto"/>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76C83E9B" w14:textId="77777777" w:rsidR="001D26E7" w:rsidRPr="00F614F9" w:rsidRDefault="00000000" w:rsidP="00C90873">
      <w:pPr>
        <w:spacing w:before="100" w:after="100" w:line="276" w:lineRule="auto"/>
        <w:rPr>
          <w:rFonts w:ascii="Times New Roman" w:eastAsia="宋体" w:hAnsi="Times New Roman" w:cs="宋体"/>
          <w:sz w:val="18"/>
          <w:szCs w:val="18"/>
        </w:rPr>
      </w:pPr>
      <w:r w:rsidRPr="00F614F9">
        <w:rPr>
          <w:rFonts w:ascii="Times New Roman" w:eastAsia="宋体" w:hAnsi="Times New Roman" w:cs="宋体"/>
          <w:sz w:val="18"/>
          <w:szCs w:val="18"/>
        </w:rPr>
        <w:t>线上直销销售</w:t>
      </w:r>
    </w:p>
    <w:p w14:paraId="7B16A48F" w14:textId="77777777" w:rsidR="001D26E7" w:rsidRPr="00F614F9" w:rsidRDefault="00000000" w:rsidP="00C90873">
      <w:pPr>
        <w:spacing w:before="100" w:after="100" w:line="276" w:lineRule="auto"/>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2EB403A7" w14:textId="77777777" w:rsidR="00872599" w:rsidRPr="00F614F9" w:rsidRDefault="00000000" w:rsidP="00C90873">
      <w:pPr>
        <w:pStyle w:val="a3"/>
        <w:spacing w:line="276" w:lineRule="auto"/>
        <w:ind w:firstLineChars="200" w:firstLine="360"/>
        <w:divId w:val="2098282218"/>
        <w:rPr>
          <w:rFonts w:ascii="Times New Roman" w:hAnsi="Times New Roman"/>
          <w:sz w:val="18"/>
          <w:szCs w:val="18"/>
        </w:rPr>
      </w:pPr>
      <w:r w:rsidRPr="00F614F9">
        <w:rPr>
          <w:rFonts w:ascii="Times New Roman" w:hAnsi="Times New Roman" w:hint="eastAsia"/>
          <w:sz w:val="18"/>
          <w:szCs w:val="18"/>
        </w:rPr>
        <w:t xml:space="preserve"> </w:t>
      </w:r>
      <w:r w:rsidRPr="00F614F9">
        <w:rPr>
          <w:rFonts w:ascii="Times New Roman" w:hAnsi="Times New Roman" w:hint="eastAsia"/>
          <w:sz w:val="18"/>
          <w:szCs w:val="18"/>
        </w:rPr>
        <w:t>报告期内，公司持续深耕京东、</w:t>
      </w:r>
      <w:proofErr w:type="gramStart"/>
      <w:r w:rsidRPr="00F614F9">
        <w:rPr>
          <w:rFonts w:ascii="Times New Roman" w:hAnsi="Times New Roman" w:hint="eastAsia"/>
          <w:sz w:val="18"/>
          <w:szCs w:val="18"/>
        </w:rPr>
        <w:t>抖音等</w:t>
      </w:r>
      <w:proofErr w:type="gramEnd"/>
      <w:r w:rsidRPr="00F614F9">
        <w:rPr>
          <w:rFonts w:ascii="Times New Roman" w:hAnsi="Times New Roman" w:hint="eastAsia"/>
          <w:sz w:val="18"/>
          <w:szCs w:val="18"/>
        </w:rPr>
        <w:t>优势平台业务，不断优化天猫、拼多多、</w:t>
      </w:r>
      <w:proofErr w:type="gramStart"/>
      <w:r w:rsidRPr="00F614F9">
        <w:rPr>
          <w:rFonts w:ascii="Times New Roman" w:hAnsi="Times New Roman" w:hint="eastAsia"/>
          <w:sz w:val="18"/>
          <w:szCs w:val="18"/>
        </w:rPr>
        <w:t>抖音自播</w:t>
      </w:r>
      <w:proofErr w:type="gramEnd"/>
      <w:r w:rsidRPr="00F614F9">
        <w:rPr>
          <w:rFonts w:ascii="Times New Roman" w:hAnsi="Times New Roman" w:hint="eastAsia"/>
          <w:sz w:val="18"/>
          <w:szCs w:val="18"/>
        </w:rPr>
        <w:t>等运营模式，并依托美团、拼多多头部平台，进一步扩大了京东、抖音、快手、拼多多、快驴、</w:t>
      </w:r>
      <w:proofErr w:type="gramStart"/>
      <w:r w:rsidRPr="00F614F9">
        <w:rPr>
          <w:rFonts w:ascii="Times New Roman" w:hAnsi="Times New Roman" w:hint="eastAsia"/>
          <w:sz w:val="18"/>
          <w:szCs w:val="18"/>
        </w:rPr>
        <w:t>美团等</w:t>
      </w:r>
      <w:proofErr w:type="gramEnd"/>
      <w:r w:rsidRPr="00F614F9">
        <w:rPr>
          <w:rFonts w:ascii="Times New Roman" w:hAnsi="Times New Roman" w:hint="eastAsia"/>
          <w:sz w:val="18"/>
          <w:szCs w:val="18"/>
        </w:rPr>
        <w:t>线上平台的销售规模，其中京东的销售收入居于首位，金额为</w:t>
      </w:r>
      <w:r w:rsidRPr="00F614F9">
        <w:rPr>
          <w:rFonts w:ascii="Times New Roman" w:hAnsi="Times New Roman" w:hint="eastAsia"/>
          <w:sz w:val="18"/>
          <w:szCs w:val="18"/>
        </w:rPr>
        <w:t>9,250.92</w:t>
      </w:r>
      <w:r w:rsidRPr="00F614F9">
        <w:rPr>
          <w:rFonts w:ascii="Times New Roman" w:hAnsi="Times New Roman" w:hint="eastAsia"/>
          <w:sz w:val="18"/>
          <w:szCs w:val="18"/>
        </w:rPr>
        <w:t>万元，较</w:t>
      </w:r>
      <w:r w:rsidRPr="00F614F9">
        <w:rPr>
          <w:rFonts w:ascii="Times New Roman" w:hAnsi="Times New Roman" w:hint="eastAsia"/>
          <w:sz w:val="18"/>
          <w:szCs w:val="18"/>
        </w:rPr>
        <w:t>2022</w:t>
      </w:r>
      <w:r w:rsidRPr="00F614F9">
        <w:rPr>
          <w:rFonts w:ascii="Times New Roman" w:hAnsi="Times New Roman" w:hint="eastAsia"/>
          <w:sz w:val="18"/>
          <w:szCs w:val="18"/>
        </w:rPr>
        <w:t>年增加</w:t>
      </w:r>
      <w:r w:rsidRPr="00F614F9">
        <w:rPr>
          <w:rFonts w:ascii="Times New Roman" w:hAnsi="Times New Roman" w:hint="eastAsia"/>
          <w:sz w:val="18"/>
          <w:szCs w:val="18"/>
        </w:rPr>
        <w:t>587.93</w:t>
      </w:r>
      <w:r w:rsidRPr="00F614F9">
        <w:rPr>
          <w:rFonts w:ascii="Times New Roman" w:hAnsi="Times New Roman" w:hint="eastAsia"/>
          <w:sz w:val="18"/>
          <w:szCs w:val="18"/>
        </w:rPr>
        <w:t>万元；</w:t>
      </w:r>
      <w:proofErr w:type="gramStart"/>
      <w:r w:rsidRPr="00F614F9">
        <w:rPr>
          <w:rFonts w:ascii="Times New Roman" w:hAnsi="Times New Roman" w:hint="eastAsia"/>
          <w:sz w:val="18"/>
          <w:szCs w:val="18"/>
        </w:rPr>
        <w:t>抖音的</w:t>
      </w:r>
      <w:proofErr w:type="gramEnd"/>
      <w:r w:rsidRPr="00F614F9">
        <w:rPr>
          <w:rFonts w:ascii="Times New Roman" w:hAnsi="Times New Roman" w:hint="eastAsia"/>
          <w:sz w:val="18"/>
          <w:szCs w:val="18"/>
        </w:rPr>
        <w:t>销售收入</w:t>
      </w:r>
      <w:r w:rsidRPr="00F614F9">
        <w:rPr>
          <w:rFonts w:ascii="Times New Roman" w:hAnsi="Times New Roman" w:hint="eastAsia"/>
          <w:sz w:val="18"/>
          <w:szCs w:val="18"/>
        </w:rPr>
        <w:t>2022</w:t>
      </w:r>
      <w:r w:rsidRPr="00F614F9">
        <w:rPr>
          <w:rFonts w:ascii="Times New Roman" w:hAnsi="Times New Roman" w:hint="eastAsia"/>
          <w:sz w:val="18"/>
          <w:szCs w:val="18"/>
        </w:rPr>
        <w:t>年增加</w:t>
      </w:r>
      <w:r w:rsidRPr="00F614F9">
        <w:rPr>
          <w:rFonts w:ascii="Times New Roman" w:hAnsi="Times New Roman" w:hint="eastAsia"/>
          <w:sz w:val="18"/>
          <w:szCs w:val="18"/>
        </w:rPr>
        <w:t>1,485.51</w:t>
      </w:r>
      <w:r w:rsidRPr="00F614F9">
        <w:rPr>
          <w:rFonts w:ascii="Times New Roman" w:hAnsi="Times New Roman" w:hint="eastAsia"/>
          <w:sz w:val="18"/>
          <w:szCs w:val="18"/>
        </w:rPr>
        <w:t>万元。各平台销售产品主要包括五花肉、肋排块、棒骨块、猪皮、脊骨块等生食产品以及黑猪鲜肉肠、四季鲜肉、金汤酸菜鱼、里昂火腿、白煮肥肠、龙大鲜食记鲜肉灌肠、果木烤火腿肠、慕尼黑烤香肠等熟食产品。</w:t>
      </w:r>
      <w:r w:rsidRPr="00F614F9">
        <w:rPr>
          <w:rFonts w:ascii="Times New Roman" w:hAnsi="Times New Roman" w:hint="eastAsia"/>
          <w:sz w:val="18"/>
          <w:szCs w:val="18"/>
        </w:rPr>
        <w:t> </w:t>
      </w:r>
    </w:p>
    <w:p w14:paraId="4AFCE154" w14:textId="77777777" w:rsidR="001D26E7" w:rsidRPr="00F614F9" w:rsidRDefault="00000000" w:rsidP="00C90873">
      <w:pPr>
        <w:spacing w:before="100" w:after="100" w:line="276" w:lineRule="auto"/>
        <w:rPr>
          <w:rFonts w:ascii="Times New Roman" w:eastAsia="宋体" w:hAnsi="Times New Roman" w:cs="宋体"/>
          <w:sz w:val="18"/>
          <w:szCs w:val="18"/>
        </w:rPr>
      </w:pPr>
      <w:r w:rsidRPr="00F614F9">
        <w:rPr>
          <w:rFonts w:ascii="Times New Roman" w:eastAsia="宋体" w:hAnsi="Times New Roman" w:cs="宋体"/>
          <w:sz w:val="18"/>
          <w:szCs w:val="18"/>
        </w:rPr>
        <w:t>占当期营业收入总额</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以上的主要产品销售价格较上</w:t>
      </w:r>
      <w:proofErr w:type="gramStart"/>
      <w:r w:rsidRPr="00F614F9">
        <w:rPr>
          <w:rFonts w:ascii="Times New Roman" w:eastAsia="宋体" w:hAnsi="Times New Roman" w:cs="宋体"/>
          <w:sz w:val="18"/>
          <w:szCs w:val="18"/>
        </w:rPr>
        <w:t>一报告</w:t>
      </w:r>
      <w:proofErr w:type="gramEnd"/>
      <w:r w:rsidRPr="00F614F9">
        <w:rPr>
          <w:rFonts w:ascii="Times New Roman" w:eastAsia="宋体" w:hAnsi="Times New Roman" w:cs="宋体"/>
          <w:sz w:val="18"/>
          <w:szCs w:val="18"/>
        </w:rPr>
        <w:t>期的变动幅度超过</w:t>
      </w:r>
      <w:r w:rsidRPr="00F614F9">
        <w:rPr>
          <w:rFonts w:ascii="Times New Roman" w:eastAsia="宋体" w:hAnsi="Times New Roman" w:cs="宋体"/>
          <w:sz w:val="18"/>
          <w:szCs w:val="18"/>
        </w:rPr>
        <w:t>30%</w:t>
      </w:r>
    </w:p>
    <w:p w14:paraId="625D2E2D" w14:textId="77777777" w:rsidR="001D26E7" w:rsidRPr="00F614F9" w:rsidRDefault="00000000" w:rsidP="00C90873">
      <w:pPr>
        <w:spacing w:before="100" w:after="100" w:line="276" w:lineRule="auto"/>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2BC16C4F" w14:textId="77777777" w:rsidR="001D26E7" w:rsidRPr="00F614F9" w:rsidRDefault="00000000" w:rsidP="00C90873">
      <w:pPr>
        <w:spacing w:before="100" w:after="100" w:line="276" w:lineRule="auto"/>
        <w:rPr>
          <w:rFonts w:ascii="Times New Roman" w:eastAsia="宋体" w:hAnsi="Times New Roman" w:cs="宋体"/>
          <w:sz w:val="18"/>
          <w:szCs w:val="18"/>
        </w:rPr>
      </w:pPr>
      <w:r w:rsidRPr="00F614F9">
        <w:rPr>
          <w:rFonts w:ascii="Times New Roman" w:eastAsia="宋体" w:hAnsi="Times New Roman" w:cs="宋体"/>
          <w:sz w:val="18"/>
          <w:szCs w:val="18"/>
        </w:rPr>
        <w:t>采购模式及采购内容</w:t>
      </w:r>
    </w:p>
    <w:p w14:paraId="3664E51F"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59F1A7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B6A89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采购模式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6F340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采购内容</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2CA63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主要采购内容的金额</w:t>
            </w:r>
          </w:p>
        </w:tc>
      </w:tr>
      <w:tr w:rsidR="001D26E7" w:rsidRPr="00F614F9" w14:paraId="5125193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6C0690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合同</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按需采购</w:t>
            </w:r>
          </w:p>
        </w:tc>
        <w:tc>
          <w:tcPr>
            <w:tcW w:w="3213" w:type="dxa"/>
            <w:tcBorders>
              <w:top w:val="single" w:sz="2" w:space="0" w:color="auto"/>
              <w:left w:val="single" w:sz="2" w:space="0" w:color="auto"/>
              <w:bottom w:val="single" w:sz="2" w:space="0" w:color="auto"/>
              <w:right w:val="single" w:sz="2" w:space="0" w:color="auto"/>
            </w:tcBorders>
            <w:vAlign w:val="center"/>
          </w:tcPr>
          <w:p w14:paraId="3E89F26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原材料</w:t>
            </w:r>
          </w:p>
        </w:tc>
        <w:tc>
          <w:tcPr>
            <w:tcW w:w="3213" w:type="dxa"/>
            <w:tcBorders>
              <w:top w:val="single" w:sz="2" w:space="0" w:color="auto"/>
              <w:left w:val="single" w:sz="2" w:space="0" w:color="auto"/>
              <w:bottom w:val="single" w:sz="2" w:space="0" w:color="auto"/>
              <w:right w:val="single" w:sz="2" w:space="0" w:color="auto"/>
            </w:tcBorders>
            <w:vAlign w:val="center"/>
          </w:tcPr>
          <w:p w14:paraId="4D264B5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11,217,637,250.45</w:t>
            </w:r>
          </w:p>
        </w:tc>
      </w:tr>
      <w:tr w:rsidR="001D26E7" w:rsidRPr="00F614F9" w14:paraId="5879D16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745B0F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合同</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按需采购</w:t>
            </w:r>
          </w:p>
        </w:tc>
        <w:tc>
          <w:tcPr>
            <w:tcW w:w="3213" w:type="dxa"/>
            <w:tcBorders>
              <w:top w:val="single" w:sz="2" w:space="0" w:color="auto"/>
              <w:left w:val="single" w:sz="2" w:space="0" w:color="auto"/>
              <w:bottom w:val="single" w:sz="2" w:space="0" w:color="auto"/>
              <w:right w:val="single" w:sz="2" w:space="0" w:color="auto"/>
            </w:tcBorders>
            <w:vAlign w:val="center"/>
          </w:tcPr>
          <w:p w14:paraId="67A3E1D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燃料和动力</w:t>
            </w:r>
          </w:p>
        </w:tc>
        <w:tc>
          <w:tcPr>
            <w:tcW w:w="3213" w:type="dxa"/>
            <w:tcBorders>
              <w:top w:val="single" w:sz="2" w:space="0" w:color="auto"/>
              <w:left w:val="single" w:sz="2" w:space="0" w:color="auto"/>
              <w:bottom w:val="single" w:sz="2" w:space="0" w:color="auto"/>
              <w:right w:val="single" w:sz="2" w:space="0" w:color="auto"/>
            </w:tcBorders>
            <w:vAlign w:val="center"/>
          </w:tcPr>
          <w:p w14:paraId="151B6EE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109,121,395.62</w:t>
            </w:r>
          </w:p>
        </w:tc>
      </w:tr>
    </w:tbl>
    <w:p w14:paraId="54626B0D" w14:textId="77777777" w:rsidR="001D26E7" w:rsidRPr="00F614F9" w:rsidRDefault="00000000" w:rsidP="00C90873">
      <w:pPr>
        <w:spacing w:line="276" w:lineRule="auto"/>
        <w:rPr>
          <w:rFonts w:ascii="Times New Roman" w:eastAsia="宋体" w:hAnsi="Times New Roman" w:cs="Times New Roman"/>
          <w:sz w:val="18"/>
          <w:szCs w:val="18"/>
        </w:rPr>
      </w:pPr>
      <w:r w:rsidRPr="00F614F9">
        <w:rPr>
          <w:rFonts w:ascii="Times New Roman" w:eastAsia="宋体" w:hAnsi="Times New Roman" w:cs="Times New Roman"/>
          <w:sz w:val="18"/>
          <w:szCs w:val="18"/>
        </w:rPr>
        <w:t>向合作社或农户采购原材料占</w:t>
      </w:r>
      <w:proofErr w:type="gramStart"/>
      <w:r w:rsidRPr="00F614F9">
        <w:rPr>
          <w:rFonts w:ascii="Times New Roman" w:eastAsia="宋体" w:hAnsi="Times New Roman" w:cs="Times New Roman"/>
          <w:sz w:val="18"/>
          <w:szCs w:val="18"/>
        </w:rPr>
        <w:t>采购总</w:t>
      </w:r>
      <w:proofErr w:type="gramEnd"/>
      <w:r w:rsidRPr="00F614F9">
        <w:rPr>
          <w:rFonts w:ascii="Times New Roman" w:eastAsia="宋体" w:hAnsi="Times New Roman" w:cs="Times New Roman"/>
          <w:sz w:val="18"/>
          <w:szCs w:val="18"/>
        </w:rPr>
        <w:t>金额比例超过</w:t>
      </w:r>
      <w:r w:rsidRPr="00F614F9">
        <w:rPr>
          <w:rFonts w:ascii="Times New Roman" w:eastAsia="宋体" w:hAnsi="Times New Roman" w:cs="Times New Roman"/>
          <w:sz w:val="18"/>
          <w:szCs w:val="18"/>
        </w:rPr>
        <w:t>30%</w:t>
      </w:r>
    </w:p>
    <w:p w14:paraId="5EB1B261" w14:textId="77777777" w:rsidR="001D26E7" w:rsidRPr="00F614F9" w:rsidRDefault="00000000" w:rsidP="00C90873">
      <w:pPr>
        <w:spacing w:line="276" w:lineRule="auto"/>
        <w:rPr>
          <w:rFonts w:ascii="Times New Roman" w:eastAsia="宋体" w:hAnsi="Times New Roman" w:cs="Times New Roman"/>
          <w:sz w:val="18"/>
          <w:szCs w:val="18"/>
        </w:rPr>
      </w:pPr>
      <w:r w:rsidRPr="000E5E5F">
        <w:rPr>
          <w:rFonts w:ascii="Times New Roman" w:eastAsia="宋体" w:hAnsi="Times New Roman" w:cs="Times New Roman"/>
          <w:sz w:val="18"/>
          <w:szCs w:val="18"/>
        </w:rPr>
        <w:t>□</w:t>
      </w:r>
      <w:r w:rsidRPr="00F614F9">
        <w:rPr>
          <w:rFonts w:ascii="Times New Roman" w:eastAsia="宋体" w:hAnsi="Times New Roman" w:cs="Times New Roman"/>
          <w:sz w:val="18"/>
          <w:szCs w:val="18"/>
        </w:rPr>
        <w:t>适用</w:t>
      </w:r>
      <w:r w:rsidRPr="00F614F9">
        <w:rPr>
          <w:rFonts w:ascii="Times New Roman" w:eastAsia="宋体" w:hAnsi="Times New Roman" w:cs="Times New Roman"/>
          <w:sz w:val="18"/>
          <w:szCs w:val="18"/>
        </w:rPr>
        <w:t xml:space="preserve"> </w:t>
      </w:r>
      <w:r w:rsidRPr="00F614F9">
        <w:rPr>
          <w:rFonts w:ascii="Times New Roman" w:eastAsia="宋体" w:hAnsi="Times New Roman" w:cs="Times New Roman"/>
          <w:sz w:val="18"/>
          <w:szCs w:val="18"/>
        </w:rPr>
        <w:sym w:font="Wingdings 2" w:char="F052"/>
      </w:r>
      <w:r w:rsidRPr="00F614F9">
        <w:rPr>
          <w:rFonts w:ascii="Times New Roman" w:eastAsia="宋体" w:hAnsi="Times New Roman" w:cs="Times New Roman"/>
          <w:sz w:val="18"/>
          <w:szCs w:val="18"/>
        </w:rPr>
        <w:t>不适用</w:t>
      </w:r>
    </w:p>
    <w:p w14:paraId="62151937" w14:textId="77777777" w:rsidR="001D26E7" w:rsidRPr="00F614F9" w:rsidRDefault="00000000" w:rsidP="00C90873">
      <w:pPr>
        <w:spacing w:line="276" w:lineRule="auto"/>
        <w:rPr>
          <w:rFonts w:ascii="Times New Roman" w:eastAsia="宋体" w:hAnsi="Times New Roman" w:cs="Times New Roman"/>
          <w:sz w:val="18"/>
          <w:szCs w:val="18"/>
        </w:rPr>
      </w:pPr>
      <w:r w:rsidRPr="00F614F9">
        <w:rPr>
          <w:rFonts w:ascii="Times New Roman" w:eastAsia="宋体" w:hAnsi="Times New Roman" w:cs="Times New Roman"/>
          <w:sz w:val="18"/>
          <w:szCs w:val="18"/>
        </w:rPr>
        <w:t>主要外购原材料价格同比变动超过</w:t>
      </w:r>
      <w:r w:rsidRPr="00F614F9">
        <w:rPr>
          <w:rFonts w:ascii="Times New Roman" w:eastAsia="宋体" w:hAnsi="Times New Roman" w:cs="Times New Roman"/>
          <w:sz w:val="18"/>
          <w:szCs w:val="18"/>
        </w:rPr>
        <w:t>30%</w:t>
      </w:r>
    </w:p>
    <w:p w14:paraId="5E7534FC" w14:textId="77777777" w:rsidR="001D26E7" w:rsidRPr="00F614F9" w:rsidRDefault="00000000" w:rsidP="00C90873">
      <w:pPr>
        <w:spacing w:line="276" w:lineRule="auto"/>
        <w:rPr>
          <w:rFonts w:ascii="Times New Roman" w:eastAsia="宋体" w:hAnsi="Times New Roman" w:cs="Times New Roman"/>
          <w:sz w:val="18"/>
          <w:szCs w:val="18"/>
        </w:rPr>
      </w:pPr>
      <w:r w:rsidRPr="000E5E5F">
        <w:rPr>
          <w:rFonts w:ascii="Times New Roman" w:eastAsia="宋体" w:hAnsi="Times New Roman" w:cs="Times New Roman"/>
          <w:sz w:val="18"/>
          <w:szCs w:val="18"/>
        </w:rPr>
        <w:t>□</w:t>
      </w:r>
      <w:r w:rsidRPr="00F614F9">
        <w:rPr>
          <w:rFonts w:ascii="Times New Roman" w:eastAsia="宋体" w:hAnsi="Times New Roman" w:cs="Times New Roman"/>
          <w:sz w:val="18"/>
          <w:szCs w:val="18"/>
        </w:rPr>
        <w:t>适用</w:t>
      </w:r>
      <w:r w:rsidRPr="00F614F9">
        <w:rPr>
          <w:rFonts w:ascii="Times New Roman" w:eastAsia="宋体" w:hAnsi="Times New Roman" w:cs="Times New Roman"/>
          <w:sz w:val="18"/>
          <w:szCs w:val="18"/>
        </w:rPr>
        <w:t xml:space="preserve"> </w:t>
      </w:r>
      <w:r w:rsidRPr="00F614F9">
        <w:rPr>
          <w:rFonts w:ascii="Times New Roman" w:eastAsia="宋体" w:hAnsi="Times New Roman" w:cs="Times New Roman"/>
          <w:sz w:val="18"/>
          <w:szCs w:val="18"/>
        </w:rPr>
        <w:sym w:font="Wingdings 2" w:char="F052"/>
      </w:r>
      <w:r w:rsidRPr="00F614F9">
        <w:rPr>
          <w:rFonts w:ascii="Times New Roman" w:eastAsia="宋体" w:hAnsi="Times New Roman" w:cs="Times New Roman"/>
          <w:sz w:val="18"/>
          <w:szCs w:val="18"/>
        </w:rPr>
        <w:t>不适用</w:t>
      </w:r>
    </w:p>
    <w:p w14:paraId="517E97DD" w14:textId="77777777" w:rsidR="001D26E7" w:rsidRPr="00F614F9" w:rsidRDefault="00000000" w:rsidP="00C90873">
      <w:pPr>
        <w:spacing w:line="276" w:lineRule="auto"/>
        <w:rPr>
          <w:rFonts w:ascii="Times New Roman" w:eastAsia="宋体" w:hAnsi="Times New Roman" w:cs="Times New Roman"/>
          <w:sz w:val="18"/>
          <w:szCs w:val="18"/>
        </w:rPr>
      </w:pPr>
      <w:r w:rsidRPr="00F614F9">
        <w:rPr>
          <w:rFonts w:ascii="Times New Roman" w:eastAsia="宋体" w:hAnsi="Times New Roman" w:cs="Times New Roman"/>
          <w:sz w:val="18"/>
          <w:szCs w:val="18"/>
        </w:rPr>
        <w:t>主要生产模式</w:t>
      </w:r>
    </w:p>
    <w:p w14:paraId="0094DDD8" w14:textId="77777777" w:rsidR="00872599" w:rsidRPr="00F614F9" w:rsidRDefault="00000000" w:rsidP="00C90873">
      <w:pPr>
        <w:pStyle w:val="a3"/>
        <w:spacing w:before="0" w:beforeAutospacing="0" w:after="0" w:afterAutospacing="0" w:line="276" w:lineRule="auto"/>
        <w:ind w:firstLine="360"/>
        <w:divId w:val="701593815"/>
        <w:rPr>
          <w:rFonts w:ascii="Times New Roman" w:hAnsi="Times New Roman"/>
        </w:rPr>
      </w:pPr>
      <w:r w:rsidRPr="00F614F9">
        <w:rPr>
          <w:rFonts w:ascii="Times New Roman" w:hAnsi="Times New Roman" w:hint="eastAsia"/>
          <w:sz w:val="18"/>
          <w:szCs w:val="18"/>
        </w:rPr>
        <w:t>公司实行</w:t>
      </w:r>
      <w:r w:rsidRPr="00F614F9">
        <w:rPr>
          <w:rFonts w:ascii="Times New Roman" w:hAnsi="Times New Roman" w:cs="Times New Roman"/>
          <w:sz w:val="18"/>
          <w:szCs w:val="18"/>
        </w:rPr>
        <w:t>“</w:t>
      </w:r>
      <w:r w:rsidRPr="00F614F9">
        <w:rPr>
          <w:rFonts w:ascii="Times New Roman" w:hAnsi="Times New Roman" w:hint="eastAsia"/>
          <w:sz w:val="18"/>
          <w:szCs w:val="18"/>
        </w:rPr>
        <w:t>以销定产</w:t>
      </w:r>
      <w:r w:rsidRPr="00F614F9">
        <w:rPr>
          <w:rFonts w:ascii="Times New Roman" w:hAnsi="Times New Roman" w:cs="Times New Roman"/>
          <w:sz w:val="18"/>
          <w:szCs w:val="18"/>
        </w:rPr>
        <w:t>”</w:t>
      </w:r>
      <w:r w:rsidRPr="00F614F9">
        <w:rPr>
          <w:rFonts w:ascii="Times New Roman" w:hAnsi="Times New Roman" w:hint="eastAsia"/>
          <w:sz w:val="18"/>
          <w:szCs w:val="18"/>
        </w:rPr>
        <w:t>经营模式，主要涉及预制食品、肉制品和鲜冻肉生产等板块，并根据市场订单、产品库存及市场预测情况等合理制定生产计划。公司主要产品以自产为主，由公司采购原辅料、包材等，在自有厂区生产加工。在实际生产过程中，基于对市场的把控和客户的实际需求进行订单预测，由销售部门提报产品需求，通过系统计算用料需求，导出理论采购量，同时分析原辅料库存、各车间领用及请购情况，下达原辅物料采购计划给采购部，下达生产计划给生产部。</w:t>
      </w:r>
    </w:p>
    <w:p w14:paraId="6A0F51CD" w14:textId="77777777" w:rsidR="001D26E7" w:rsidRPr="00F614F9" w:rsidRDefault="00000000" w:rsidP="00C90873">
      <w:pPr>
        <w:spacing w:line="276" w:lineRule="auto"/>
        <w:rPr>
          <w:rFonts w:ascii="Times New Roman" w:eastAsia="宋体" w:hAnsi="Times New Roman" w:cs="Times New Roman"/>
          <w:sz w:val="18"/>
          <w:szCs w:val="18"/>
        </w:rPr>
      </w:pPr>
      <w:r w:rsidRPr="00F614F9">
        <w:rPr>
          <w:rFonts w:ascii="Times New Roman" w:eastAsia="宋体" w:hAnsi="Times New Roman" w:cs="Times New Roman"/>
          <w:sz w:val="18"/>
          <w:szCs w:val="18"/>
        </w:rPr>
        <w:t>委托加工生产</w:t>
      </w:r>
    </w:p>
    <w:p w14:paraId="68C2175D" w14:textId="77777777" w:rsidR="001D26E7" w:rsidRPr="00F614F9" w:rsidRDefault="00000000" w:rsidP="00C90873">
      <w:pPr>
        <w:spacing w:line="276" w:lineRule="auto"/>
        <w:rPr>
          <w:rFonts w:ascii="Times New Roman" w:eastAsia="宋体" w:hAnsi="Times New Roman" w:cs="Times New Roman"/>
          <w:sz w:val="18"/>
          <w:szCs w:val="18"/>
        </w:rPr>
      </w:pPr>
      <w:r w:rsidRPr="000E5E5F">
        <w:rPr>
          <w:rFonts w:ascii="Times New Roman" w:eastAsia="宋体" w:hAnsi="Times New Roman" w:cs="Times New Roman"/>
          <w:sz w:val="18"/>
          <w:szCs w:val="18"/>
        </w:rPr>
        <w:lastRenderedPageBreak/>
        <w:t>□</w:t>
      </w:r>
      <w:r w:rsidRPr="00F614F9">
        <w:rPr>
          <w:rFonts w:ascii="Times New Roman" w:eastAsia="宋体" w:hAnsi="Times New Roman" w:cs="Times New Roman"/>
          <w:sz w:val="18"/>
          <w:szCs w:val="18"/>
        </w:rPr>
        <w:t>适用</w:t>
      </w:r>
      <w:r w:rsidRPr="00F614F9">
        <w:rPr>
          <w:rFonts w:ascii="Times New Roman" w:eastAsia="宋体" w:hAnsi="Times New Roman" w:cs="Times New Roman"/>
          <w:sz w:val="18"/>
          <w:szCs w:val="18"/>
        </w:rPr>
        <w:t xml:space="preserve"> </w:t>
      </w:r>
      <w:r w:rsidRPr="00F614F9">
        <w:rPr>
          <w:rFonts w:ascii="Times New Roman" w:eastAsia="宋体" w:hAnsi="Times New Roman" w:cs="Times New Roman"/>
          <w:sz w:val="18"/>
          <w:szCs w:val="18"/>
        </w:rPr>
        <w:sym w:font="Wingdings 2" w:char="F052"/>
      </w:r>
      <w:r w:rsidRPr="00F614F9">
        <w:rPr>
          <w:rFonts w:ascii="Times New Roman" w:eastAsia="宋体" w:hAnsi="Times New Roman" w:cs="Times New Roman"/>
          <w:sz w:val="18"/>
          <w:szCs w:val="18"/>
        </w:rPr>
        <w:t>不适用</w:t>
      </w:r>
    </w:p>
    <w:p w14:paraId="790733AE" w14:textId="77777777" w:rsidR="001D26E7" w:rsidRPr="00F614F9" w:rsidRDefault="00000000" w:rsidP="00C90873">
      <w:pPr>
        <w:spacing w:line="276" w:lineRule="auto"/>
        <w:rPr>
          <w:rFonts w:ascii="Times New Roman" w:eastAsia="宋体" w:hAnsi="Times New Roman" w:cs="Times New Roman"/>
          <w:sz w:val="18"/>
          <w:szCs w:val="18"/>
        </w:rPr>
      </w:pPr>
      <w:r w:rsidRPr="00F614F9">
        <w:rPr>
          <w:rFonts w:ascii="Times New Roman" w:eastAsia="宋体" w:hAnsi="Times New Roman" w:cs="Times New Roman"/>
          <w:sz w:val="18"/>
          <w:szCs w:val="18"/>
        </w:rPr>
        <w:t>营业成本的主要构成项目</w:t>
      </w:r>
    </w:p>
    <w:p w14:paraId="2456A5CE" w14:textId="77777777" w:rsidR="00872599" w:rsidRPr="00F614F9" w:rsidRDefault="00000000" w:rsidP="00C90873">
      <w:pPr>
        <w:spacing w:line="276" w:lineRule="auto"/>
        <w:rPr>
          <w:rFonts w:ascii="Times New Roman" w:eastAsia="宋体" w:hAnsi="Times New Roman" w:cs="Times New Roman"/>
          <w:sz w:val="18"/>
          <w:szCs w:val="18"/>
        </w:rPr>
      </w:pPr>
      <w:r w:rsidRPr="00F614F9">
        <w:rPr>
          <w:rFonts w:ascii="Times New Roman" w:eastAsia="宋体" w:hAnsi="Times New Roman" w:cs="Times New Roman"/>
          <w:sz w:val="18"/>
          <w:szCs w:val="18"/>
        </w:rPr>
        <w:t>参见本节</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四、主营业务分析</w:t>
      </w:r>
      <w:r w:rsidRPr="00F614F9">
        <w:rPr>
          <w:rFonts w:ascii="Times New Roman" w:eastAsia="宋体" w:hAnsi="Times New Roman" w:cs="Times New Roman"/>
          <w:sz w:val="18"/>
          <w:szCs w:val="18"/>
        </w:rPr>
        <w:t>——2</w:t>
      </w:r>
      <w:r w:rsidRPr="00F614F9">
        <w:rPr>
          <w:rFonts w:ascii="Times New Roman" w:eastAsia="宋体" w:hAnsi="Times New Roman" w:cs="Times New Roman"/>
          <w:sz w:val="18"/>
          <w:szCs w:val="18"/>
        </w:rPr>
        <w:t>、收入与成本</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5</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相关内容。</w:t>
      </w:r>
    </w:p>
    <w:p w14:paraId="2B239299" w14:textId="77777777" w:rsidR="001D26E7" w:rsidRPr="00F614F9" w:rsidRDefault="00000000" w:rsidP="00C90873">
      <w:pPr>
        <w:spacing w:line="276" w:lineRule="auto"/>
        <w:rPr>
          <w:rFonts w:ascii="Times New Roman" w:eastAsia="宋体" w:hAnsi="Times New Roman" w:cs="Times New Roman"/>
          <w:sz w:val="18"/>
          <w:szCs w:val="18"/>
        </w:rPr>
      </w:pPr>
      <w:r w:rsidRPr="00F614F9">
        <w:rPr>
          <w:rFonts w:ascii="Times New Roman" w:eastAsia="宋体" w:hAnsi="Times New Roman" w:cs="Times New Roman"/>
          <w:sz w:val="18"/>
          <w:szCs w:val="18"/>
        </w:rPr>
        <w:t>产量与库存量</w:t>
      </w:r>
    </w:p>
    <w:p w14:paraId="0EBBCB5B" w14:textId="77777777" w:rsidR="00872599" w:rsidRPr="00F614F9" w:rsidRDefault="00000000" w:rsidP="00C90873">
      <w:pPr>
        <w:spacing w:line="276" w:lineRule="auto"/>
        <w:rPr>
          <w:rFonts w:ascii="Times New Roman" w:eastAsia="宋体" w:hAnsi="Times New Roman" w:cs="Times New Roman"/>
          <w:sz w:val="18"/>
          <w:szCs w:val="18"/>
        </w:rPr>
      </w:pPr>
      <w:r w:rsidRPr="00F614F9">
        <w:rPr>
          <w:rFonts w:ascii="Times New Roman" w:eastAsia="宋体" w:hAnsi="Times New Roman" w:cs="Times New Roman"/>
          <w:sz w:val="18"/>
          <w:szCs w:val="18"/>
        </w:rPr>
        <w:t>见本节</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四、主营业务分析</w:t>
      </w:r>
      <w:r w:rsidRPr="00F614F9">
        <w:rPr>
          <w:rFonts w:ascii="Times New Roman" w:eastAsia="宋体" w:hAnsi="Times New Roman" w:cs="Times New Roman"/>
          <w:sz w:val="18"/>
          <w:szCs w:val="18"/>
        </w:rPr>
        <w:t>——2</w:t>
      </w:r>
      <w:r w:rsidRPr="00F614F9">
        <w:rPr>
          <w:rFonts w:ascii="Times New Roman" w:eastAsia="宋体" w:hAnsi="Times New Roman" w:cs="Times New Roman"/>
          <w:sz w:val="18"/>
          <w:szCs w:val="18"/>
        </w:rPr>
        <w:t>、收入与成本</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3</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相关内容。</w:t>
      </w:r>
    </w:p>
    <w:p w14:paraId="55751861"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27" w:name="_Toc988905"/>
      <w:bookmarkStart w:id="28" w:name="_Toc164024757"/>
      <w:r w:rsidRPr="00F614F9">
        <w:rPr>
          <w:rFonts w:ascii="Times New Roman" w:eastAsia="宋体" w:hAnsi="Times New Roman" w:cs="宋体"/>
          <w:b/>
          <w:bCs/>
          <w:sz w:val="24"/>
          <w:szCs w:val="24"/>
        </w:rPr>
        <w:t>三、核心竞争力分析</w:t>
      </w:r>
      <w:bookmarkEnd w:id="27"/>
      <w:bookmarkEnd w:id="28"/>
    </w:p>
    <w:p w14:paraId="08353588" w14:textId="77777777" w:rsidR="00872599" w:rsidRPr="00F614F9" w:rsidRDefault="00000000" w:rsidP="00C90873">
      <w:pPr>
        <w:pStyle w:val="a3"/>
        <w:spacing w:before="0" w:beforeAutospacing="0" w:after="0" w:afterAutospacing="0" w:line="276" w:lineRule="auto"/>
        <w:ind w:firstLine="360"/>
        <w:jc w:val="both"/>
        <w:divId w:val="263802117"/>
        <w:rPr>
          <w:rFonts w:ascii="Times New Roman" w:hAnsi="Times New Roman" w:cs="Times New Roman"/>
        </w:rPr>
      </w:pPr>
      <w:r w:rsidRPr="00F614F9">
        <w:rPr>
          <w:rFonts w:ascii="Times New Roman" w:hAnsi="Times New Roman" w:cs="Times New Roman" w:hint="eastAsia"/>
          <w:sz w:val="18"/>
          <w:szCs w:val="18"/>
        </w:rPr>
        <w:t>公司坚持以食品为主体，以屠宰和养殖为两翼支撑的“一体两翼”总体发展战略，凭借</w:t>
      </w:r>
      <w:r w:rsidRPr="00F614F9">
        <w:rPr>
          <w:rFonts w:ascii="Times New Roman" w:hAnsi="Times New Roman" w:cs="Times New Roman" w:hint="eastAsia"/>
          <w:sz w:val="18"/>
          <w:szCs w:val="18"/>
        </w:rPr>
        <w:t>20</w:t>
      </w:r>
      <w:r w:rsidRPr="00F614F9">
        <w:rPr>
          <w:rFonts w:ascii="Times New Roman" w:hAnsi="Times New Roman" w:cs="Times New Roman" w:hint="eastAsia"/>
          <w:sz w:val="18"/>
          <w:szCs w:val="18"/>
        </w:rPr>
        <w:t>多年从事食品行业的专业优势积累，形成了差异化的核心竞争力。公司食品业务瞄准万亿预制菜肴市场，养殖和屠宰业务的深厚经验为食品业务发展提供良好的支撑。如今，公司已经拥有全流程的研发生产能力，通过精细化加工工艺，形成众多用于不同渠道、不同市场的产品形态，满足不同客户的需求。主要竞争优势如下：</w:t>
      </w:r>
    </w:p>
    <w:p w14:paraId="7C535248" w14:textId="77777777" w:rsidR="00872599" w:rsidRPr="00F614F9" w:rsidRDefault="00000000" w:rsidP="00C90873">
      <w:pPr>
        <w:pStyle w:val="a3"/>
        <w:spacing w:before="0" w:beforeAutospacing="0" w:after="0" w:afterAutospacing="0" w:line="276" w:lineRule="auto"/>
        <w:ind w:firstLine="360"/>
        <w:jc w:val="both"/>
        <w:divId w:val="263802117"/>
        <w:rPr>
          <w:rFonts w:ascii="Times New Roman" w:hAnsi="Times New Roman" w:cs="Times New Roman"/>
        </w:rPr>
      </w:pPr>
      <w:r w:rsidRPr="00F614F9">
        <w:rPr>
          <w:rFonts w:ascii="Times New Roman" w:hAnsi="Times New Roman" w:cs="Times New Roman" w:hint="eastAsia"/>
          <w:sz w:val="18"/>
          <w:szCs w:val="18"/>
        </w:rPr>
        <w:t>（一）品控优势</w:t>
      </w:r>
    </w:p>
    <w:p w14:paraId="238896FC" w14:textId="77777777" w:rsidR="00872599" w:rsidRPr="00F614F9" w:rsidRDefault="00000000" w:rsidP="00C90873">
      <w:pPr>
        <w:pStyle w:val="a3"/>
        <w:spacing w:before="0" w:beforeAutospacing="0" w:after="0" w:afterAutospacing="0" w:line="276" w:lineRule="auto"/>
        <w:ind w:firstLine="360"/>
        <w:jc w:val="both"/>
        <w:divId w:val="263802117"/>
        <w:rPr>
          <w:rFonts w:ascii="Times New Roman" w:hAnsi="Times New Roman" w:cs="Times New Roman"/>
        </w:rPr>
      </w:pPr>
      <w:r w:rsidRPr="00F614F9">
        <w:rPr>
          <w:rFonts w:ascii="Times New Roman" w:hAnsi="Times New Roman" w:cs="Times New Roman" w:hint="eastAsia"/>
          <w:sz w:val="18"/>
          <w:szCs w:val="18"/>
        </w:rPr>
        <w:t>公司拥有二十多年对日出口的品质保障，严苛的出口品质管控体系锻造了龙大美食品质管理能力。同时，公司建立了质量与安全预警机制，从源头输入、加工过程、市场流通、市场抽检、行业动态全方位进行预警，防患于未然。并且，在多年的生产过程中，公司通过从原料采购、质量检测到冷链存储、即时零售的食品生产安全</w:t>
      </w:r>
      <w:r w:rsidRPr="00F614F9">
        <w:rPr>
          <w:rFonts w:ascii="Times New Roman" w:hAnsi="Times New Roman" w:cs="Times New Roman" w:hint="eastAsia"/>
          <w:sz w:val="18"/>
          <w:szCs w:val="18"/>
        </w:rPr>
        <w:t>12</w:t>
      </w:r>
      <w:r w:rsidRPr="00F614F9">
        <w:rPr>
          <w:rFonts w:ascii="Times New Roman" w:hAnsi="Times New Roman" w:cs="Times New Roman" w:hint="eastAsia"/>
          <w:sz w:val="18"/>
          <w:szCs w:val="18"/>
        </w:rPr>
        <w:t>道工序，严守食品安全线，打造了以源头控制、质量体系、产品检测为核心的食品安全保证体系。做到批批都检验，全程可追溯，实现对原料、生产、产品的全过程把控。同时，公司品控部门拥有品质问题的一票否决权，严把出厂关。此外，全资子公司杰科检测，是专业从事食品安全检测的国家级检测机构，负责公司原料、半成品、成品和辅料等全方位检测。杰科检测目前可开展</w:t>
      </w:r>
      <w:r w:rsidRPr="00F614F9">
        <w:rPr>
          <w:rFonts w:ascii="Times New Roman" w:hAnsi="Times New Roman" w:cs="Times New Roman" w:hint="eastAsia"/>
          <w:sz w:val="18"/>
          <w:szCs w:val="18"/>
        </w:rPr>
        <w:t>8</w:t>
      </w:r>
      <w:r w:rsidRPr="00F614F9">
        <w:rPr>
          <w:rFonts w:ascii="Times New Roman" w:hAnsi="Times New Roman" w:cs="Times New Roman" w:hint="eastAsia"/>
          <w:sz w:val="18"/>
          <w:szCs w:val="18"/>
        </w:rPr>
        <w:t>个大类</w:t>
      </w:r>
      <w:r w:rsidRPr="00F614F9">
        <w:rPr>
          <w:rFonts w:ascii="Times New Roman" w:hAnsi="Times New Roman" w:cs="Times New Roman" w:hint="eastAsia"/>
          <w:sz w:val="18"/>
          <w:szCs w:val="18"/>
        </w:rPr>
        <w:t>1,111</w:t>
      </w:r>
      <w:r w:rsidRPr="00F614F9">
        <w:rPr>
          <w:rFonts w:ascii="Times New Roman" w:hAnsi="Times New Roman" w:cs="Times New Roman" w:hint="eastAsia"/>
          <w:sz w:val="18"/>
          <w:szCs w:val="18"/>
        </w:rPr>
        <w:t>项指标检测，在《色谱》《食品科学》等权威期刊发表论文</w:t>
      </w:r>
      <w:r w:rsidRPr="00F614F9">
        <w:rPr>
          <w:rFonts w:ascii="Times New Roman" w:hAnsi="Times New Roman" w:cs="Times New Roman" w:hint="eastAsia"/>
          <w:sz w:val="18"/>
          <w:szCs w:val="18"/>
        </w:rPr>
        <w:t>30</w:t>
      </w:r>
      <w:r w:rsidRPr="00F614F9">
        <w:rPr>
          <w:rFonts w:ascii="Times New Roman" w:hAnsi="Times New Roman" w:cs="Times New Roman" w:hint="eastAsia"/>
          <w:sz w:val="18"/>
          <w:szCs w:val="18"/>
        </w:rPr>
        <w:t>余篇，参与了</w:t>
      </w:r>
      <w:r w:rsidRPr="00F614F9">
        <w:rPr>
          <w:rFonts w:ascii="Times New Roman" w:hAnsi="Times New Roman" w:cs="Times New Roman" w:hint="eastAsia"/>
          <w:sz w:val="18"/>
          <w:szCs w:val="18"/>
        </w:rPr>
        <w:t>6</w:t>
      </w:r>
      <w:r w:rsidRPr="00F614F9">
        <w:rPr>
          <w:rFonts w:ascii="Times New Roman" w:hAnsi="Times New Roman" w:cs="Times New Roman" w:hint="eastAsia"/>
          <w:sz w:val="18"/>
          <w:szCs w:val="18"/>
        </w:rPr>
        <w:t>个标准的制修订。杰科检测依据国家标准、行业标准、进口国标准，为内贸和外贸企业提供专业化检测服务，年检测样品</w:t>
      </w:r>
      <w:r w:rsidRPr="00F614F9">
        <w:rPr>
          <w:rFonts w:ascii="Times New Roman" w:hAnsi="Times New Roman" w:cs="Times New Roman" w:hint="eastAsia"/>
          <w:sz w:val="18"/>
          <w:szCs w:val="18"/>
        </w:rPr>
        <w:t>4</w:t>
      </w:r>
      <w:r w:rsidRPr="00F614F9">
        <w:rPr>
          <w:rFonts w:ascii="Times New Roman" w:hAnsi="Times New Roman" w:cs="Times New Roman" w:hint="eastAsia"/>
          <w:sz w:val="18"/>
          <w:szCs w:val="18"/>
        </w:rPr>
        <w:t>万余个，进一步为公司食品安全提供了保障。</w:t>
      </w:r>
    </w:p>
    <w:p w14:paraId="4A14FAB8" w14:textId="77777777" w:rsidR="00872599" w:rsidRPr="00F614F9" w:rsidRDefault="00000000" w:rsidP="00C90873">
      <w:pPr>
        <w:pStyle w:val="a3"/>
        <w:spacing w:before="0" w:beforeAutospacing="0" w:after="0" w:afterAutospacing="0" w:line="276" w:lineRule="auto"/>
        <w:ind w:firstLine="360"/>
        <w:jc w:val="both"/>
        <w:divId w:val="263802117"/>
        <w:rPr>
          <w:rFonts w:ascii="Times New Roman" w:hAnsi="Times New Roman" w:cs="Times New Roman"/>
        </w:rPr>
      </w:pPr>
      <w:r w:rsidRPr="00F614F9">
        <w:rPr>
          <w:rFonts w:ascii="Times New Roman" w:hAnsi="Times New Roman" w:cs="Times New Roman" w:hint="eastAsia"/>
          <w:sz w:val="18"/>
          <w:szCs w:val="18"/>
        </w:rPr>
        <w:t>（二）研发优势</w:t>
      </w:r>
    </w:p>
    <w:p w14:paraId="21E32F06" w14:textId="77777777" w:rsidR="00872599" w:rsidRPr="00F614F9" w:rsidRDefault="00000000" w:rsidP="00C90873">
      <w:pPr>
        <w:pStyle w:val="a3"/>
        <w:spacing w:before="0" w:beforeAutospacing="0" w:after="0" w:afterAutospacing="0" w:line="276" w:lineRule="auto"/>
        <w:ind w:firstLine="360"/>
        <w:jc w:val="both"/>
        <w:divId w:val="263802117"/>
        <w:rPr>
          <w:rFonts w:ascii="Times New Roman" w:hAnsi="Times New Roman" w:cs="Times New Roman"/>
        </w:rPr>
      </w:pPr>
      <w:r w:rsidRPr="00F614F9">
        <w:rPr>
          <w:rFonts w:ascii="Times New Roman" w:hAnsi="Times New Roman" w:cs="Times New Roman" w:hint="eastAsia"/>
          <w:sz w:val="18"/>
          <w:szCs w:val="18"/>
        </w:rPr>
        <w:t>公司立足山东、上海、四川三大国内领先的食品研发中心，形成“三位一体”的研发格局，便于快速掌握当地客户的需求和市场变化趋势，并与当地客户进行近距离沟通和服务，深度把握当地食品口味和客户的喜好程度，持续推进特色食品的主动研发。公司已经与中国农业科学院质量标准与检测技术研究所、西华大学、山东农业大学、山东省农业科学院、济南大学、烟台大学等高校、科研院所开展稳定的产学研合作，实现工业与传统的融合，让中华美食走进千家万户。截止目前，公司已获得发明专利</w:t>
      </w:r>
      <w:r w:rsidRPr="00F614F9">
        <w:rPr>
          <w:rFonts w:ascii="Times New Roman" w:hAnsi="Times New Roman" w:cs="Times New Roman" w:hint="eastAsia"/>
          <w:sz w:val="18"/>
          <w:szCs w:val="18"/>
        </w:rPr>
        <w:t>8</w:t>
      </w:r>
      <w:r w:rsidRPr="00F614F9">
        <w:rPr>
          <w:rFonts w:ascii="Times New Roman" w:hAnsi="Times New Roman" w:cs="Times New Roman" w:hint="eastAsia"/>
          <w:sz w:val="18"/>
          <w:szCs w:val="18"/>
        </w:rPr>
        <w:t>项，实用新型专利</w:t>
      </w:r>
      <w:r w:rsidRPr="00F614F9">
        <w:rPr>
          <w:rFonts w:ascii="Times New Roman" w:hAnsi="Times New Roman" w:cs="Times New Roman" w:hint="eastAsia"/>
          <w:sz w:val="18"/>
          <w:szCs w:val="18"/>
        </w:rPr>
        <w:t>15</w:t>
      </w:r>
      <w:r w:rsidRPr="00F614F9">
        <w:rPr>
          <w:rFonts w:ascii="Times New Roman" w:hAnsi="Times New Roman" w:cs="Times New Roman" w:hint="eastAsia"/>
          <w:sz w:val="18"/>
          <w:szCs w:val="18"/>
        </w:rPr>
        <w:t>项，并参与了部分国家标准及团体标准的制定与修订，同时获得了中国食品工业协会科学技术奖一等奖、中国商业联合会科学技术奖二等奖等重量级奖项。</w:t>
      </w:r>
    </w:p>
    <w:p w14:paraId="238FCC47" w14:textId="77777777" w:rsidR="00872599" w:rsidRPr="00F614F9" w:rsidRDefault="00000000" w:rsidP="00C90873">
      <w:pPr>
        <w:pStyle w:val="a3"/>
        <w:spacing w:before="0" w:beforeAutospacing="0" w:after="0" w:afterAutospacing="0" w:line="276" w:lineRule="auto"/>
        <w:ind w:firstLine="360"/>
        <w:jc w:val="both"/>
        <w:divId w:val="263802117"/>
        <w:rPr>
          <w:rFonts w:ascii="Times New Roman" w:hAnsi="Times New Roman" w:cs="Times New Roman"/>
        </w:rPr>
      </w:pPr>
      <w:r w:rsidRPr="00F614F9">
        <w:rPr>
          <w:rFonts w:ascii="Times New Roman" w:hAnsi="Times New Roman" w:cs="Times New Roman" w:hint="eastAsia"/>
          <w:sz w:val="18"/>
          <w:szCs w:val="18"/>
        </w:rPr>
        <w:t>（三）产能及供应链优势</w:t>
      </w:r>
    </w:p>
    <w:p w14:paraId="5E9C8420" w14:textId="77777777" w:rsidR="00872599" w:rsidRPr="00F614F9" w:rsidRDefault="00000000" w:rsidP="00C90873">
      <w:pPr>
        <w:pStyle w:val="a3"/>
        <w:spacing w:before="0" w:beforeAutospacing="0" w:after="0" w:afterAutospacing="0" w:line="276" w:lineRule="auto"/>
        <w:ind w:firstLine="360"/>
        <w:jc w:val="both"/>
        <w:divId w:val="263802117"/>
        <w:rPr>
          <w:rFonts w:ascii="Times New Roman" w:hAnsi="Times New Roman" w:cs="Times New Roman"/>
        </w:rPr>
      </w:pPr>
      <w:r w:rsidRPr="00F614F9">
        <w:rPr>
          <w:rFonts w:ascii="Times New Roman" w:hAnsi="Times New Roman" w:cs="Times New Roman" w:hint="eastAsia"/>
          <w:sz w:val="18"/>
          <w:szCs w:val="18"/>
        </w:rPr>
        <w:t>公司屠宰总体设计产能</w:t>
      </w:r>
      <w:r w:rsidRPr="00F614F9">
        <w:rPr>
          <w:rFonts w:ascii="Times New Roman" w:hAnsi="Times New Roman" w:cs="Times New Roman" w:hint="eastAsia"/>
          <w:sz w:val="18"/>
          <w:szCs w:val="18"/>
        </w:rPr>
        <w:t>1,500</w:t>
      </w:r>
      <w:r w:rsidRPr="00F614F9">
        <w:rPr>
          <w:rFonts w:ascii="Times New Roman" w:hAnsi="Times New Roman" w:cs="Times New Roman" w:hint="eastAsia"/>
          <w:sz w:val="18"/>
          <w:szCs w:val="18"/>
        </w:rPr>
        <w:t>万头，养殖总体设计产能控制在屠宰产能的</w:t>
      </w:r>
      <w:r w:rsidRPr="00F614F9">
        <w:rPr>
          <w:rFonts w:ascii="Times New Roman" w:hAnsi="Times New Roman" w:cs="Times New Roman" w:hint="eastAsia"/>
          <w:sz w:val="18"/>
          <w:szCs w:val="18"/>
        </w:rPr>
        <w:t>10%</w:t>
      </w:r>
      <w:r w:rsidRPr="00F614F9">
        <w:rPr>
          <w:rFonts w:ascii="Times New Roman" w:hAnsi="Times New Roman" w:cs="Times New Roman" w:hint="eastAsia"/>
          <w:sz w:val="18"/>
          <w:szCs w:val="18"/>
        </w:rPr>
        <w:t>以内；现有食品加工产能</w:t>
      </w:r>
      <w:r w:rsidRPr="00F614F9">
        <w:rPr>
          <w:rFonts w:ascii="Times New Roman" w:hAnsi="Times New Roman" w:cs="Times New Roman" w:hint="eastAsia"/>
          <w:sz w:val="18"/>
          <w:szCs w:val="18"/>
        </w:rPr>
        <w:t>15.5</w:t>
      </w:r>
      <w:r w:rsidRPr="00F614F9">
        <w:rPr>
          <w:rFonts w:ascii="Times New Roman" w:hAnsi="Times New Roman" w:cs="Times New Roman" w:hint="eastAsia"/>
          <w:sz w:val="18"/>
          <w:szCs w:val="18"/>
        </w:rPr>
        <w:t>万吨，另有在建产能约</w:t>
      </w:r>
      <w:r w:rsidRPr="00F614F9">
        <w:rPr>
          <w:rFonts w:ascii="Times New Roman" w:hAnsi="Times New Roman" w:cs="Times New Roman" w:hint="eastAsia"/>
          <w:sz w:val="18"/>
          <w:szCs w:val="18"/>
        </w:rPr>
        <w:t>17.5</w:t>
      </w:r>
      <w:r w:rsidRPr="00F614F9">
        <w:rPr>
          <w:rFonts w:ascii="Times New Roman" w:hAnsi="Times New Roman" w:cs="Times New Roman" w:hint="eastAsia"/>
          <w:sz w:val="18"/>
          <w:szCs w:val="18"/>
        </w:rPr>
        <w:t>万吨，投产</w:t>
      </w:r>
      <w:proofErr w:type="gramStart"/>
      <w:r w:rsidRPr="00F614F9">
        <w:rPr>
          <w:rFonts w:ascii="Times New Roman" w:hAnsi="Times New Roman" w:cs="Times New Roman" w:hint="eastAsia"/>
          <w:sz w:val="18"/>
          <w:szCs w:val="18"/>
        </w:rPr>
        <w:t>后食品</w:t>
      </w:r>
      <w:proofErr w:type="gramEnd"/>
      <w:r w:rsidRPr="00F614F9">
        <w:rPr>
          <w:rFonts w:ascii="Times New Roman" w:hAnsi="Times New Roman" w:cs="Times New Roman" w:hint="eastAsia"/>
          <w:sz w:val="18"/>
          <w:szCs w:val="18"/>
        </w:rPr>
        <w:t>产能将提升至</w:t>
      </w:r>
      <w:r w:rsidRPr="00F614F9">
        <w:rPr>
          <w:rFonts w:ascii="Times New Roman" w:hAnsi="Times New Roman" w:cs="Times New Roman" w:hint="eastAsia"/>
          <w:sz w:val="18"/>
          <w:szCs w:val="18"/>
        </w:rPr>
        <w:t>33</w:t>
      </w:r>
      <w:r w:rsidRPr="00F614F9">
        <w:rPr>
          <w:rFonts w:ascii="Times New Roman" w:hAnsi="Times New Roman" w:cs="Times New Roman" w:hint="eastAsia"/>
          <w:sz w:val="18"/>
          <w:szCs w:val="18"/>
        </w:rPr>
        <w:t>万吨</w:t>
      </w:r>
      <w:r w:rsidRPr="00F614F9">
        <w:rPr>
          <w:rFonts w:ascii="Times New Roman" w:hAnsi="Times New Roman" w:cs="Times New Roman" w:hint="eastAsia"/>
          <w:sz w:val="18"/>
          <w:szCs w:val="18"/>
        </w:rPr>
        <w:t>/</w:t>
      </w:r>
      <w:r w:rsidRPr="00F614F9">
        <w:rPr>
          <w:rFonts w:ascii="Times New Roman" w:hAnsi="Times New Roman" w:cs="Times New Roman" w:hint="eastAsia"/>
          <w:sz w:val="18"/>
          <w:szCs w:val="18"/>
        </w:rPr>
        <w:t>年，实现华东、华北、西南、华中、华南等区域的全覆盖，基本实现全国化的产能布局。同时，经过多年发展和沉淀，公司在食品、屠宰和养殖领域积累了丰富的经营经验，形成集原材料、生产能力、新产品研发、全国</w:t>
      </w:r>
      <w:proofErr w:type="gramStart"/>
      <w:r w:rsidRPr="00F614F9">
        <w:rPr>
          <w:rFonts w:ascii="Times New Roman" w:hAnsi="Times New Roman" w:cs="Times New Roman" w:hint="eastAsia"/>
          <w:sz w:val="18"/>
          <w:szCs w:val="18"/>
        </w:rPr>
        <w:t>化渠道</w:t>
      </w:r>
      <w:proofErr w:type="gramEnd"/>
      <w:r w:rsidRPr="00F614F9">
        <w:rPr>
          <w:rFonts w:ascii="Times New Roman" w:hAnsi="Times New Roman" w:cs="Times New Roman" w:hint="eastAsia"/>
          <w:sz w:val="18"/>
          <w:szCs w:val="18"/>
        </w:rPr>
        <w:t>等为一体的供应链整合和成本控制优势。公司养殖、屠宰业务直接提供肉类原料，缩短原料采购的中间环节，并依托</w:t>
      </w:r>
      <w:proofErr w:type="gramStart"/>
      <w:r w:rsidRPr="00F614F9">
        <w:rPr>
          <w:rFonts w:ascii="Times New Roman" w:hAnsi="Times New Roman" w:cs="Times New Roman" w:hint="eastAsia"/>
          <w:sz w:val="18"/>
          <w:szCs w:val="18"/>
        </w:rPr>
        <w:t>全球直采模式</w:t>
      </w:r>
      <w:proofErr w:type="gramEnd"/>
      <w:r w:rsidRPr="00F614F9">
        <w:rPr>
          <w:rFonts w:ascii="Times New Roman" w:hAnsi="Times New Roman" w:cs="Times New Roman" w:hint="eastAsia"/>
          <w:sz w:val="18"/>
          <w:szCs w:val="18"/>
        </w:rPr>
        <w:t>，实现多种动物蛋白补充，平抑原材料成本。物流配送上，公司依托源头基地和食品加工厂的全国</w:t>
      </w:r>
      <w:proofErr w:type="gramStart"/>
      <w:r w:rsidRPr="00F614F9">
        <w:rPr>
          <w:rFonts w:ascii="Times New Roman" w:hAnsi="Times New Roman" w:cs="Times New Roman" w:hint="eastAsia"/>
          <w:sz w:val="18"/>
          <w:szCs w:val="18"/>
        </w:rPr>
        <w:t>化广泛</w:t>
      </w:r>
      <w:proofErr w:type="gramEnd"/>
      <w:r w:rsidRPr="00F614F9">
        <w:rPr>
          <w:rFonts w:ascii="Times New Roman" w:hAnsi="Times New Roman" w:cs="Times New Roman" w:hint="eastAsia"/>
          <w:sz w:val="18"/>
          <w:szCs w:val="18"/>
        </w:rPr>
        <w:t>布局，加快物流运输建设，缩短运输距离，保障运输效率和产品新鲜度，节约运输成本。随着全国化供应链布局的深入，公司通过全国化、规模化经营，解决了一般预制</w:t>
      </w:r>
      <w:proofErr w:type="gramStart"/>
      <w:r w:rsidRPr="00F614F9">
        <w:rPr>
          <w:rFonts w:ascii="Times New Roman" w:hAnsi="Times New Roman" w:cs="Times New Roman" w:hint="eastAsia"/>
          <w:sz w:val="18"/>
          <w:szCs w:val="18"/>
        </w:rPr>
        <w:t>菜企业</w:t>
      </w:r>
      <w:proofErr w:type="gramEnd"/>
      <w:r w:rsidRPr="00F614F9">
        <w:rPr>
          <w:rFonts w:ascii="Times New Roman" w:hAnsi="Times New Roman" w:cs="Times New Roman" w:hint="eastAsia"/>
          <w:sz w:val="18"/>
          <w:szCs w:val="18"/>
        </w:rPr>
        <w:t>的区域化特征。</w:t>
      </w:r>
    </w:p>
    <w:p w14:paraId="3585B2A4" w14:textId="77777777" w:rsidR="00872599" w:rsidRPr="00F614F9" w:rsidRDefault="00000000" w:rsidP="00C90873">
      <w:pPr>
        <w:pStyle w:val="a3"/>
        <w:spacing w:before="0" w:beforeAutospacing="0" w:after="0" w:afterAutospacing="0" w:line="276" w:lineRule="auto"/>
        <w:ind w:firstLine="360"/>
        <w:jc w:val="both"/>
        <w:divId w:val="263802117"/>
        <w:rPr>
          <w:rFonts w:ascii="Times New Roman" w:hAnsi="Times New Roman" w:cs="Times New Roman"/>
        </w:rPr>
      </w:pPr>
      <w:r w:rsidRPr="00F614F9">
        <w:rPr>
          <w:rFonts w:ascii="Times New Roman" w:hAnsi="Times New Roman" w:cs="Times New Roman" w:hint="eastAsia"/>
          <w:sz w:val="18"/>
          <w:szCs w:val="18"/>
        </w:rPr>
        <w:t>（四）渠道优势</w:t>
      </w:r>
    </w:p>
    <w:p w14:paraId="65231072" w14:textId="77777777" w:rsidR="00872599" w:rsidRPr="00F614F9" w:rsidRDefault="00000000" w:rsidP="00C90873">
      <w:pPr>
        <w:pStyle w:val="a3"/>
        <w:spacing w:before="0" w:beforeAutospacing="0" w:after="0" w:afterAutospacing="0" w:line="276" w:lineRule="auto"/>
        <w:ind w:firstLine="360"/>
        <w:jc w:val="both"/>
        <w:divId w:val="263802117"/>
        <w:rPr>
          <w:rFonts w:ascii="Times New Roman" w:hAnsi="Times New Roman" w:cs="Times New Roman"/>
        </w:rPr>
      </w:pPr>
      <w:r w:rsidRPr="00F614F9">
        <w:rPr>
          <w:rFonts w:ascii="Times New Roman" w:hAnsi="Times New Roman" w:cs="Times New Roman" w:hint="eastAsia"/>
          <w:sz w:val="18"/>
          <w:szCs w:val="18"/>
        </w:rPr>
        <w:lastRenderedPageBreak/>
        <w:t>公司采取</w:t>
      </w:r>
      <w:r w:rsidRPr="00F614F9">
        <w:rPr>
          <w:rFonts w:ascii="Times New Roman" w:hAnsi="Times New Roman" w:cs="Times New Roman" w:hint="eastAsia"/>
          <w:sz w:val="18"/>
          <w:szCs w:val="18"/>
        </w:rPr>
        <w:t>B</w:t>
      </w:r>
      <w:r w:rsidRPr="00F614F9">
        <w:rPr>
          <w:rFonts w:ascii="Times New Roman" w:hAnsi="Times New Roman" w:cs="Times New Roman" w:hint="eastAsia"/>
          <w:sz w:val="18"/>
          <w:szCs w:val="18"/>
        </w:rPr>
        <w:t>端为主，</w:t>
      </w:r>
      <w:r w:rsidRPr="00F614F9">
        <w:rPr>
          <w:rFonts w:ascii="Times New Roman" w:hAnsi="Times New Roman" w:cs="Times New Roman" w:hint="eastAsia"/>
          <w:sz w:val="18"/>
          <w:szCs w:val="18"/>
        </w:rPr>
        <w:t xml:space="preserve">C </w:t>
      </w:r>
      <w:r w:rsidRPr="00F614F9">
        <w:rPr>
          <w:rFonts w:ascii="Times New Roman" w:hAnsi="Times New Roman" w:cs="Times New Roman" w:hint="eastAsia"/>
          <w:sz w:val="18"/>
          <w:szCs w:val="18"/>
        </w:rPr>
        <w:t>端为辅的渠道策略，依托二十余年对日出口的品质保障，建立了一套完善的客户服务标准规范。对大客户提供产品全生命周期管理服务，通过专人专班，满足客户对新品研发和产品品质的需求。经过多年发展，公司已经与超过</w:t>
      </w:r>
      <w:r w:rsidRPr="00F614F9">
        <w:rPr>
          <w:rFonts w:ascii="Times New Roman" w:hAnsi="Times New Roman" w:cs="Times New Roman" w:hint="eastAsia"/>
          <w:sz w:val="18"/>
          <w:szCs w:val="18"/>
        </w:rPr>
        <w:t>1,000</w:t>
      </w:r>
      <w:r w:rsidRPr="00F614F9">
        <w:rPr>
          <w:rFonts w:ascii="Times New Roman" w:hAnsi="Times New Roman" w:cs="Times New Roman" w:hint="eastAsia"/>
          <w:sz w:val="18"/>
          <w:szCs w:val="18"/>
        </w:rPr>
        <w:t>家知名企业客户达成合作，为超过</w:t>
      </w:r>
      <w:r w:rsidRPr="00F614F9">
        <w:rPr>
          <w:rFonts w:ascii="Times New Roman" w:hAnsi="Times New Roman" w:cs="Times New Roman" w:hint="eastAsia"/>
          <w:sz w:val="18"/>
          <w:szCs w:val="18"/>
        </w:rPr>
        <w:t>200</w:t>
      </w:r>
      <w:r w:rsidRPr="00F614F9">
        <w:rPr>
          <w:rFonts w:ascii="Times New Roman" w:hAnsi="Times New Roman" w:cs="Times New Roman" w:hint="eastAsia"/>
          <w:sz w:val="18"/>
          <w:szCs w:val="18"/>
        </w:rPr>
        <w:t>家大型企业客户提供定制化产品服务。在优质的服务和产品供应体系下，公司形成了一批运营能力强，资金实力雄厚，对公司信赖度高的大客户资源。同时，公司通过积极开拓京东、抖音、拼多多、</w:t>
      </w:r>
      <w:proofErr w:type="gramStart"/>
      <w:r w:rsidRPr="00F614F9">
        <w:rPr>
          <w:rFonts w:ascii="Times New Roman" w:hAnsi="Times New Roman" w:cs="Times New Roman" w:hint="eastAsia"/>
          <w:sz w:val="18"/>
          <w:szCs w:val="18"/>
        </w:rPr>
        <w:t>美团等</w:t>
      </w:r>
      <w:proofErr w:type="gramEnd"/>
      <w:r w:rsidRPr="00F614F9">
        <w:rPr>
          <w:rFonts w:ascii="Times New Roman" w:hAnsi="Times New Roman" w:cs="Times New Roman" w:hint="eastAsia"/>
          <w:sz w:val="18"/>
          <w:szCs w:val="18"/>
        </w:rPr>
        <w:t>平台的社区团购及电商直播渠道，</w:t>
      </w:r>
      <w:r w:rsidRPr="00F614F9">
        <w:rPr>
          <w:rFonts w:ascii="Times New Roman" w:hAnsi="Times New Roman" w:cs="Times New Roman" w:hint="eastAsia"/>
          <w:sz w:val="18"/>
          <w:szCs w:val="18"/>
        </w:rPr>
        <w:t>C</w:t>
      </w:r>
      <w:proofErr w:type="gramStart"/>
      <w:r w:rsidRPr="00F614F9">
        <w:rPr>
          <w:rFonts w:ascii="Times New Roman" w:hAnsi="Times New Roman" w:cs="Times New Roman" w:hint="eastAsia"/>
          <w:sz w:val="18"/>
          <w:szCs w:val="18"/>
        </w:rPr>
        <w:t>端客户</w:t>
      </w:r>
      <w:proofErr w:type="gramEnd"/>
      <w:r w:rsidRPr="00F614F9">
        <w:rPr>
          <w:rFonts w:ascii="Times New Roman" w:hAnsi="Times New Roman" w:cs="Times New Roman" w:hint="eastAsia"/>
          <w:sz w:val="18"/>
          <w:szCs w:val="18"/>
        </w:rPr>
        <w:t>规模实现稳步发展。</w:t>
      </w:r>
    </w:p>
    <w:p w14:paraId="0D3AE193" w14:textId="77777777" w:rsidR="00872599" w:rsidRPr="00F614F9" w:rsidRDefault="00000000" w:rsidP="00C90873">
      <w:pPr>
        <w:pStyle w:val="a3"/>
        <w:spacing w:before="0" w:beforeAutospacing="0" w:after="0" w:afterAutospacing="0" w:line="276" w:lineRule="auto"/>
        <w:ind w:firstLine="360"/>
        <w:jc w:val="both"/>
        <w:divId w:val="263802117"/>
        <w:rPr>
          <w:rFonts w:ascii="Times New Roman" w:hAnsi="Times New Roman" w:cs="Times New Roman"/>
        </w:rPr>
      </w:pPr>
      <w:r w:rsidRPr="00F614F9">
        <w:rPr>
          <w:rFonts w:ascii="Times New Roman" w:hAnsi="Times New Roman" w:cs="Times New Roman" w:hint="eastAsia"/>
          <w:sz w:val="18"/>
          <w:szCs w:val="18"/>
        </w:rPr>
        <w:t>（五）品牌优势</w:t>
      </w:r>
    </w:p>
    <w:p w14:paraId="26EC770E" w14:textId="77777777" w:rsidR="00872599" w:rsidRPr="00F614F9" w:rsidRDefault="00000000" w:rsidP="00C90873">
      <w:pPr>
        <w:pStyle w:val="a3"/>
        <w:spacing w:before="0" w:beforeAutospacing="0" w:after="0" w:afterAutospacing="0" w:line="276" w:lineRule="auto"/>
        <w:ind w:firstLine="360"/>
        <w:jc w:val="both"/>
        <w:divId w:val="263802117"/>
        <w:rPr>
          <w:rFonts w:ascii="Times New Roman" w:hAnsi="Times New Roman" w:cs="Times New Roman"/>
        </w:rPr>
      </w:pPr>
      <w:r w:rsidRPr="00F614F9">
        <w:rPr>
          <w:rFonts w:ascii="Times New Roman" w:hAnsi="Times New Roman" w:cs="Times New Roman" w:hint="eastAsia"/>
          <w:sz w:val="18"/>
          <w:szCs w:val="18"/>
        </w:rPr>
        <w:t>公司高度重视品牌建设和发展，致力于成为国内领先的食品企业。在此基础上，公司持续强化品牌营销能力，紧跟国际国内产业发展趋势，以预制</w:t>
      </w:r>
      <w:proofErr w:type="gramStart"/>
      <w:r w:rsidRPr="00F614F9">
        <w:rPr>
          <w:rFonts w:ascii="Times New Roman" w:hAnsi="Times New Roman" w:cs="Times New Roman" w:hint="eastAsia"/>
          <w:sz w:val="18"/>
          <w:szCs w:val="18"/>
        </w:rPr>
        <w:t>菜产业</w:t>
      </w:r>
      <w:proofErr w:type="gramEnd"/>
      <w:r w:rsidRPr="00F614F9">
        <w:rPr>
          <w:rFonts w:ascii="Times New Roman" w:hAnsi="Times New Roman" w:cs="Times New Roman" w:hint="eastAsia"/>
          <w:sz w:val="18"/>
          <w:szCs w:val="18"/>
        </w:rPr>
        <w:t>为纽带，积极推动地方一二三产业融合发展；参与成立预制</w:t>
      </w:r>
      <w:proofErr w:type="gramStart"/>
      <w:r w:rsidRPr="00F614F9">
        <w:rPr>
          <w:rFonts w:ascii="Times New Roman" w:hAnsi="Times New Roman" w:cs="Times New Roman" w:hint="eastAsia"/>
          <w:sz w:val="18"/>
          <w:szCs w:val="18"/>
        </w:rPr>
        <w:t>菜产业</w:t>
      </w:r>
      <w:proofErr w:type="gramEnd"/>
      <w:r w:rsidRPr="00F614F9">
        <w:rPr>
          <w:rFonts w:ascii="Times New Roman" w:hAnsi="Times New Roman" w:cs="Times New Roman" w:hint="eastAsia"/>
          <w:sz w:val="18"/>
          <w:szCs w:val="18"/>
        </w:rPr>
        <w:t>联盟，加入山东预制菜产业联合会及烟台市预制</w:t>
      </w:r>
      <w:proofErr w:type="gramStart"/>
      <w:r w:rsidRPr="00F614F9">
        <w:rPr>
          <w:rFonts w:ascii="Times New Roman" w:hAnsi="Times New Roman" w:cs="Times New Roman" w:hint="eastAsia"/>
          <w:sz w:val="18"/>
          <w:szCs w:val="18"/>
        </w:rPr>
        <w:t>菜产业</w:t>
      </w:r>
      <w:proofErr w:type="gramEnd"/>
      <w:r w:rsidRPr="00F614F9">
        <w:rPr>
          <w:rFonts w:ascii="Times New Roman" w:hAnsi="Times New Roman" w:cs="Times New Roman" w:hint="eastAsia"/>
          <w:sz w:val="18"/>
          <w:szCs w:val="18"/>
        </w:rPr>
        <w:t>协会，推动预制</w:t>
      </w:r>
      <w:proofErr w:type="gramStart"/>
      <w:r w:rsidRPr="00F614F9">
        <w:rPr>
          <w:rFonts w:ascii="Times New Roman" w:hAnsi="Times New Roman" w:cs="Times New Roman" w:hint="eastAsia"/>
          <w:sz w:val="18"/>
          <w:szCs w:val="18"/>
        </w:rPr>
        <w:t>菜产业</w:t>
      </w:r>
      <w:proofErr w:type="gramEnd"/>
      <w:r w:rsidRPr="00F614F9">
        <w:rPr>
          <w:rFonts w:ascii="Times New Roman" w:hAnsi="Times New Roman" w:cs="Times New Roman" w:hint="eastAsia"/>
          <w:sz w:val="18"/>
          <w:szCs w:val="18"/>
        </w:rPr>
        <w:t>共创共赢；参与中国国际食品博览会、中国</w:t>
      </w:r>
      <w:proofErr w:type="gramStart"/>
      <w:r w:rsidRPr="00F614F9">
        <w:rPr>
          <w:rFonts w:ascii="Times New Roman" w:hAnsi="Times New Roman" w:cs="Times New Roman" w:hint="eastAsia"/>
          <w:sz w:val="18"/>
          <w:szCs w:val="18"/>
        </w:rPr>
        <w:t>食材电</w:t>
      </w:r>
      <w:proofErr w:type="gramEnd"/>
      <w:r w:rsidRPr="00F614F9">
        <w:rPr>
          <w:rFonts w:ascii="Times New Roman" w:hAnsi="Times New Roman" w:cs="Times New Roman" w:hint="eastAsia"/>
          <w:sz w:val="18"/>
          <w:szCs w:val="18"/>
        </w:rPr>
        <w:t>商节等行业展会，增加品牌曝光度，加强与客户的洽谈合作。同时，公司持续强化品牌营销能力，紧跟国际国内产业发展趋势，建立稳定、广泛的客户群体，获得消费者的青睐和认可，具有良好的市场品牌效应。公司先后荣获“中国民营企业</w:t>
      </w:r>
      <w:r w:rsidRPr="00F614F9">
        <w:rPr>
          <w:rFonts w:ascii="Times New Roman" w:hAnsi="Times New Roman" w:cs="Times New Roman" w:hint="eastAsia"/>
          <w:sz w:val="18"/>
          <w:szCs w:val="18"/>
        </w:rPr>
        <w:t>500</w:t>
      </w:r>
      <w:r w:rsidRPr="00F614F9">
        <w:rPr>
          <w:rFonts w:ascii="Times New Roman" w:hAnsi="Times New Roman" w:cs="Times New Roman" w:hint="eastAsia"/>
          <w:sz w:val="18"/>
          <w:szCs w:val="18"/>
        </w:rPr>
        <w:t>强”、“中国农业企业</w:t>
      </w:r>
      <w:r w:rsidRPr="00F614F9">
        <w:rPr>
          <w:rFonts w:ascii="Times New Roman" w:hAnsi="Times New Roman" w:cs="Times New Roman" w:hint="eastAsia"/>
          <w:sz w:val="18"/>
          <w:szCs w:val="18"/>
        </w:rPr>
        <w:t>500</w:t>
      </w:r>
      <w:r w:rsidRPr="00F614F9">
        <w:rPr>
          <w:rFonts w:ascii="Times New Roman" w:hAnsi="Times New Roman" w:cs="Times New Roman" w:hint="eastAsia"/>
          <w:sz w:val="18"/>
          <w:szCs w:val="18"/>
        </w:rPr>
        <w:t>强”、“现代农业行业领军</w:t>
      </w:r>
      <w:r w:rsidRPr="00F614F9">
        <w:rPr>
          <w:rFonts w:ascii="Times New Roman" w:hAnsi="Times New Roman" w:cs="Times New Roman" w:hint="eastAsia"/>
          <w:sz w:val="18"/>
          <w:szCs w:val="18"/>
        </w:rPr>
        <w:t>10</w:t>
      </w:r>
      <w:r w:rsidRPr="00F614F9">
        <w:rPr>
          <w:rFonts w:ascii="Times New Roman" w:hAnsi="Times New Roman" w:cs="Times New Roman" w:hint="eastAsia"/>
          <w:sz w:val="18"/>
          <w:szCs w:val="18"/>
        </w:rPr>
        <w:t>强”、“最具投资价值企业”“大消费产业最具成长上市公司”“中国食品行业百强”“胡润中国预制菜生产企业百强榜”等多项荣誉。</w:t>
      </w:r>
    </w:p>
    <w:p w14:paraId="58A025D5"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29" w:name="_Toc988906"/>
      <w:bookmarkStart w:id="30" w:name="_Toc164024758"/>
      <w:r w:rsidRPr="00F614F9">
        <w:rPr>
          <w:rFonts w:ascii="Times New Roman" w:eastAsia="宋体" w:hAnsi="Times New Roman" w:cs="宋体"/>
          <w:b/>
          <w:bCs/>
          <w:sz w:val="24"/>
          <w:szCs w:val="24"/>
        </w:rPr>
        <w:t>四、主营业务分析</w:t>
      </w:r>
      <w:bookmarkEnd w:id="29"/>
      <w:bookmarkEnd w:id="30"/>
    </w:p>
    <w:p w14:paraId="12D83CBD" w14:textId="77777777" w:rsidR="001D26E7" w:rsidRPr="00F614F9" w:rsidRDefault="00000000">
      <w:pPr>
        <w:pStyle w:val="3"/>
        <w:spacing w:line="280" w:lineRule="exact"/>
        <w:jc w:val="left"/>
        <w:rPr>
          <w:rFonts w:ascii="Times New Roman" w:hAnsi="Times New Roman" w:cs="宋体"/>
          <w:b/>
          <w:bCs/>
        </w:rPr>
      </w:pPr>
      <w:bookmarkStart w:id="31" w:name="_Toc988907"/>
      <w:r w:rsidRPr="00F614F9">
        <w:rPr>
          <w:rFonts w:ascii="Times New Roman" w:hAnsi="Times New Roman" w:cs="宋体"/>
          <w:b/>
          <w:bCs/>
        </w:rPr>
        <w:t>1</w:t>
      </w:r>
      <w:r w:rsidRPr="00F614F9">
        <w:rPr>
          <w:rFonts w:ascii="Times New Roman" w:hAnsi="Times New Roman" w:cs="宋体"/>
          <w:b/>
          <w:bCs/>
        </w:rPr>
        <w:t>、概述</w:t>
      </w:r>
      <w:bookmarkEnd w:id="31"/>
    </w:p>
    <w:p w14:paraId="0C9EE8C5" w14:textId="77777777" w:rsidR="00872599" w:rsidRPr="00F614F9" w:rsidRDefault="00000000" w:rsidP="00C90873">
      <w:pPr>
        <w:pStyle w:val="a3"/>
        <w:spacing w:before="0" w:beforeAutospacing="0" w:after="0" w:afterAutospacing="0" w:line="276" w:lineRule="auto"/>
        <w:ind w:firstLine="360"/>
        <w:jc w:val="both"/>
        <w:divId w:val="1228997611"/>
        <w:rPr>
          <w:rFonts w:ascii="Times New Roman" w:hAnsi="Times New Roman" w:cs="Times New Roman"/>
        </w:rPr>
      </w:pPr>
      <w:r w:rsidRPr="00F614F9">
        <w:rPr>
          <w:rFonts w:ascii="Times New Roman" w:hAnsi="Times New Roman" w:cs="Times New Roman" w:hint="eastAsia"/>
          <w:sz w:val="18"/>
          <w:szCs w:val="18"/>
        </w:rPr>
        <w:t>报告期内，公司实现营业收入</w:t>
      </w:r>
      <w:r w:rsidRPr="00F614F9">
        <w:rPr>
          <w:rFonts w:ascii="Times New Roman" w:hAnsi="Times New Roman" w:cs="Times New Roman"/>
          <w:sz w:val="18"/>
          <w:szCs w:val="18"/>
        </w:rPr>
        <w:t>133.18</w:t>
      </w:r>
      <w:r w:rsidRPr="00F614F9">
        <w:rPr>
          <w:rFonts w:ascii="Times New Roman" w:hAnsi="Times New Roman" w:cs="Times New Roman" w:hint="eastAsia"/>
          <w:sz w:val="18"/>
          <w:szCs w:val="18"/>
        </w:rPr>
        <w:t>亿元，与上期同比下降</w:t>
      </w:r>
      <w:r w:rsidRPr="00F614F9">
        <w:rPr>
          <w:rFonts w:ascii="Times New Roman" w:hAnsi="Times New Roman" w:cs="Times New Roman"/>
          <w:sz w:val="18"/>
          <w:szCs w:val="18"/>
        </w:rPr>
        <w:t>17.36%</w:t>
      </w:r>
      <w:r w:rsidRPr="00F614F9">
        <w:rPr>
          <w:rFonts w:ascii="Times New Roman" w:hAnsi="Times New Roman" w:cs="Times New Roman" w:hint="eastAsia"/>
          <w:sz w:val="18"/>
          <w:szCs w:val="18"/>
        </w:rPr>
        <w:t>；实现归属于上市公司股东的净利润为</w:t>
      </w:r>
      <w:r w:rsidRPr="00F614F9">
        <w:rPr>
          <w:rFonts w:ascii="Times New Roman" w:hAnsi="Times New Roman" w:cs="Times New Roman"/>
          <w:sz w:val="18"/>
          <w:szCs w:val="18"/>
        </w:rPr>
        <w:t>-15.38</w:t>
      </w:r>
      <w:r w:rsidRPr="00F614F9">
        <w:rPr>
          <w:rFonts w:ascii="Times New Roman" w:hAnsi="Times New Roman" w:cs="Times New Roman" w:hint="eastAsia"/>
          <w:sz w:val="18"/>
          <w:szCs w:val="18"/>
        </w:rPr>
        <w:t>亿元，与上期同比下降</w:t>
      </w:r>
      <w:r w:rsidRPr="00F614F9">
        <w:rPr>
          <w:rFonts w:ascii="Times New Roman" w:hAnsi="Times New Roman" w:cs="Times New Roman"/>
          <w:sz w:val="18"/>
          <w:szCs w:val="18"/>
        </w:rPr>
        <w:t>2140.92%</w:t>
      </w:r>
      <w:r w:rsidRPr="00F614F9">
        <w:rPr>
          <w:rFonts w:ascii="Times New Roman" w:hAnsi="Times New Roman" w:cs="Times New Roman" w:hint="eastAsia"/>
          <w:sz w:val="18"/>
          <w:szCs w:val="18"/>
        </w:rPr>
        <w:t>。报告期末，公司总资产为</w:t>
      </w:r>
      <w:r w:rsidRPr="00F614F9">
        <w:rPr>
          <w:rFonts w:ascii="Times New Roman" w:hAnsi="Times New Roman" w:cs="Times New Roman"/>
          <w:sz w:val="18"/>
          <w:szCs w:val="18"/>
        </w:rPr>
        <w:t>63.18</w:t>
      </w:r>
      <w:r w:rsidRPr="00F614F9">
        <w:rPr>
          <w:rFonts w:ascii="Times New Roman" w:hAnsi="Times New Roman" w:cs="Times New Roman" w:hint="eastAsia"/>
          <w:sz w:val="18"/>
          <w:szCs w:val="18"/>
        </w:rPr>
        <w:t>亿元，与上期同比下降</w:t>
      </w:r>
      <w:r w:rsidRPr="00F614F9">
        <w:rPr>
          <w:rFonts w:ascii="Times New Roman" w:hAnsi="Times New Roman" w:cs="Times New Roman" w:hint="eastAsia"/>
          <w:sz w:val="18"/>
          <w:szCs w:val="18"/>
        </w:rPr>
        <w:t>20.81</w:t>
      </w:r>
      <w:r w:rsidRPr="00F614F9">
        <w:rPr>
          <w:rFonts w:ascii="Times New Roman" w:hAnsi="Times New Roman" w:cs="Times New Roman"/>
          <w:sz w:val="18"/>
          <w:szCs w:val="18"/>
        </w:rPr>
        <w:t>%</w:t>
      </w:r>
      <w:r w:rsidRPr="00F614F9">
        <w:rPr>
          <w:rFonts w:ascii="Times New Roman" w:hAnsi="Times New Roman" w:cs="Times New Roman" w:hint="eastAsia"/>
          <w:sz w:val="18"/>
          <w:szCs w:val="18"/>
        </w:rPr>
        <w:t>；归属上市公司股东的净资产为</w:t>
      </w:r>
      <w:r w:rsidRPr="00F614F9">
        <w:rPr>
          <w:rFonts w:ascii="Times New Roman" w:hAnsi="Times New Roman" w:cs="Times New Roman"/>
          <w:sz w:val="18"/>
          <w:szCs w:val="18"/>
        </w:rPr>
        <w:t>14.82</w:t>
      </w:r>
      <w:r w:rsidRPr="00F614F9">
        <w:rPr>
          <w:rFonts w:ascii="Times New Roman" w:hAnsi="Times New Roman" w:cs="Times New Roman" w:hint="eastAsia"/>
          <w:sz w:val="18"/>
          <w:szCs w:val="18"/>
        </w:rPr>
        <w:t>亿元，与上期同比下降</w:t>
      </w:r>
      <w:r w:rsidRPr="00F614F9">
        <w:rPr>
          <w:rFonts w:ascii="Times New Roman" w:hAnsi="Times New Roman" w:cs="Times New Roman"/>
          <w:sz w:val="18"/>
          <w:szCs w:val="18"/>
        </w:rPr>
        <w:t>55.37%</w:t>
      </w:r>
      <w:r w:rsidRPr="00F614F9">
        <w:rPr>
          <w:rFonts w:ascii="Times New Roman" w:hAnsi="Times New Roman" w:cs="Times New Roman" w:hint="eastAsia"/>
          <w:sz w:val="18"/>
          <w:szCs w:val="18"/>
        </w:rPr>
        <w:t>。本年度亏损的原因主要系传统业务板块受毛猪销售价格及猪肉市场价格持续下跌，并叠加疫病影响，导致公司传统板块业务出现较大亏损；同时，公司贸易板块业务根据战略也进一步缩减，且相关业务也受到猪价影响，亏损较大；此外，受猪价影响，公司按照企业会计准则的相关规定和谨慎性原则，对存货及生物资产计提了减值准备，综上原因，公司</w:t>
      </w:r>
      <w:r w:rsidRPr="00F614F9">
        <w:rPr>
          <w:rFonts w:ascii="Times New Roman" w:hAnsi="Times New Roman" w:cs="Times New Roman"/>
          <w:sz w:val="18"/>
          <w:szCs w:val="18"/>
        </w:rPr>
        <w:t>23</w:t>
      </w:r>
      <w:r w:rsidRPr="00F614F9">
        <w:rPr>
          <w:rFonts w:ascii="Times New Roman" w:hAnsi="Times New Roman" w:cs="Times New Roman" w:hint="eastAsia"/>
          <w:sz w:val="18"/>
          <w:szCs w:val="18"/>
        </w:rPr>
        <w:t>年整体亏损。主要经营情况如下：</w:t>
      </w:r>
    </w:p>
    <w:p w14:paraId="47547355" w14:textId="77777777" w:rsidR="00872599" w:rsidRPr="00F614F9" w:rsidRDefault="00000000" w:rsidP="00C90873">
      <w:pPr>
        <w:pStyle w:val="a3"/>
        <w:spacing w:before="0" w:beforeAutospacing="0" w:after="0" w:afterAutospacing="0" w:line="276" w:lineRule="auto"/>
        <w:ind w:firstLine="360"/>
        <w:jc w:val="both"/>
        <w:divId w:val="1228997611"/>
        <w:rPr>
          <w:rFonts w:ascii="Times New Roman" w:hAnsi="Times New Roman" w:cs="Times New Roman"/>
        </w:rPr>
      </w:pPr>
      <w:r w:rsidRPr="00F614F9">
        <w:rPr>
          <w:rFonts w:ascii="Times New Roman" w:hAnsi="Times New Roman" w:cs="Times New Roman" w:hint="eastAsia"/>
          <w:sz w:val="18"/>
          <w:szCs w:val="18"/>
        </w:rPr>
        <w:t>（一）坚持“一体两翼”战略，持续深耕食品业务</w:t>
      </w:r>
    </w:p>
    <w:p w14:paraId="0DD94C57" w14:textId="77777777" w:rsidR="00872599" w:rsidRPr="00F614F9" w:rsidRDefault="00000000" w:rsidP="00C90873">
      <w:pPr>
        <w:pStyle w:val="a3"/>
        <w:spacing w:before="0" w:beforeAutospacing="0" w:after="0" w:afterAutospacing="0" w:line="276" w:lineRule="auto"/>
        <w:ind w:firstLine="360"/>
        <w:jc w:val="both"/>
        <w:divId w:val="1228997611"/>
        <w:rPr>
          <w:rFonts w:ascii="Times New Roman" w:hAnsi="Times New Roman" w:cs="Times New Roman"/>
        </w:rPr>
      </w:pPr>
      <w:r w:rsidRPr="00F614F9">
        <w:rPr>
          <w:rFonts w:ascii="Times New Roman" w:hAnsi="Times New Roman" w:cs="Times New Roman" w:hint="eastAsia"/>
          <w:sz w:val="18"/>
          <w:szCs w:val="18"/>
        </w:rPr>
        <w:t>报告期内，公司始终坚持“一体两翼”战略，依托优质的原料供给、成熟的加工经验、丰富的市场资源以及二十余年对日出口的品质保障，持续深耕食品业务。通过创新业务模式，厚</w:t>
      </w:r>
      <w:proofErr w:type="gramStart"/>
      <w:r w:rsidRPr="00F614F9">
        <w:rPr>
          <w:rFonts w:ascii="Times New Roman" w:hAnsi="Times New Roman" w:cs="Times New Roman" w:hint="eastAsia"/>
          <w:sz w:val="18"/>
          <w:szCs w:val="18"/>
        </w:rPr>
        <w:t>植产业</w:t>
      </w:r>
      <w:proofErr w:type="gramEnd"/>
      <w:r w:rsidRPr="00F614F9">
        <w:rPr>
          <w:rFonts w:ascii="Times New Roman" w:hAnsi="Times New Roman" w:cs="Times New Roman" w:hint="eastAsia"/>
          <w:sz w:val="18"/>
          <w:szCs w:val="18"/>
        </w:rPr>
        <w:t>优势，整合市场资源，打造产品矩阵，以不断精进的服务力和持续做强的产品力，打造了公司差异化竞争优势，实现了食品业务的快速增长。报告期内，公司食品板块实现收入</w:t>
      </w:r>
      <w:r w:rsidRPr="00F614F9">
        <w:rPr>
          <w:rFonts w:ascii="Times New Roman" w:hAnsi="Times New Roman" w:cs="Times New Roman"/>
          <w:sz w:val="18"/>
          <w:szCs w:val="18"/>
        </w:rPr>
        <w:t>22.23</w:t>
      </w:r>
      <w:r w:rsidRPr="00F614F9">
        <w:rPr>
          <w:rFonts w:ascii="Times New Roman" w:hAnsi="Times New Roman" w:cs="Times New Roman" w:hint="eastAsia"/>
          <w:sz w:val="18"/>
          <w:szCs w:val="18"/>
        </w:rPr>
        <w:t>亿元，较上年同期增长</w:t>
      </w:r>
      <w:r w:rsidRPr="00F614F9">
        <w:rPr>
          <w:rFonts w:ascii="Times New Roman" w:hAnsi="Times New Roman" w:cs="Times New Roman"/>
          <w:sz w:val="18"/>
          <w:szCs w:val="18"/>
        </w:rPr>
        <w:t>34.60%</w:t>
      </w:r>
      <w:r w:rsidRPr="00F614F9">
        <w:rPr>
          <w:rFonts w:ascii="Times New Roman" w:hAnsi="Times New Roman" w:cs="Times New Roman" w:hint="eastAsia"/>
          <w:sz w:val="18"/>
          <w:szCs w:val="18"/>
        </w:rPr>
        <w:t>，占公司营业收入的比例由</w:t>
      </w:r>
      <w:r w:rsidRPr="00F614F9">
        <w:rPr>
          <w:rFonts w:ascii="Times New Roman" w:hAnsi="Times New Roman" w:cs="Times New Roman"/>
          <w:sz w:val="18"/>
          <w:szCs w:val="18"/>
        </w:rPr>
        <w:t>10.25%</w:t>
      </w:r>
      <w:r w:rsidRPr="00F614F9">
        <w:rPr>
          <w:rFonts w:ascii="Times New Roman" w:hAnsi="Times New Roman" w:cs="Times New Roman" w:hint="eastAsia"/>
          <w:sz w:val="18"/>
          <w:szCs w:val="18"/>
        </w:rPr>
        <w:t>提升至</w:t>
      </w:r>
      <w:r w:rsidRPr="00F614F9">
        <w:rPr>
          <w:rFonts w:ascii="Times New Roman" w:hAnsi="Times New Roman" w:cs="Times New Roman"/>
          <w:sz w:val="18"/>
          <w:szCs w:val="18"/>
        </w:rPr>
        <w:t>16.69%</w:t>
      </w:r>
      <w:r w:rsidRPr="00F614F9">
        <w:rPr>
          <w:rFonts w:ascii="Times New Roman" w:hAnsi="Times New Roman" w:cs="Times New Roman" w:hint="eastAsia"/>
          <w:sz w:val="18"/>
          <w:szCs w:val="18"/>
        </w:rPr>
        <w:t>；其中预制食品业务实现收入</w:t>
      </w:r>
      <w:r w:rsidRPr="00F614F9">
        <w:rPr>
          <w:rFonts w:ascii="Times New Roman" w:hAnsi="Times New Roman" w:cs="Times New Roman"/>
          <w:sz w:val="18"/>
          <w:szCs w:val="18"/>
        </w:rPr>
        <w:t>19.8</w:t>
      </w:r>
      <w:r w:rsidR="00624FD8">
        <w:rPr>
          <w:rFonts w:ascii="Times New Roman" w:hAnsi="Times New Roman" w:cs="Times New Roman" w:hint="eastAsia"/>
          <w:sz w:val="18"/>
          <w:szCs w:val="18"/>
        </w:rPr>
        <w:t>4</w:t>
      </w:r>
      <w:r w:rsidRPr="00F614F9">
        <w:rPr>
          <w:rFonts w:ascii="Times New Roman" w:hAnsi="Times New Roman" w:cs="Times New Roman" w:hint="eastAsia"/>
          <w:sz w:val="18"/>
          <w:szCs w:val="18"/>
        </w:rPr>
        <w:t>亿元，同比增长</w:t>
      </w:r>
      <w:r w:rsidRPr="00F614F9">
        <w:rPr>
          <w:rFonts w:ascii="Times New Roman" w:hAnsi="Times New Roman" w:cs="Times New Roman"/>
          <w:sz w:val="18"/>
          <w:szCs w:val="18"/>
        </w:rPr>
        <w:t>50.94%</w:t>
      </w:r>
      <w:r w:rsidRPr="00F614F9">
        <w:rPr>
          <w:rFonts w:ascii="Times New Roman" w:hAnsi="Times New Roman" w:cs="Times New Roman" w:hint="eastAsia"/>
          <w:sz w:val="18"/>
          <w:szCs w:val="18"/>
        </w:rPr>
        <w:t>；生猪屠宰及养殖业务作为食品业务的战略支撑，整体规模保持稳步增长。报告期内公司累计屠宰生猪</w:t>
      </w:r>
      <w:r w:rsidRPr="00F614F9">
        <w:rPr>
          <w:rFonts w:ascii="Times New Roman" w:hAnsi="Times New Roman" w:cs="Times New Roman"/>
          <w:sz w:val="18"/>
          <w:szCs w:val="18"/>
        </w:rPr>
        <w:t>643.54</w:t>
      </w:r>
      <w:r w:rsidRPr="00F614F9">
        <w:rPr>
          <w:rFonts w:ascii="Times New Roman" w:hAnsi="Times New Roman" w:cs="Times New Roman" w:hint="eastAsia"/>
          <w:sz w:val="18"/>
          <w:szCs w:val="18"/>
        </w:rPr>
        <w:t>万头，同比增长</w:t>
      </w:r>
      <w:r w:rsidRPr="00F614F9">
        <w:rPr>
          <w:rFonts w:ascii="Times New Roman" w:hAnsi="Times New Roman" w:cs="Times New Roman"/>
          <w:sz w:val="18"/>
          <w:szCs w:val="18"/>
        </w:rPr>
        <w:t>9.19%</w:t>
      </w:r>
      <w:r w:rsidRPr="00F614F9">
        <w:rPr>
          <w:rFonts w:ascii="Times New Roman" w:hAnsi="Times New Roman" w:cs="Times New Roman" w:hint="eastAsia"/>
          <w:sz w:val="18"/>
          <w:szCs w:val="18"/>
        </w:rPr>
        <w:t>，生猪出栏量为</w:t>
      </w:r>
      <w:r w:rsidRPr="00F614F9">
        <w:rPr>
          <w:rFonts w:ascii="Times New Roman" w:hAnsi="Times New Roman" w:cs="Times New Roman"/>
          <w:sz w:val="18"/>
          <w:szCs w:val="18"/>
        </w:rPr>
        <w:t>65</w:t>
      </w:r>
      <w:r w:rsidRPr="00F614F9">
        <w:rPr>
          <w:rFonts w:ascii="Times New Roman" w:hAnsi="Times New Roman" w:cs="Times New Roman" w:hint="eastAsia"/>
          <w:sz w:val="18"/>
          <w:szCs w:val="18"/>
        </w:rPr>
        <w:t>万头，同比增长</w:t>
      </w:r>
      <w:r w:rsidRPr="00F614F9">
        <w:rPr>
          <w:rFonts w:ascii="Times New Roman" w:hAnsi="Times New Roman" w:cs="Times New Roman"/>
          <w:sz w:val="18"/>
          <w:szCs w:val="18"/>
        </w:rPr>
        <w:t>29.6%</w:t>
      </w:r>
      <w:r w:rsidRPr="00F614F9">
        <w:rPr>
          <w:rFonts w:ascii="Times New Roman" w:hAnsi="Times New Roman" w:cs="Times New Roman" w:hint="eastAsia"/>
          <w:sz w:val="18"/>
          <w:szCs w:val="18"/>
        </w:rPr>
        <w:t>。</w:t>
      </w:r>
    </w:p>
    <w:p w14:paraId="64524B84" w14:textId="77777777" w:rsidR="00872599" w:rsidRPr="00F614F9" w:rsidRDefault="00000000" w:rsidP="00C90873">
      <w:pPr>
        <w:pStyle w:val="a3"/>
        <w:spacing w:before="0" w:beforeAutospacing="0" w:after="0" w:afterAutospacing="0" w:line="276" w:lineRule="auto"/>
        <w:ind w:firstLine="360"/>
        <w:jc w:val="both"/>
        <w:divId w:val="1228997611"/>
        <w:rPr>
          <w:rFonts w:ascii="Times New Roman" w:hAnsi="Times New Roman" w:cs="Times New Roman"/>
        </w:rPr>
      </w:pPr>
      <w:r w:rsidRPr="00F614F9">
        <w:rPr>
          <w:rFonts w:ascii="Times New Roman" w:hAnsi="Times New Roman" w:cs="Times New Roman" w:hint="eastAsia"/>
          <w:sz w:val="18"/>
          <w:szCs w:val="18"/>
        </w:rPr>
        <w:t>（二）加强渠道建设，进一步完善营销网络</w:t>
      </w:r>
    </w:p>
    <w:p w14:paraId="442803B5" w14:textId="77777777" w:rsidR="00872599" w:rsidRPr="00F614F9" w:rsidRDefault="00000000" w:rsidP="00C90873">
      <w:pPr>
        <w:pStyle w:val="a3"/>
        <w:spacing w:before="0" w:beforeAutospacing="0" w:after="0" w:afterAutospacing="0" w:line="276" w:lineRule="auto"/>
        <w:ind w:firstLine="360"/>
        <w:jc w:val="both"/>
        <w:divId w:val="1228997611"/>
        <w:rPr>
          <w:rFonts w:ascii="Times New Roman" w:hAnsi="Times New Roman" w:cs="Times New Roman"/>
        </w:rPr>
      </w:pPr>
      <w:r w:rsidRPr="00F614F9">
        <w:rPr>
          <w:rFonts w:ascii="Times New Roman" w:hAnsi="Times New Roman" w:cs="Times New Roman" w:hint="eastAsia"/>
          <w:sz w:val="18"/>
          <w:szCs w:val="18"/>
        </w:rPr>
        <w:t>报告期内，公司在渠道拓展上坚持以</w:t>
      </w:r>
      <w:r w:rsidRPr="00F614F9">
        <w:rPr>
          <w:rFonts w:ascii="Times New Roman" w:hAnsi="Times New Roman" w:cs="Times New Roman"/>
          <w:sz w:val="18"/>
          <w:szCs w:val="18"/>
        </w:rPr>
        <w:t>B</w:t>
      </w:r>
      <w:r w:rsidRPr="00F614F9">
        <w:rPr>
          <w:rFonts w:ascii="Times New Roman" w:hAnsi="Times New Roman" w:cs="Times New Roman" w:hint="eastAsia"/>
          <w:sz w:val="18"/>
          <w:szCs w:val="18"/>
        </w:rPr>
        <w:t>端为主，</w:t>
      </w:r>
      <w:r w:rsidRPr="00F614F9">
        <w:rPr>
          <w:rFonts w:ascii="Times New Roman" w:hAnsi="Times New Roman" w:cs="Times New Roman"/>
          <w:sz w:val="18"/>
          <w:szCs w:val="18"/>
        </w:rPr>
        <w:t>C</w:t>
      </w:r>
      <w:r w:rsidRPr="00F614F9">
        <w:rPr>
          <w:rFonts w:ascii="Times New Roman" w:hAnsi="Times New Roman" w:cs="Times New Roman" w:hint="eastAsia"/>
          <w:sz w:val="18"/>
          <w:szCs w:val="18"/>
        </w:rPr>
        <w:t>端为辅，实现</w:t>
      </w:r>
      <w:proofErr w:type="gramStart"/>
      <w:r w:rsidRPr="00F614F9">
        <w:rPr>
          <w:rFonts w:ascii="Times New Roman" w:hAnsi="Times New Roman" w:cs="Times New Roman" w:hint="eastAsia"/>
          <w:sz w:val="18"/>
          <w:szCs w:val="18"/>
        </w:rPr>
        <w:t>全渠道</w:t>
      </w:r>
      <w:proofErr w:type="gramEnd"/>
      <w:r w:rsidRPr="00F614F9">
        <w:rPr>
          <w:rFonts w:ascii="Times New Roman" w:hAnsi="Times New Roman" w:cs="Times New Roman" w:hint="eastAsia"/>
          <w:sz w:val="18"/>
          <w:szCs w:val="18"/>
        </w:rPr>
        <w:t>覆盖的策略，持续推进织网计划，扩大经销商数量。截止</w:t>
      </w:r>
      <w:r w:rsidRPr="00F614F9">
        <w:rPr>
          <w:rFonts w:ascii="Times New Roman" w:hAnsi="Times New Roman" w:cs="Times New Roman"/>
          <w:sz w:val="18"/>
          <w:szCs w:val="18"/>
        </w:rPr>
        <w:t>2023</w:t>
      </w:r>
      <w:r w:rsidRPr="00F614F9">
        <w:rPr>
          <w:rFonts w:ascii="Times New Roman" w:hAnsi="Times New Roman" w:cs="Times New Roman" w:hint="eastAsia"/>
          <w:sz w:val="18"/>
          <w:szCs w:val="18"/>
        </w:rPr>
        <w:t>年末，公司已累计开发预制食品经销商超过</w:t>
      </w:r>
      <w:r w:rsidRPr="00F614F9">
        <w:rPr>
          <w:rFonts w:ascii="Times New Roman" w:hAnsi="Times New Roman" w:cs="Times New Roman"/>
          <w:sz w:val="18"/>
          <w:szCs w:val="18"/>
        </w:rPr>
        <w:t>1,300</w:t>
      </w:r>
      <w:r w:rsidRPr="00F614F9">
        <w:rPr>
          <w:rFonts w:ascii="Times New Roman" w:hAnsi="Times New Roman" w:cs="Times New Roman" w:hint="eastAsia"/>
          <w:sz w:val="18"/>
          <w:szCs w:val="18"/>
        </w:rPr>
        <w:t>家。在此基础上加强培育核心经销商体系，开展渠道提质工程，聚焦重点区域的空白市场，打造样板区域，推动经销商提质增效，并将经销商提质增效列入考核范围，进而实现局部市场突破。</w:t>
      </w:r>
      <w:r w:rsidRPr="00F614F9">
        <w:rPr>
          <w:rFonts w:ascii="Times New Roman" w:hAnsi="Times New Roman" w:cs="Times New Roman"/>
          <w:sz w:val="18"/>
          <w:szCs w:val="18"/>
        </w:rPr>
        <w:t>2023</w:t>
      </w:r>
      <w:r w:rsidRPr="00F614F9">
        <w:rPr>
          <w:rFonts w:ascii="Times New Roman" w:hAnsi="Times New Roman" w:cs="Times New Roman" w:hint="eastAsia"/>
          <w:sz w:val="18"/>
          <w:szCs w:val="18"/>
        </w:rPr>
        <w:t>年，预制食品流通市场山东区域全年销量同比增长</w:t>
      </w:r>
      <w:r w:rsidRPr="00F614F9">
        <w:rPr>
          <w:rFonts w:ascii="Times New Roman" w:hAnsi="Times New Roman" w:cs="Times New Roman"/>
          <w:sz w:val="18"/>
          <w:szCs w:val="18"/>
        </w:rPr>
        <w:t>38%</w:t>
      </w:r>
      <w:r w:rsidRPr="00F614F9">
        <w:rPr>
          <w:rFonts w:ascii="Times New Roman" w:hAnsi="Times New Roman" w:cs="Times New Roman" w:hint="eastAsia"/>
          <w:sz w:val="18"/>
          <w:szCs w:val="18"/>
        </w:rPr>
        <w:t>，华东、华北重点市场也实现同步增长；同时，公司同步加强线上、线下渠道的发展，在原有业务的基础上成立新零售部门，持续深耕京东、</w:t>
      </w:r>
      <w:proofErr w:type="gramStart"/>
      <w:r w:rsidRPr="00F614F9">
        <w:rPr>
          <w:rFonts w:ascii="Times New Roman" w:hAnsi="Times New Roman" w:cs="Times New Roman" w:hint="eastAsia"/>
          <w:sz w:val="18"/>
          <w:szCs w:val="18"/>
        </w:rPr>
        <w:t>抖音等</w:t>
      </w:r>
      <w:proofErr w:type="gramEnd"/>
      <w:r w:rsidRPr="00F614F9">
        <w:rPr>
          <w:rFonts w:ascii="Times New Roman" w:hAnsi="Times New Roman" w:cs="Times New Roman" w:hint="eastAsia"/>
          <w:sz w:val="18"/>
          <w:szCs w:val="18"/>
        </w:rPr>
        <w:t>优势平台业务，优化天猫、拼多多、视频号等运营模式，并依托美团、拼多多等头部平台，进一步提升线上产品销售规模。其中，公司京东平</w:t>
      </w:r>
      <w:r w:rsidRPr="00F614F9">
        <w:rPr>
          <w:rFonts w:ascii="Times New Roman" w:hAnsi="Times New Roman" w:cs="Times New Roman" w:hint="eastAsia"/>
          <w:sz w:val="18"/>
          <w:szCs w:val="18"/>
        </w:rPr>
        <w:lastRenderedPageBreak/>
        <w:t>台销售额约为</w:t>
      </w:r>
      <w:r w:rsidRPr="00F614F9">
        <w:rPr>
          <w:rFonts w:ascii="Times New Roman" w:hAnsi="Times New Roman" w:cs="Times New Roman" w:hint="eastAsia"/>
          <w:sz w:val="18"/>
          <w:szCs w:val="18"/>
        </w:rPr>
        <w:t>9</w:t>
      </w:r>
      <w:r w:rsidR="00624FD8">
        <w:rPr>
          <w:rFonts w:ascii="Times New Roman" w:hAnsi="Times New Roman" w:cs="Times New Roman" w:hint="eastAsia"/>
          <w:sz w:val="18"/>
          <w:szCs w:val="18"/>
        </w:rPr>
        <w:t>,</w:t>
      </w:r>
      <w:r w:rsidRPr="00F614F9">
        <w:rPr>
          <w:rFonts w:ascii="Times New Roman" w:hAnsi="Times New Roman" w:cs="Times New Roman" w:hint="eastAsia"/>
          <w:sz w:val="18"/>
          <w:szCs w:val="18"/>
        </w:rPr>
        <w:t>300</w:t>
      </w:r>
      <w:r w:rsidRPr="00F614F9">
        <w:rPr>
          <w:rFonts w:ascii="Times New Roman" w:hAnsi="Times New Roman" w:cs="Times New Roman" w:hint="eastAsia"/>
          <w:sz w:val="18"/>
          <w:szCs w:val="18"/>
        </w:rPr>
        <w:t>万元，较上年增长</w:t>
      </w:r>
      <w:r w:rsidRPr="00F614F9">
        <w:rPr>
          <w:rFonts w:ascii="Times New Roman" w:hAnsi="Times New Roman" w:cs="Times New Roman" w:hint="eastAsia"/>
          <w:sz w:val="18"/>
          <w:szCs w:val="18"/>
        </w:rPr>
        <w:t>6.79%</w:t>
      </w:r>
      <w:r w:rsidRPr="00F614F9">
        <w:rPr>
          <w:rFonts w:ascii="Times New Roman" w:hAnsi="Times New Roman" w:cs="Times New Roman" w:hint="eastAsia"/>
          <w:sz w:val="18"/>
          <w:szCs w:val="18"/>
        </w:rPr>
        <w:t>，</w:t>
      </w:r>
      <w:proofErr w:type="gramStart"/>
      <w:r w:rsidRPr="00F614F9">
        <w:rPr>
          <w:rFonts w:ascii="Times New Roman" w:hAnsi="Times New Roman" w:cs="Times New Roman" w:hint="eastAsia"/>
          <w:sz w:val="18"/>
          <w:szCs w:val="18"/>
        </w:rPr>
        <w:t>抖音销售</w:t>
      </w:r>
      <w:proofErr w:type="gramEnd"/>
      <w:r w:rsidRPr="00F614F9">
        <w:rPr>
          <w:rFonts w:ascii="Times New Roman" w:hAnsi="Times New Roman" w:cs="Times New Roman" w:hint="eastAsia"/>
          <w:sz w:val="18"/>
          <w:szCs w:val="18"/>
        </w:rPr>
        <w:t>约</w:t>
      </w:r>
      <w:r w:rsidRPr="00F614F9">
        <w:rPr>
          <w:rFonts w:ascii="Times New Roman" w:hAnsi="Times New Roman" w:cs="Times New Roman" w:hint="eastAsia"/>
          <w:sz w:val="18"/>
          <w:szCs w:val="18"/>
        </w:rPr>
        <w:t>2</w:t>
      </w:r>
      <w:r w:rsidR="00624FD8">
        <w:rPr>
          <w:rFonts w:ascii="Times New Roman" w:hAnsi="Times New Roman" w:cs="Times New Roman" w:hint="eastAsia"/>
          <w:sz w:val="18"/>
          <w:szCs w:val="18"/>
        </w:rPr>
        <w:t>,</w:t>
      </w:r>
      <w:r w:rsidRPr="00F614F9">
        <w:rPr>
          <w:rFonts w:ascii="Times New Roman" w:hAnsi="Times New Roman" w:cs="Times New Roman" w:hint="eastAsia"/>
          <w:sz w:val="18"/>
          <w:szCs w:val="18"/>
        </w:rPr>
        <w:t>000</w:t>
      </w:r>
      <w:r w:rsidRPr="00F614F9">
        <w:rPr>
          <w:rFonts w:ascii="Times New Roman" w:hAnsi="Times New Roman" w:cs="Times New Roman" w:hint="eastAsia"/>
          <w:sz w:val="18"/>
          <w:szCs w:val="18"/>
        </w:rPr>
        <w:t>万元，较上年增长</w:t>
      </w:r>
      <w:r w:rsidRPr="00F614F9">
        <w:rPr>
          <w:rFonts w:ascii="Times New Roman" w:hAnsi="Times New Roman" w:cs="Times New Roman" w:hint="eastAsia"/>
          <w:sz w:val="18"/>
          <w:szCs w:val="18"/>
        </w:rPr>
        <w:t>319.93%</w:t>
      </w:r>
      <w:r w:rsidRPr="00F614F9">
        <w:rPr>
          <w:rFonts w:ascii="Times New Roman" w:hAnsi="Times New Roman" w:cs="Times New Roman" w:hint="eastAsia"/>
          <w:sz w:val="18"/>
          <w:szCs w:val="18"/>
        </w:rPr>
        <w:t>；拼多多销售约</w:t>
      </w:r>
      <w:r w:rsidRPr="00F614F9">
        <w:rPr>
          <w:rFonts w:ascii="Times New Roman" w:hAnsi="Times New Roman" w:cs="Times New Roman" w:hint="eastAsia"/>
          <w:sz w:val="18"/>
          <w:szCs w:val="18"/>
        </w:rPr>
        <w:t>1</w:t>
      </w:r>
      <w:r w:rsidR="00624FD8">
        <w:rPr>
          <w:rFonts w:ascii="Times New Roman" w:hAnsi="Times New Roman" w:cs="Times New Roman" w:hint="eastAsia"/>
          <w:sz w:val="18"/>
          <w:szCs w:val="18"/>
        </w:rPr>
        <w:t>,</w:t>
      </w:r>
      <w:r w:rsidRPr="00F614F9">
        <w:rPr>
          <w:rFonts w:ascii="Times New Roman" w:hAnsi="Times New Roman" w:cs="Times New Roman" w:hint="eastAsia"/>
          <w:sz w:val="18"/>
          <w:szCs w:val="18"/>
        </w:rPr>
        <w:t>600</w:t>
      </w:r>
      <w:r w:rsidRPr="00F614F9">
        <w:rPr>
          <w:rFonts w:ascii="Times New Roman" w:hAnsi="Times New Roman" w:cs="Times New Roman" w:hint="eastAsia"/>
          <w:sz w:val="18"/>
          <w:szCs w:val="18"/>
        </w:rPr>
        <w:t>万元，较上年增长</w:t>
      </w:r>
      <w:r w:rsidRPr="00F614F9">
        <w:rPr>
          <w:rFonts w:ascii="Times New Roman" w:hAnsi="Times New Roman" w:cs="Times New Roman" w:hint="eastAsia"/>
          <w:sz w:val="18"/>
          <w:szCs w:val="18"/>
        </w:rPr>
        <w:t>81.33%</w:t>
      </w:r>
      <w:r w:rsidRPr="00F614F9">
        <w:rPr>
          <w:rFonts w:ascii="Times New Roman" w:hAnsi="Times New Roman" w:cs="Times New Roman" w:hint="eastAsia"/>
          <w:sz w:val="18"/>
          <w:szCs w:val="18"/>
        </w:rPr>
        <w:t>。</w:t>
      </w:r>
      <w:r w:rsidRPr="00F614F9">
        <w:rPr>
          <w:rFonts w:ascii="Times New Roman" w:hAnsi="Times New Roman" w:cs="Times New Roman" w:hint="eastAsia"/>
          <w:sz w:val="18"/>
          <w:szCs w:val="18"/>
        </w:rPr>
        <w:t> </w:t>
      </w:r>
    </w:p>
    <w:p w14:paraId="4E232127" w14:textId="77777777" w:rsidR="00872599" w:rsidRPr="00F614F9" w:rsidRDefault="00000000">
      <w:pPr>
        <w:pStyle w:val="a3"/>
        <w:spacing w:before="0" w:beforeAutospacing="0" w:after="0" w:afterAutospacing="0" w:line="276" w:lineRule="auto"/>
        <w:ind w:firstLine="360"/>
        <w:jc w:val="both"/>
        <w:divId w:val="1228997611"/>
        <w:rPr>
          <w:rFonts w:ascii="Times New Roman" w:hAnsi="Times New Roman" w:cs="Times New Roman"/>
        </w:rPr>
      </w:pPr>
      <w:r w:rsidRPr="00F614F9">
        <w:rPr>
          <w:rFonts w:ascii="Times New Roman" w:hAnsi="Times New Roman" w:cs="Times New Roman" w:hint="eastAsia"/>
          <w:sz w:val="18"/>
          <w:szCs w:val="18"/>
        </w:rPr>
        <w:t>（三）加大新品研发，推进大单品战略</w:t>
      </w:r>
    </w:p>
    <w:p w14:paraId="34BBAC50" w14:textId="77777777" w:rsidR="00872599" w:rsidRPr="00F614F9" w:rsidRDefault="00000000">
      <w:pPr>
        <w:pStyle w:val="a3"/>
        <w:spacing w:before="0" w:beforeAutospacing="0" w:after="0" w:afterAutospacing="0" w:line="276" w:lineRule="auto"/>
        <w:ind w:firstLine="360"/>
        <w:jc w:val="both"/>
        <w:divId w:val="1228997611"/>
        <w:rPr>
          <w:rFonts w:ascii="Times New Roman" w:hAnsi="Times New Roman" w:cs="Times New Roman"/>
        </w:rPr>
      </w:pPr>
      <w:r w:rsidRPr="00F614F9">
        <w:rPr>
          <w:rFonts w:ascii="Times New Roman" w:hAnsi="Times New Roman" w:cs="Times New Roman" w:hint="eastAsia"/>
          <w:sz w:val="18"/>
          <w:szCs w:val="18"/>
        </w:rPr>
        <w:t>报告期内，公司持续加大研发投入，通过与当地客户的深入沟通和后续服务，迅速把握市场需求并密切跟进变化，以消费者需求为导向，积极研发新产品；</w:t>
      </w:r>
      <w:r w:rsidRPr="00F614F9">
        <w:rPr>
          <w:rFonts w:ascii="Times New Roman" w:hAnsi="Times New Roman" w:cs="Times New Roman"/>
          <w:sz w:val="18"/>
          <w:szCs w:val="18"/>
        </w:rPr>
        <w:t xml:space="preserve"> 2023</w:t>
      </w:r>
      <w:r w:rsidRPr="00F614F9">
        <w:rPr>
          <w:rFonts w:ascii="Times New Roman" w:hAnsi="Times New Roman" w:cs="Times New Roman" w:hint="eastAsia"/>
          <w:sz w:val="18"/>
          <w:szCs w:val="18"/>
        </w:rPr>
        <w:t>年，公司累计开发上市新产品</w:t>
      </w:r>
      <w:r w:rsidRPr="00F614F9">
        <w:rPr>
          <w:rFonts w:ascii="Times New Roman" w:hAnsi="Times New Roman" w:cs="Times New Roman"/>
          <w:sz w:val="18"/>
          <w:szCs w:val="18"/>
        </w:rPr>
        <w:t>113</w:t>
      </w:r>
      <w:r w:rsidRPr="00F614F9">
        <w:rPr>
          <w:rFonts w:ascii="Times New Roman" w:hAnsi="Times New Roman" w:cs="Times New Roman" w:hint="eastAsia"/>
          <w:sz w:val="18"/>
          <w:szCs w:val="18"/>
        </w:rPr>
        <w:t>款，包括客户定制以及预制菜系列、高低温及新零售产品等，实现销售额约</w:t>
      </w:r>
      <w:r w:rsidRPr="00F614F9">
        <w:rPr>
          <w:rFonts w:ascii="Times New Roman" w:hAnsi="Times New Roman" w:cs="Times New Roman"/>
          <w:sz w:val="18"/>
          <w:szCs w:val="18"/>
        </w:rPr>
        <w:t>4.4</w:t>
      </w:r>
      <w:r w:rsidRPr="00F614F9">
        <w:rPr>
          <w:rFonts w:ascii="Times New Roman" w:hAnsi="Times New Roman" w:cs="Times New Roman" w:hint="eastAsia"/>
          <w:sz w:val="18"/>
          <w:szCs w:val="18"/>
        </w:rPr>
        <w:t>亿元。其中销售额上千万新品共</w:t>
      </w:r>
      <w:r w:rsidRPr="00F614F9">
        <w:rPr>
          <w:rFonts w:ascii="Times New Roman" w:hAnsi="Times New Roman" w:cs="Times New Roman"/>
          <w:sz w:val="18"/>
          <w:szCs w:val="18"/>
        </w:rPr>
        <w:t>7</w:t>
      </w:r>
      <w:r w:rsidRPr="00F614F9">
        <w:rPr>
          <w:rFonts w:ascii="Times New Roman" w:hAnsi="Times New Roman" w:cs="Times New Roman" w:hint="eastAsia"/>
          <w:sz w:val="18"/>
          <w:szCs w:val="18"/>
        </w:rPr>
        <w:t>款，百万级新品</w:t>
      </w:r>
      <w:r w:rsidRPr="00F614F9">
        <w:rPr>
          <w:rFonts w:ascii="Times New Roman" w:hAnsi="Times New Roman" w:cs="Times New Roman"/>
          <w:sz w:val="18"/>
          <w:szCs w:val="18"/>
        </w:rPr>
        <w:t>46</w:t>
      </w:r>
      <w:r w:rsidRPr="00F614F9">
        <w:rPr>
          <w:rFonts w:ascii="Times New Roman" w:hAnsi="Times New Roman" w:cs="Times New Roman" w:hint="eastAsia"/>
          <w:sz w:val="18"/>
          <w:szCs w:val="18"/>
        </w:rPr>
        <w:t>款。同时公司围绕肥肠类、酥肉类、培根类、烤肠类、丸子类的产品矩阵，持续推进大单品战略，打造公司核心产品。</w:t>
      </w:r>
      <w:r w:rsidRPr="00F614F9">
        <w:rPr>
          <w:rFonts w:ascii="Times New Roman" w:hAnsi="Times New Roman" w:cs="Times New Roman"/>
          <w:sz w:val="18"/>
          <w:szCs w:val="18"/>
        </w:rPr>
        <w:t>2023</w:t>
      </w:r>
      <w:r w:rsidRPr="00F614F9">
        <w:rPr>
          <w:rFonts w:ascii="Times New Roman" w:hAnsi="Times New Roman" w:cs="Times New Roman" w:hint="eastAsia"/>
          <w:sz w:val="18"/>
          <w:szCs w:val="18"/>
        </w:rPr>
        <w:t>年，公司肥肠类产品销售收入已突破</w:t>
      </w:r>
      <w:r w:rsidRPr="00F614F9">
        <w:rPr>
          <w:rFonts w:ascii="Times New Roman" w:hAnsi="Times New Roman" w:cs="Times New Roman"/>
          <w:sz w:val="18"/>
          <w:szCs w:val="18"/>
        </w:rPr>
        <w:t>3</w:t>
      </w:r>
      <w:r w:rsidRPr="00F614F9">
        <w:rPr>
          <w:rFonts w:ascii="Times New Roman" w:hAnsi="Times New Roman" w:cs="Times New Roman" w:hint="eastAsia"/>
          <w:sz w:val="18"/>
          <w:szCs w:val="18"/>
        </w:rPr>
        <w:t>亿元，烤肠类产品突破</w:t>
      </w:r>
      <w:r w:rsidRPr="00F614F9">
        <w:rPr>
          <w:rFonts w:ascii="Times New Roman" w:hAnsi="Times New Roman" w:cs="Times New Roman"/>
          <w:sz w:val="18"/>
          <w:szCs w:val="18"/>
        </w:rPr>
        <w:t>1</w:t>
      </w:r>
      <w:r w:rsidRPr="00F614F9">
        <w:rPr>
          <w:rFonts w:ascii="Times New Roman" w:hAnsi="Times New Roman" w:cs="Times New Roman" w:hint="eastAsia"/>
          <w:sz w:val="18"/>
          <w:szCs w:val="18"/>
        </w:rPr>
        <w:t>亿元，酥肉、培根类产品也已拥有上亿级体量。</w:t>
      </w:r>
    </w:p>
    <w:p w14:paraId="1ECE360E" w14:textId="77777777" w:rsidR="00872599" w:rsidRPr="00F614F9" w:rsidRDefault="00000000">
      <w:pPr>
        <w:pStyle w:val="a3"/>
        <w:spacing w:before="0" w:beforeAutospacing="0" w:after="0" w:afterAutospacing="0" w:line="276" w:lineRule="auto"/>
        <w:ind w:firstLine="360"/>
        <w:jc w:val="both"/>
        <w:divId w:val="1228997611"/>
        <w:rPr>
          <w:rFonts w:ascii="Times New Roman" w:hAnsi="Times New Roman" w:cs="Times New Roman"/>
        </w:rPr>
      </w:pPr>
      <w:r w:rsidRPr="00F614F9">
        <w:rPr>
          <w:rFonts w:ascii="Times New Roman" w:hAnsi="Times New Roman" w:cs="Times New Roman" w:hint="eastAsia"/>
          <w:sz w:val="18"/>
          <w:szCs w:val="18"/>
        </w:rPr>
        <w:t>（四）依托产能布局，持续优化专业服务，助力大客户业务增长</w:t>
      </w:r>
    </w:p>
    <w:p w14:paraId="67FC8B61" w14:textId="77777777" w:rsidR="00872599" w:rsidRPr="00F614F9" w:rsidRDefault="00000000">
      <w:pPr>
        <w:pStyle w:val="a3"/>
        <w:spacing w:before="0" w:beforeAutospacing="0" w:after="0" w:afterAutospacing="0" w:line="276" w:lineRule="auto"/>
        <w:ind w:firstLine="360"/>
        <w:jc w:val="both"/>
        <w:divId w:val="1228997611"/>
        <w:rPr>
          <w:rFonts w:ascii="Times New Roman" w:hAnsi="Times New Roman" w:cs="Times New Roman"/>
        </w:rPr>
      </w:pPr>
      <w:r w:rsidRPr="00F614F9">
        <w:rPr>
          <w:rFonts w:ascii="Times New Roman" w:hAnsi="Times New Roman" w:cs="Times New Roman" w:hint="eastAsia"/>
          <w:sz w:val="18"/>
          <w:szCs w:val="18"/>
        </w:rPr>
        <w:t>报告期内，公司全资子公司巴中龙大肉食品有限公司“年屠宰</w:t>
      </w:r>
      <w:r w:rsidRPr="00F614F9">
        <w:rPr>
          <w:rFonts w:ascii="Times New Roman" w:hAnsi="Times New Roman" w:cs="Times New Roman"/>
          <w:sz w:val="18"/>
          <w:szCs w:val="18"/>
        </w:rPr>
        <w:t>100</w:t>
      </w:r>
      <w:r w:rsidRPr="00F614F9">
        <w:rPr>
          <w:rFonts w:ascii="Times New Roman" w:hAnsi="Times New Roman" w:cs="Times New Roman" w:hint="eastAsia"/>
          <w:sz w:val="18"/>
          <w:szCs w:val="18"/>
        </w:rPr>
        <w:t>万头生猪屠宰项目”在巴中市恩阳食品工业园正式开业。至此，公司以山东、上海、四川国内领先的食品研发中心为基础，以覆盖东北、华东、华北、西南、华中、华南等区域的产能布局为支撑打造的全国化的食品生产网络体系和生产基地基本完成。同时，在此基础上，公司对重点客户成立了专业研发小组，持续做好跟踪服务，通过组织大客户专项会议，从客户资料、原料采购、价格制订、</w:t>
      </w:r>
      <w:proofErr w:type="gramStart"/>
      <w:r w:rsidRPr="00F614F9">
        <w:rPr>
          <w:rFonts w:ascii="Times New Roman" w:hAnsi="Times New Roman" w:cs="Times New Roman" w:hint="eastAsia"/>
          <w:sz w:val="18"/>
          <w:szCs w:val="18"/>
        </w:rPr>
        <w:t>产线布局</w:t>
      </w:r>
      <w:proofErr w:type="gramEnd"/>
      <w:r w:rsidRPr="00F614F9">
        <w:rPr>
          <w:rFonts w:ascii="Times New Roman" w:hAnsi="Times New Roman" w:cs="Times New Roman" w:hint="eastAsia"/>
          <w:sz w:val="18"/>
          <w:szCs w:val="18"/>
        </w:rPr>
        <w:t>全链条优化大客户合作，重点对</w:t>
      </w:r>
      <w:r w:rsidRPr="00F614F9">
        <w:rPr>
          <w:rFonts w:ascii="Times New Roman" w:hAnsi="Times New Roman" w:cs="Times New Roman"/>
          <w:sz w:val="18"/>
          <w:szCs w:val="18"/>
        </w:rPr>
        <w:t>5S</w:t>
      </w:r>
      <w:r w:rsidRPr="00F614F9">
        <w:rPr>
          <w:rFonts w:ascii="Times New Roman" w:hAnsi="Times New Roman" w:cs="Times New Roman" w:hint="eastAsia"/>
          <w:sz w:val="18"/>
          <w:szCs w:val="18"/>
        </w:rPr>
        <w:t>级客户量身打造定制化服务，快速响应大客户需求，不断升级大客户产品结构，以日益完善的产能布局和专业服务，进一步夯实了行业壁垒。</w:t>
      </w:r>
      <w:r w:rsidRPr="00F614F9">
        <w:rPr>
          <w:rFonts w:ascii="Times New Roman" w:hAnsi="Times New Roman" w:cs="Times New Roman"/>
          <w:sz w:val="18"/>
          <w:szCs w:val="18"/>
        </w:rPr>
        <w:t>2023</w:t>
      </w:r>
      <w:r w:rsidRPr="00F614F9">
        <w:rPr>
          <w:rFonts w:ascii="Times New Roman" w:hAnsi="Times New Roman" w:cs="Times New Roman" w:hint="eastAsia"/>
          <w:sz w:val="18"/>
          <w:szCs w:val="18"/>
        </w:rPr>
        <w:t>年，公司实现了大客户业务的持续增长。</w:t>
      </w:r>
    </w:p>
    <w:p w14:paraId="5E7BEF57" w14:textId="77777777" w:rsidR="00872599" w:rsidRPr="00F614F9" w:rsidRDefault="00000000">
      <w:pPr>
        <w:pStyle w:val="a3"/>
        <w:spacing w:before="0" w:beforeAutospacing="0" w:after="0" w:afterAutospacing="0" w:line="276" w:lineRule="auto"/>
        <w:ind w:firstLine="360"/>
        <w:jc w:val="both"/>
        <w:divId w:val="1228997611"/>
        <w:rPr>
          <w:rFonts w:ascii="Times New Roman" w:hAnsi="Times New Roman" w:cs="Times New Roman"/>
        </w:rPr>
      </w:pPr>
      <w:r w:rsidRPr="00F614F9">
        <w:rPr>
          <w:rFonts w:ascii="Times New Roman" w:hAnsi="Times New Roman" w:cs="Times New Roman" w:hint="eastAsia"/>
          <w:sz w:val="18"/>
          <w:szCs w:val="18"/>
        </w:rPr>
        <w:t>（五）推进品牌战略，提升行业知名度</w:t>
      </w:r>
    </w:p>
    <w:p w14:paraId="5399B40C" w14:textId="77777777" w:rsidR="00872599" w:rsidRPr="00F614F9" w:rsidRDefault="00000000">
      <w:pPr>
        <w:pStyle w:val="a3"/>
        <w:spacing w:before="0" w:beforeAutospacing="0" w:after="0" w:afterAutospacing="0" w:line="276" w:lineRule="auto"/>
        <w:ind w:firstLine="360"/>
        <w:jc w:val="both"/>
        <w:divId w:val="1228997611"/>
        <w:rPr>
          <w:rFonts w:ascii="Times New Roman" w:hAnsi="Times New Roman" w:cs="Times New Roman"/>
        </w:rPr>
      </w:pPr>
      <w:r w:rsidRPr="00F614F9">
        <w:rPr>
          <w:rFonts w:ascii="Times New Roman" w:hAnsi="Times New Roman" w:cs="Times New Roman" w:hint="eastAsia"/>
          <w:sz w:val="18"/>
          <w:szCs w:val="18"/>
        </w:rPr>
        <w:t>报告期内，公司坚持企业品牌“龙大美食”和产品品牌“龙大肉食”</w:t>
      </w:r>
      <w:proofErr w:type="gramStart"/>
      <w:r w:rsidRPr="00F614F9">
        <w:rPr>
          <w:rFonts w:ascii="Times New Roman" w:hAnsi="Times New Roman" w:cs="Times New Roman" w:hint="eastAsia"/>
          <w:sz w:val="18"/>
          <w:szCs w:val="18"/>
        </w:rPr>
        <w:t>双品牌</w:t>
      </w:r>
      <w:proofErr w:type="gramEnd"/>
      <w:r w:rsidRPr="00F614F9">
        <w:rPr>
          <w:rFonts w:ascii="Times New Roman" w:hAnsi="Times New Roman" w:cs="Times New Roman" w:hint="eastAsia"/>
          <w:sz w:val="18"/>
          <w:szCs w:val="18"/>
        </w:rPr>
        <w:t>战略，积极参加各类专业展会、产业论坛、行业调研等活动，通过展示和交流，积极推进公司品牌价值的传播。同时结合网络宣传特点，加强对公司官网、公众号、直播平台的维护，通过发布优质文章和短视频以及视频直播等方式，使得公司在关注度和流量上取得了较大的提升，增加了公司品牌曝光度，提升了行业知名度。同时公司在预制</w:t>
      </w:r>
      <w:proofErr w:type="gramStart"/>
      <w:r w:rsidRPr="00F614F9">
        <w:rPr>
          <w:rFonts w:ascii="Times New Roman" w:hAnsi="Times New Roman" w:cs="Times New Roman" w:hint="eastAsia"/>
          <w:sz w:val="18"/>
          <w:szCs w:val="18"/>
        </w:rPr>
        <w:t>菜行业</w:t>
      </w:r>
      <w:proofErr w:type="gramEnd"/>
      <w:r w:rsidRPr="00F614F9">
        <w:rPr>
          <w:rFonts w:ascii="Times New Roman" w:hAnsi="Times New Roman" w:cs="Times New Roman" w:hint="eastAsia"/>
          <w:sz w:val="18"/>
          <w:szCs w:val="18"/>
        </w:rPr>
        <w:t>深耕细作，不断创新产品和服务，也获得了行业的认可。</w:t>
      </w:r>
      <w:r w:rsidRPr="00F614F9">
        <w:rPr>
          <w:rFonts w:ascii="Times New Roman" w:hAnsi="Times New Roman" w:cs="Times New Roman"/>
          <w:sz w:val="18"/>
          <w:szCs w:val="18"/>
        </w:rPr>
        <w:t>2023</w:t>
      </w:r>
      <w:r w:rsidRPr="00F614F9">
        <w:rPr>
          <w:rFonts w:ascii="Times New Roman" w:hAnsi="Times New Roman" w:cs="Times New Roman" w:hint="eastAsia"/>
          <w:sz w:val="18"/>
          <w:szCs w:val="18"/>
        </w:rPr>
        <w:t>年，公司参与国内首个预制</w:t>
      </w:r>
      <w:proofErr w:type="gramStart"/>
      <w:r w:rsidRPr="00F614F9">
        <w:rPr>
          <w:rFonts w:ascii="Times New Roman" w:hAnsi="Times New Roman" w:cs="Times New Roman" w:hint="eastAsia"/>
          <w:sz w:val="18"/>
          <w:szCs w:val="18"/>
        </w:rPr>
        <w:t>菜团体</w:t>
      </w:r>
      <w:proofErr w:type="gramEnd"/>
      <w:r w:rsidRPr="00F614F9">
        <w:rPr>
          <w:rFonts w:ascii="Times New Roman" w:hAnsi="Times New Roman" w:cs="Times New Roman" w:hint="eastAsia"/>
          <w:sz w:val="18"/>
          <w:szCs w:val="18"/>
        </w:rPr>
        <w:t>标准制订，并在《上海预制菜复原率臻味榜》取得</w:t>
      </w:r>
      <w:proofErr w:type="gramStart"/>
      <w:r w:rsidRPr="00F614F9">
        <w:rPr>
          <w:rFonts w:ascii="Times New Roman" w:hAnsi="Times New Roman" w:cs="Times New Roman" w:hint="eastAsia"/>
          <w:sz w:val="18"/>
          <w:szCs w:val="18"/>
        </w:rPr>
        <w:t>一</w:t>
      </w:r>
      <w:proofErr w:type="gramEnd"/>
      <w:r w:rsidRPr="00F614F9">
        <w:rPr>
          <w:rFonts w:ascii="Times New Roman" w:hAnsi="Times New Roman" w:cs="Times New Roman" w:hint="eastAsia"/>
          <w:sz w:val="18"/>
          <w:szCs w:val="18"/>
        </w:rPr>
        <w:t>金</w:t>
      </w:r>
      <w:proofErr w:type="gramStart"/>
      <w:r w:rsidRPr="00F614F9">
        <w:rPr>
          <w:rFonts w:ascii="Times New Roman" w:hAnsi="Times New Roman" w:cs="Times New Roman" w:hint="eastAsia"/>
          <w:sz w:val="18"/>
          <w:szCs w:val="18"/>
        </w:rPr>
        <w:t>一</w:t>
      </w:r>
      <w:proofErr w:type="gramEnd"/>
      <w:r w:rsidRPr="00F614F9">
        <w:rPr>
          <w:rFonts w:ascii="Times New Roman" w:hAnsi="Times New Roman" w:cs="Times New Roman" w:hint="eastAsia"/>
          <w:sz w:val="18"/>
          <w:szCs w:val="18"/>
        </w:rPr>
        <w:t>银成绩。</w:t>
      </w:r>
      <w:r w:rsidRPr="00F614F9">
        <w:rPr>
          <w:rFonts w:ascii="Times New Roman" w:hAnsi="Times New Roman" w:cs="Times New Roman"/>
          <w:sz w:val="18"/>
          <w:szCs w:val="18"/>
        </w:rPr>
        <w:t xml:space="preserve"> </w:t>
      </w:r>
      <w:r w:rsidRPr="00F614F9">
        <w:rPr>
          <w:rFonts w:ascii="Times New Roman" w:hAnsi="Times New Roman" w:cs="Times New Roman" w:hint="eastAsia"/>
          <w:sz w:val="18"/>
          <w:szCs w:val="18"/>
        </w:rPr>
        <w:t>此外，公司还陆续获得“</w:t>
      </w:r>
      <w:r w:rsidRPr="00F614F9">
        <w:rPr>
          <w:rFonts w:ascii="Times New Roman" w:hAnsi="Times New Roman" w:cs="Times New Roman"/>
          <w:sz w:val="18"/>
          <w:szCs w:val="18"/>
        </w:rPr>
        <w:t>2023</w:t>
      </w:r>
      <w:r w:rsidRPr="00F614F9">
        <w:rPr>
          <w:rFonts w:ascii="Times New Roman" w:hAnsi="Times New Roman" w:cs="Times New Roman" w:hint="eastAsia"/>
          <w:sz w:val="18"/>
          <w:szCs w:val="18"/>
        </w:rPr>
        <w:t>中国农业企业</w:t>
      </w:r>
      <w:r w:rsidRPr="00F614F9">
        <w:rPr>
          <w:rFonts w:ascii="Times New Roman" w:hAnsi="Times New Roman" w:cs="Times New Roman"/>
          <w:sz w:val="18"/>
          <w:szCs w:val="18"/>
        </w:rPr>
        <w:t>500</w:t>
      </w:r>
      <w:r w:rsidRPr="00F614F9">
        <w:rPr>
          <w:rFonts w:ascii="Times New Roman" w:hAnsi="Times New Roman" w:cs="Times New Roman" w:hint="eastAsia"/>
          <w:sz w:val="18"/>
          <w:szCs w:val="18"/>
        </w:rPr>
        <w:t>强”“</w:t>
      </w:r>
      <w:r w:rsidRPr="00F614F9">
        <w:rPr>
          <w:rFonts w:ascii="Times New Roman" w:hAnsi="Times New Roman" w:cs="Times New Roman"/>
          <w:sz w:val="18"/>
          <w:szCs w:val="18"/>
        </w:rPr>
        <w:t>2023</w:t>
      </w:r>
      <w:r w:rsidRPr="00F614F9">
        <w:rPr>
          <w:rFonts w:ascii="Times New Roman" w:hAnsi="Times New Roman" w:cs="Times New Roman" w:hint="eastAsia"/>
          <w:sz w:val="18"/>
          <w:szCs w:val="18"/>
        </w:rPr>
        <w:t>中国制造业民营企业</w:t>
      </w:r>
      <w:r w:rsidRPr="00F614F9">
        <w:rPr>
          <w:rFonts w:ascii="Times New Roman" w:hAnsi="Times New Roman" w:cs="Times New Roman"/>
          <w:sz w:val="18"/>
          <w:szCs w:val="18"/>
        </w:rPr>
        <w:t>500</w:t>
      </w:r>
      <w:r w:rsidRPr="00F614F9">
        <w:rPr>
          <w:rFonts w:ascii="Times New Roman" w:hAnsi="Times New Roman" w:cs="Times New Roman" w:hint="eastAsia"/>
          <w:sz w:val="18"/>
          <w:szCs w:val="18"/>
        </w:rPr>
        <w:t>强”“</w:t>
      </w:r>
      <w:r w:rsidRPr="00F614F9">
        <w:rPr>
          <w:rFonts w:ascii="Times New Roman" w:hAnsi="Times New Roman" w:cs="Times New Roman"/>
          <w:sz w:val="18"/>
          <w:szCs w:val="18"/>
        </w:rPr>
        <w:t>2022</w:t>
      </w:r>
      <w:r w:rsidRPr="00F614F9">
        <w:rPr>
          <w:rFonts w:ascii="Times New Roman" w:hAnsi="Times New Roman" w:cs="Times New Roman" w:hint="eastAsia"/>
          <w:sz w:val="18"/>
          <w:szCs w:val="18"/>
        </w:rPr>
        <w:t>胡润中国食品行业百强榜”“</w:t>
      </w:r>
      <w:r w:rsidRPr="00F614F9">
        <w:rPr>
          <w:rFonts w:ascii="Times New Roman" w:hAnsi="Times New Roman" w:cs="Times New Roman"/>
          <w:sz w:val="18"/>
          <w:szCs w:val="18"/>
        </w:rPr>
        <w:t>2023</w:t>
      </w:r>
      <w:r w:rsidRPr="00F614F9">
        <w:rPr>
          <w:rFonts w:ascii="Times New Roman" w:hAnsi="Times New Roman" w:cs="Times New Roman" w:hint="eastAsia"/>
          <w:sz w:val="18"/>
          <w:szCs w:val="18"/>
        </w:rPr>
        <w:t>中国肉类食品行业先进企业”“全国畜禽屠宰质量标准创新中心全产业链健康肉试验示范基地”“中国肉类食品安全信用体系建设示范企业”等多项荣誉，公司品牌影响力进一步提升。</w:t>
      </w:r>
    </w:p>
    <w:p w14:paraId="4A9D0939" w14:textId="77777777" w:rsidR="00872599" w:rsidRPr="00F614F9" w:rsidRDefault="00000000">
      <w:pPr>
        <w:pStyle w:val="a3"/>
        <w:spacing w:before="0" w:beforeAutospacing="0" w:after="0" w:afterAutospacing="0" w:line="276" w:lineRule="auto"/>
        <w:ind w:firstLine="360"/>
        <w:jc w:val="both"/>
        <w:divId w:val="1228997611"/>
        <w:rPr>
          <w:rFonts w:ascii="Times New Roman" w:hAnsi="Times New Roman" w:cs="Times New Roman"/>
        </w:rPr>
      </w:pPr>
      <w:r w:rsidRPr="00F614F9">
        <w:rPr>
          <w:rFonts w:ascii="Times New Roman" w:hAnsi="Times New Roman" w:cs="Times New Roman" w:hint="eastAsia"/>
          <w:sz w:val="18"/>
          <w:szCs w:val="18"/>
        </w:rPr>
        <w:t>（六）持续实施股份回购，增强投资者信心</w:t>
      </w:r>
    </w:p>
    <w:p w14:paraId="0577B9E2" w14:textId="77777777" w:rsidR="00872599" w:rsidRPr="00F614F9" w:rsidRDefault="00000000">
      <w:pPr>
        <w:pStyle w:val="a3"/>
        <w:spacing w:before="0" w:beforeAutospacing="0" w:after="0" w:afterAutospacing="0" w:line="276" w:lineRule="auto"/>
        <w:ind w:firstLine="360"/>
        <w:jc w:val="both"/>
        <w:divId w:val="1228997611"/>
        <w:rPr>
          <w:rFonts w:ascii="Times New Roman" w:hAnsi="Times New Roman" w:cs="Times New Roman"/>
        </w:rPr>
      </w:pPr>
      <w:r w:rsidRPr="00F614F9">
        <w:rPr>
          <w:rFonts w:ascii="Times New Roman" w:hAnsi="Times New Roman" w:cs="Times New Roman" w:hint="eastAsia"/>
          <w:sz w:val="18"/>
          <w:szCs w:val="18"/>
        </w:rPr>
        <w:t>报告期内，公司基于对未来发展的信心及对自身价值的高度认可，为促进公司健康稳定长远发展，维护广大股东利益，增强投资者对公司的信心，同时为建立和完善公司长效激励机制，为后期实施员工持股计划或者股权激励</w:t>
      </w:r>
      <w:r w:rsidRPr="00F614F9">
        <w:rPr>
          <w:rFonts w:ascii="Times New Roman" w:hAnsi="Times New Roman" w:cs="Times New Roman"/>
          <w:sz w:val="18"/>
          <w:szCs w:val="18"/>
        </w:rPr>
        <w:t xml:space="preserve"> </w:t>
      </w:r>
      <w:r w:rsidRPr="00F614F9">
        <w:rPr>
          <w:rFonts w:ascii="Times New Roman" w:hAnsi="Times New Roman" w:cs="Times New Roman" w:hint="eastAsia"/>
          <w:sz w:val="18"/>
          <w:szCs w:val="18"/>
        </w:rPr>
        <w:t>，持续推进公司股份回购计划，并于</w:t>
      </w:r>
      <w:r w:rsidRPr="00F614F9">
        <w:rPr>
          <w:rFonts w:ascii="Times New Roman" w:hAnsi="Times New Roman" w:cs="Times New Roman"/>
          <w:sz w:val="18"/>
          <w:szCs w:val="18"/>
        </w:rPr>
        <w:t>2023</w:t>
      </w:r>
      <w:r w:rsidRPr="00F614F9">
        <w:rPr>
          <w:rFonts w:ascii="Times New Roman" w:hAnsi="Times New Roman" w:cs="Times New Roman" w:hint="eastAsia"/>
          <w:sz w:val="18"/>
          <w:szCs w:val="18"/>
        </w:rPr>
        <w:t>年</w:t>
      </w:r>
      <w:r w:rsidRPr="00F614F9">
        <w:rPr>
          <w:rFonts w:ascii="Times New Roman" w:hAnsi="Times New Roman" w:cs="Times New Roman"/>
          <w:sz w:val="18"/>
          <w:szCs w:val="18"/>
        </w:rPr>
        <w:t>11</w:t>
      </w:r>
      <w:r w:rsidRPr="00F614F9">
        <w:rPr>
          <w:rFonts w:ascii="Times New Roman" w:hAnsi="Times New Roman" w:cs="Times New Roman" w:hint="eastAsia"/>
          <w:sz w:val="18"/>
          <w:szCs w:val="18"/>
        </w:rPr>
        <w:t>月</w:t>
      </w:r>
      <w:r w:rsidRPr="00F614F9">
        <w:rPr>
          <w:rFonts w:ascii="Times New Roman" w:hAnsi="Times New Roman" w:cs="Times New Roman"/>
          <w:sz w:val="18"/>
          <w:szCs w:val="18"/>
        </w:rPr>
        <w:t>13</w:t>
      </w:r>
      <w:r w:rsidRPr="00F614F9">
        <w:rPr>
          <w:rFonts w:ascii="Times New Roman" w:hAnsi="Times New Roman" w:cs="Times New Roman" w:hint="eastAsia"/>
          <w:sz w:val="18"/>
          <w:szCs w:val="18"/>
        </w:rPr>
        <w:t>日实施完毕。期间，公司累计回购股份</w:t>
      </w:r>
      <w:r w:rsidRPr="00F614F9">
        <w:rPr>
          <w:rFonts w:ascii="Times New Roman" w:hAnsi="Times New Roman" w:cs="Times New Roman"/>
          <w:sz w:val="18"/>
          <w:szCs w:val="18"/>
        </w:rPr>
        <w:t>41,417,183.00</w:t>
      </w:r>
      <w:r w:rsidRPr="00F614F9">
        <w:rPr>
          <w:rFonts w:ascii="Times New Roman" w:hAnsi="Times New Roman" w:cs="Times New Roman" w:hint="eastAsia"/>
          <w:sz w:val="18"/>
          <w:szCs w:val="18"/>
        </w:rPr>
        <w:t>股，占公司总股本的比例为</w:t>
      </w:r>
      <w:r w:rsidRPr="00F614F9">
        <w:rPr>
          <w:rFonts w:ascii="Times New Roman" w:hAnsi="Times New Roman" w:cs="Times New Roman"/>
          <w:sz w:val="18"/>
          <w:szCs w:val="18"/>
        </w:rPr>
        <w:t>3.8379%</w:t>
      </w:r>
      <w:r w:rsidRPr="00F614F9">
        <w:rPr>
          <w:rFonts w:ascii="Times New Roman" w:hAnsi="Times New Roman" w:cs="Times New Roman" w:hint="eastAsia"/>
          <w:sz w:val="18"/>
          <w:szCs w:val="18"/>
        </w:rPr>
        <w:t>，成交总金额为人民币</w:t>
      </w:r>
      <w:r w:rsidRPr="00F614F9">
        <w:rPr>
          <w:rFonts w:ascii="Times New Roman" w:hAnsi="Times New Roman" w:cs="Times New Roman"/>
          <w:sz w:val="18"/>
          <w:szCs w:val="18"/>
        </w:rPr>
        <w:t>329,965,242.80</w:t>
      </w:r>
      <w:r w:rsidRPr="00F614F9">
        <w:rPr>
          <w:rFonts w:ascii="Times New Roman" w:hAnsi="Times New Roman" w:cs="Times New Roman" w:hint="eastAsia"/>
          <w:sz w:val="18"/>
          <w:szCs w:val="18"/>
        </w:rPr>
        <w:t>元（不含交易费用），最高成交价为人民币</w:t>
      </w:r>
      <w:r w:rsidRPr="00F614F9">
        <w:rPr>
          <w:rFonts w:ascii="Times New Roman" w:hAnsi="Times New Roman" w:cs="Times New Roman"/>
          <w:sz w:val="18"/>
          <w:szCs w:val="18"/>
        </w:rPr>
        <w:t>9.47</w:t>
      </w:r>
      <w:r w:rsidRPr="00F614F9">
        <w:rPr>
          <w:rFonts w:ascii="Times New Roman" w:hAnsi="Times New Roman" w:cs="Times New Roman" w:hint="eastAsia"/>
          <w:sz w:val="18"/>
          <w:szCs w:val="18"/>
        </w:rPr>
        <w:t>元</w:t>
      </w:r>
      <w:r w:rsidRPr="00F614F9">
        <w:rPr>
          <w:rFonts w:ascii="Times New Roman" w:hAnsi="Times New Roman" w:cs="Times New Roman"/>
          <w:sz w:val="18"/>
          <w:szCs w:val="18"/>
        </w:rPr>
        <w:t>/</w:t>
      </w:r>
      <w:r w:rsidRPr="00F614F9">
        <w:rPr>
          <w:rFonts w:ascii="Times New Roman" w:hAnsi="Times New Roman" w:cs="Times New Roman" w:hint="eastAsia"/>
          <w:sz w:val="18"/>
          <w:szCs w:val="18"/>
        </w:rPr>
        <w:t>股，最低成交价为人民币</w:t>
      </w:r>
      <w:r w:rsidRPr="00F614F9">
        <w:rPr>
          <w:rFonts w:ascii="Times New Roman" w:hAnsi="Times New Roman" w:cs="Times New Roman"/>
          <w:sz w:val="18"/>
          <w:szCs w:val="18"/>
        </w:rPr>
        <w:t>7.19</w:t>
      </w:r>
      <w:r w:rsidRPr="00F614F9">
        <w:rPr>
          <w:rFonts w:ascii="Times New Roman" w:hAnsi="Times New Roman" w:cs="Times New Roman" w:hint="eastAsia"/>
          <w:sz w:val="18"/>
          <w:szCs w:val="18"/>
        </w:rPr>
        <w:t>元</w:t>
      </w:r>
      <w:r w:rsidRPr="00F614F9">
        <w:rPr>
          <w:rFonts w:ascii="Times New Roman" w:hAnsi="Times New Roman" w:cs="Times New Roman"/>
          <w:sz w:val="18"/>
          <w:szCs w:val="18"/>
        </w:rPr>
        <w:t>/</w:t>
      </w:r>
      <w:r w:rsidRPr="00F614F9">
        <w:rPr>
          <w:rFonts w:ascii="Times New Roman" w:hAnsi="Times New Roman" w:cs="Times New Roman" w:hint="eastAsia"/>
          <w:sz w:val="18"/>
          <w:szCs w:val="18"/>
        </w:rPr>
        <w:t>股。</w:t>
      </w:r>
    </w:p>
    <w:p w14:paraId="5D22D556" w14:textId="77777777" w:rsidR="001D26E7" w:rsidRPr="00F614F9" w:rsidRDefault="00000000">
      <w:pPr>
        <w:pStyle w:val="3"/>
        <w:spacing w:line="280" w:lineRule="exact"/>
        <w:jc w:val="left"/>
        <w:rPr>
          <w:rFonts w:ascii="Times New Roman" w:hAnsi="Times New Roman" w:cs="宋体"/>
          <w:b/>
          <w:bCs/>
        </w:rPr>
      </w:pPr>
      <w:bookmarkStart w:id="32" w:name="_Toc988908"/>
      <w:r w:rsidRPr="00F614F9">
        <w:rPr>
          <w:rFonts w:ascii="Times New Roman" w:hAnsi="Times New Roman" w:cs="宋体"/>
          <w:b/>
          <w:bCs/>
        </w:rPr>
        <w:t>2</w:t>
      </w:r>
      <w:r w:rsidRPr="00F614F9">
        <w:rPr>
          <w:rFonts w:ascii="Times New Roman" w:hAnsi="Times New Roman" w:cs="宋体"/>
          <w:b/>
          <w:bCs/>
        </w:rPr>
        <w:t>、收入与成本</w:t>
      </w:r>
      <w:bookmarkEnd w:id="32"/>
    </w:p>
    <w:p w14:paraId="1C5F33F6"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3" w:name="_Toc988909"/>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营业收入构成</w:t>
      </w:r>
      <w:bookmarkEnd w:id="33"/>
    </w:p>
    <w:p w14:paraId="0B59378B"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7"/>
        <w:gridCol w:w="1606"/>
        <w:gridCol w:w="1607"/>
        <w:gridCol w:w="1607"/>
      </w:tblGrid>
      <w:tr w:rsidR="001D26E7" w:rsidRPr="00F614F9" w14:paraId="7A223565" w14:textId="77777777">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8B4746F" w14:textId="77777777" w:rsidR="001D26E7" w:rsidRPr="00F614F9" w:rsidRDefault="001D26E7">
            <w:pPr>
              <w:rPr>
                <w:rFonts w:ascii="Times New Roman" w:hAnsi="Times New Roman"/>
              </w:rPr>
            </w:pP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DE3B53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3ABF89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76C8B2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同比增减</w:t>
            </w:r>
          </w:p>
        </w:tc>
      </w:tr>
      <w:tr w:rsidR="001D26E7" w:rsidRPr="00F614F9" w14:paraId="649AF6AD" w14:textId="77777777">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D675DAE" w14:textId="77777777" w:rsidR="001D26E7" w:rsidRPr="00F614F9" w:rsidRDefault="001D26E7">
            <w:pPr>
              <w:rPr>
                <w:rFonts w:ascii="Times New Roman" w:hAnsi="Times New Roman"/>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181849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0C8B7B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占营业收入比重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F3E163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BE82C1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占营业收入比重</w:t>
            </w: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4F0CAA5" w14:textId="77777777" w:rsidR="001D26E7" w:rsidRPr="00F614F9" w:rsidRDefault="001D26E7">
            <w:pPr>
              <w:rPr>
                <w:rFonts w:ascii="Times New Roman" w:hAnsi="Times New Roman"/>
              </w:rPr>
            </w:pPr>
          </w:p>
        </w:tc>
      </w:tr>
      <w:tr w:rsidR="001D26E7" w:rsidRPr="00F614F9" w14:paraId="4B8193C8"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7F649C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营业收入合计</w:t>
            </w:r>
          </w:p>
        </w:tc>
        <w:tc>
          <w:tcPr>
            <w:tcW w:w="1606" w:type="dxa"/>
            <w:tcBorders>
              <w:top w:val="single" w:sz="2" w:space="0" w:color="auto"/>
              <w:left w:val="single" w:sz="2" w:space="0" w:color="auto"/>
              <w:bottom w:val="single" w:sz="2" w:space="0" w:color="auto"/>
              <w:right w:val="single" w:sz="2" w:space="0" w:color="auto"/>
            </w:tcBorders>
            <w:vAlign w:val="center"/>
          </w:tcPr>
          <w:p w14:paraId="2E79259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13,318,473,211.90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8A40AF0" w14:textId="77777777" w:rsidR="001D26E7" w:rsidRPr="00F614F9" w:rsidRDefault="00000000">
            <w:pPr>
              <w:spacing w:before="40" w:after="40" w:line="240" w:lineRule="exact"/>
              <w:jc w:val="right"/>
              <w:rPr>
                <w:rFonts w:ascii="Times New Roman" w:eastAsia="宋体" w:hAnsi="Times New Roman" w:cs="宋体"/>
                <w:sz w:val="18"/>
                <w:szCs w:val="18"/>
                <w:shd w:val="clear" w:color="auto" w:fill="D3D3D3"/>
              </w:rPr>
            </w:pPr>
            <w:r w:rsidRPr="00F614F9">
              <w:rPr>
                <w:rFonts w:ascii="Times New Roman" w:eastAsia="宋体" w:hAnsi="Times New Roman"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14:paraId="484487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16,116,307,059.41</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80B821E" w14:textId="77777777" w:rsidR="001D26E7" w:rsidRPr="00F614F9" w:rsidRDefault="00000000">
            <w:pPr>
              <w:spacing w:before="40" w:after="40" w:line="240" w:lineRule="exact"/>
              <w:jc w:val="right"/>
              <w:rPr>
                <w:rFonts w:ascii="Times New Roman" w:eastAsia="宋体" w:hAnsi="Times New Roman" w:cs="宋体"/>
                <w:sz w:val="18"/>
                <w:szCs w:val="18"/>
                <w:shd w:val="clear" w:color="auto" w:fill="D3D3D3"/>
              </w:rPr>
            </w:pPr>
            <w:r w:rsidRPr="00F614F9">
              <w:rPr>
                <w:rFonts w:ascii="Times New Roman" w:eastAsia="宋体" w:hAnsi="Times New Roman"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14:paraId="3C8B6A8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-17.36%</w:t>
            </w:r>
          </w:p>
        </w:tc>
      </w:tr>
      <w:tr w:rsidR="001D26E7" w:rsidRPr="00F614F9" w14:paraId="723D8467" w14:textId="7777777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450F2CF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分行业</w:t>
            </w:r>
          </w:p>
        </w:tc>
      </w:tr>
      <w:tr w:rsidR="001D26E7" w:rsidRPr="00F614F9" w14:paraId="3F7AB2DF"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D0D60D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屠宰行业</w:t>
            </w:r>
          </w:p>
        </w:tc>
        <w:tc>
          <w:tcPr>
            <w:tcW w:w="1606" w:type="dxa"/>
            <w:tcBorders>
              <w:top w:val="single" w:sz="2" w:space="0" w:color="auto"/>
              <w:left w:val="single" w:sz="2" w:space="0" w:color="auto"/>
              <w:bottom w:val="single" w:sz="2" w:space="0" w:color="auto"/>
              <w:right w:val="single" w:sz="2" w:space="0" w:color="auto"/>
            </w:tcBorders>
            <w:vAlign w:val="center"/>
          </w:tcPr>
          <w:p w14:paraId="454941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9,631,433,952.20</w:t>
            </w:r>
          </w:p>
        </w:tc>
        <w:tc>
          <w:tcPr>
            <w:tcW w:w="1606" w:type="dxa"/>
            <w:tcBorders>
              <w:top w:val="single" w:sz="2" w:space="0" w:color="auto"/>
              <w:left w:val="single" w:sz="2" w:space="0" w:color="auto"/>
              <w:bottom w:val="single" w:sz="2" w:space="0" w:color="auto"/>
              <w:right w:val="single" w:sz="2" w:space="0" w:color="auto"/>
            </w:tcBorders>
            <w:vAlign w:val="center"/>
          </w:tcPr>
          <w:p w14:paraId="265D99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72.32%</w:t>
            </w:r>
          </w:p>
        </w:tc>
        <w:tc>
          <w:tcPr>
            <w:tcW w:w="1606" w:type="dxa"/>
            <w:tcBorders>
              <w:top w:val="single" w:sz="2" w:space="0" w:color="auto"/>
              <w:left w:val="single" w:sz="2" w:space="0" w:color="auto"/>
              <w:bottom w:val="single" w:sz="2" w:space="0" w:color="auto"/>
              <w:right w:val="single" w:sz="2" w:space="0" w:color="auto"/>
            </w:tcBorders>
            <w:vAlign w:val="center"/>
          </w:tcPr>
          <w:p w14:paraId="6FD6A1F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12,030,766,493.38</w:t>
            </w:r>
          </w:p>
        </w:tc>
        <w:tc>
          <w:tcPr>
            <w:tcW w:w="1606" w:type="dxa"/>
            <w:tcBorders>
              <w:top w:val="single" w:sz="2" w:space="0" w:color="auto"/>
              <w:left w:val="single" w:sz="2" w:space="0" w:color="auto"/>
              <w:bottom w:val="single" w:sz="2" w:space="0" w:color="auto"/>
              <w:right w:val="single" w:sz="2" w:space="0" w:color="auto"/>
            </w:tcBorders>
            <w:vAlign w:val="center"/>
          </w:tcPr>
          <w:p w14:paraId="18111C4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74.65%</w:t>
            </w:r>
          </w:p>
        </w:tc>
        <w:tc>
          <w:tcPr>
            <w:tcW w:w="1606" w:type="dxa"/>
            <w:tcBorders>
              <w:top w:val="single" w:sz="2" w:space="0" w:color="auto"/>
              <w:left w:val="single" w:sz="2" w:space="0" w:color="auto"/>
              <w:bottom w:val="single" w:sz="2" w:space="0" w:color="auto"/>
              <w:right w:val="single" w:sz="2" w:space="0" w:color="auto"/>
            </w:tcBorders>
            <w:vAlign w:val="center"/>
          </w:tcPr>
          <w:p w14:paraId="6375F66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-19.94%</w:t>
            </w:r>
          </w:p>
        </w:tc>
      </w:tr>
      <w:tr w:rsidR="001D26E7" w:rsidRPr="00F614F9" w14:paraId="0E1AF6E7"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12CEC9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食品行业</w:t>
            </w:r>
          </w:p>
        </w:tc>
        <w:tc>
          <w:tcPr>
            <w:tcW w:w="1606" w:type="dxa"/>
            <w:tcBorders>
              <w:top w:val="single" w:sz="2" w:space="0" w:color="auto"/>
              <w:left w:val="single" w:sz="2" w:space="0" w:color="auto"/>
              <w:bottom w:val="single" w:sz="2" w:space="0" w:color="auto"/>
              <w:right w:val="single" w:sz="2" w:space="0" w:color="auto"/>
            </w:tcBorders>
            <w:vAlign w:val="center"/>
          </w:tcPr>
          <w:p w14:paraId="137DB6C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2,223,116,880.36</w:t>
            </w:r>
          </w:p>
        </w:tc>
        <w:tc>
          <w:tcPr>
            <w:tcW w:w="1606" w:type="dxa"/>
            <w:tcBorders>
              <w:top w:val="single" w:sz="2" w:space="0" w:color="auto"/>
              <w:left w:val="single" w:sz="2" w:space="0" w:color="auto"/>
              <w:bottom w:val="single" w:sz="2" w:space="0" w:color="auto"/>
              <w:right w:val="single" w:sz="2" w:space="0" w:color="auto"/>
            </w:tcBorders>
            <w:vAlign w:val="center"/>
          </w:tcPr>
          <w:p w14:paraId="58D89F5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16.69%</w:t>
            </w:r>
          </w:p>
        </w:tc>
        <w:tc>
          <w:tcPr>
            <w:tcW w:w="1606" w:type="dxa"/>
            <w:tcBorders>
              <w:top w:val="single" w:sz="2" w:space="0" w:color="auto"/>
              <w:left w:val="single" w:sz="2" w:space="0" w:color="auto"/>
              <w:bottom w:val="single" w:sz="2" w:space="0" w:color="auto"/>
              <w:right w:val="single" w:sz="2" w:space="0" w:color="auto"/>
            </w:tcBorders>
            <w:vAlign w:val="center"/>
          </w:tcPr>
          <w:p w14:paraId="0964CFC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1,651,598,218.29</w:t>
            </w:r>
          </w:p>
        </w:tc>
        <w:tc>
          <w:tcPr>
            <w:tcW w:w="1606" w:type="dxa"/>
            <w:tcBorders>
              <w:top w:val="single" w:sz="2" w:space="0" w:color="auto"/>
              <w:left w:val="single" w:sz="2" w:space="0" w:color="auto"/>
              <w:bottom w:val="single" w:sz="2" w:space="0" w:color="auto"/>
              <w:right w:val="single" w:sz="2" w:space="0" w:color="auto"/>
            </w:tcBorders>
            <w:vAlign w:val="center"/>
          </w:tcPr>
          <w:p w14:paraId="7B83C79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10.25%</w:t>
            </w:r>
          </w:p>
        </w:tc>
        <w:tc>
          <w:tcPr>
            <w:tcW w:w="1606" w:type="dxa"/>
            <w:tcBorders>
              <w:top w:val="single" w:sz="2" w:space="0" w:color="auto"/>
              <w:left w:val="single" w:sz="2" w:space="0" w:color="auto"/>
              <w:bottom w:val="single" w:sz="2" w:space="0" w:color="auto"/>
              <w:right w:val="single" w:sz="2" w:space="0" w:color="auto"/>
            </w:tcBorders>
            <w:vAlign w:val="center"/>
          </w:tcPr>
          <w:p w14:paraId="098D55A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34.60%</w:t>
            </w:r>
          </w:p>
        </w:tc>
      </w:tr>
      <w:tr w:rsidR="001D26E7" w:rsidRPr="00F614F9" w14:paraId="50616AB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B7EC79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进口贸易</w:t>
            </w:r>
          </w:p>
        </w:tc>
        <w:tc>
          <w:tcPr>
            <w:tcW w:w="1606" w:type="dxa"/>
            <w:tcBorders>
              <w:top w:val="single" w:sz="2" w:space="0" w:color="auto"/>
              <w:left w:val="single" w:sz="2" w:space="0" w:color="auto"/>
              <w:bottom w:val="single" w:sz="2" w:space="0" w:color="auto"/>
              <w:right w:val="single" w:sz="2" w:space="0" w:color="auto"/>
            </w:tcBorders>
            <w:vAlign w:val="center"/>
          </w:tcPr>
          <w:p w14:paraId="09BBFD9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1,123,029,725.45</w:t>
            </w:r>
          </w:p>
        </w:tc>
        <w:tc>
          <w:tcPr>
            <w:tcW w:w="1606" w:type="dxa"/>
            <w:tcBorders>
              <w:top w:val="single" w:sz="2" w:space="0" w:color="auto"/>
              <w:left w:val="single" w:sz="2" w:space="0" w:color="auto"/>
              <w:bottom w:val="single" w:sz="2" w:space="0" w:color="auto"/>
              <w:right w:val="single" w:sz="2" w:space="0" w:color="auto"/>
            </w:tcBorders>
            <w:vAlign w:val="center"/>
          </w:tcPr>
          <w:p w14:paraId="0BFC6ED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8.43%</w:t>
            </w:r>
          </w:p>
        </w:tc>
        <w:tc>
          <w:tcPr>
            <w:tcW w:w="1606" w:type="dxa"/>
            <w:tcBorders>
              <w:top w:val="single" w:sz="2" w:space="0" w:color="auto"/>
              <w:left w:val="single" w:sz="2" w:space="0" w:color="auto"/>
              <w:bottom w:val="single" w:sz="2" w:space="0" w:color="auto"/>
              <w:right w:val="single" w:sz="2" w:space="0" w:color="auto"/>
            </w:tcBorders>
            <w:vAlign w:val="center"/>
          </w:tcPr>
          <w:p w14:paraId="6E35C21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1,609,587,872.49</w:t>
            </w:r>
          </w:p>
        </w:tc>
        <w:tc>
          <w:tcPr>
            <w:tcW w:w="1606" w:type="dxa"/>
            <w:tcBorders>
              <w:top w:val="single" w:sz="2" w:space="0" w:color="auto"/>
              <w:left w:val="single" w:sz="2" w:space="0" w:color="auto"/>
              <w:bottom w:val="single" w:sz="2" w:space="0" w:color="auto"/>
              <w:right w:val="single" w:sz="2" w:space="0" w:color="auto"/>
            </w:tcBorders>
            <w:vAlign w:val="center"/>
          </w:tcPr>
          <w:p w14:paraId="1F62DF5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9.99%</w:t>
            </w:r>
          </w:p>
        </w:tc>
        <w:tc>
          <w:tcPr>
            <w:tcW w:w="1606" w:type="dxa"/>
            <w:tcBorders>
              <w:top w:val="single" w:sz="2" w:space="0" w:color="auto"/>
              <w:left w:val="single" w:sz="2" w:space="0" w:color="auto"/>
              <w:bottom w:val="single" w:sz="2" w:space="0" w:color="auto"/>
              <w:right w:val="single" w:sz="2" w:space="0" w:color="auto"/>
            </w:tcBorders>
            <w:vAlign w:val="center"/>
          </w:tcPr>
          <w:p w14:paraId="2F1EEC7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-30.23%</w:t>
            </w:r>
          </w:p>
        </w:tc>
      </w:tr>
      <w:tr w:rsidR="001D26E7" w:rsidRPr="00F614F9" w14:paraId="2B93B1F3"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448BDA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14:paraId="359FDC0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340,892,653.89</w:t>
            </w:r>
          </w:p>
        </w:tc>
        <w:tc>
          <w:tcPr>
            <w:tcW w:w="1606" w:type="dxa"/>
            <w:tcBorders>
              <w:top w:val="single" w:sz="2" w:space="0" w:color="auto"/>
              <w:left w:val="single" w:sz="2" w:space="0" w:color="auto"/>
              <w:bottom w:val="single" w:sz="2" w:space="0" w:color="auto"/>
              <w:right w:val="single" w:sz="2" w:space="0" w:color="auto"/>
            </w:tcBorders>
            <w:vAlign w:val="center"/>
          </w:tcPr>
          <w:p w14:paraId="50C99D4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2.56%</w:t>
            </w:r>
          </w:p>
        </w:tc>
        <w:tc>
          <w:tcPr>
            <w:tcW w:w="1606" w:type="dxa"/>
            <w:tcBorders>
              <w:top w:val="single" w:sz="2" w:space="0" w:color="auto"/>
              <w:left w:val="single" w:sz="2" w:space="0" w:color="auto"/>
              <w:bottom w:val="single" w:sz="2" w:space="0" w:color="auto"/>
              <w:right w:val="single" w:sz="2" w:space="0" w:color="auto"/>
            </w:tcBorders>
            <w:vAlign w:val="center"/>
          </w:tcPr>
          <w:p w14:paraId="61A3ED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824,354,475.25</w:t>
            </w:r>
          </w:p>
        </w:tc>
        <w:tc>
          <w:tcPr>
            <w:tcW w:w="1606" w:type="dxa"/>
            <w:tcBorders>
              <w:top w:val="single" w:sz="2" w:space="0" w:color="auto"/>
              <w:left w:val="single" w:sz="2" w:space="0" w:color="auto"/>
              <w:bottom w:val="single" w:sz="2" w:space="0" w:color="auto"/>
              <w:right w:val="single" w:sz="2" w:space="0" w:color="auto"/>
            </w:tcBorders>
            <w:vAlign w:val="center"/>
          </w:tcPr>
          <w:p w14:paraId="68CA35B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5.11%</w:t>
            </w:r>
          </w:p>
        </w:tc>
        <w:tc>
          <w:tcPr>
            <w:tcW w:w="1606" w:type="dxa"/>
            <w:tcBorders>
              <w:top w:val="single" w:sz="2" w:space="0" w:color="auto"/>
              <w:left w:val="single" w:sz="2" w:space="0" w:color="auto"/>
              <w:bottom w:val="single" w:sz="2" w:space="0" w:color="auto"/>
              <w:right w:val="single" w:sz="2" w:space="0" w:color="auto"/>
            </w:tcBorders>
            <w:vAlign w:val="center"/>
          </w:tcPr>
          <w:p w14:paraId="307C4C9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-58.65%</w:t>
            </w:r>
          </w:p>
        </w:tc>
      </w:tr>
      <w:tr w:rsidR="001D26E7" w:rsidRPr="00F614F9" w14:paraId="16C9D617" w14:textId="7777777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5C1E705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分产品</w:t>
            </w:r>
          </w:p>
        </w:tc>
      </w:tr>
      <w:tr w:rsidR="001D26E7" w:rsidRPr="00F614F9" w14:paraId="268F12A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826E13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鲜冻肉</w:t>
            </w:r>
          </w:p>
        </w:tc>
        <w:tc>
          <w:tcPr>
            <w:tcW w:w="1606" w:type="dxa"/>
            <w:tcBorders>
              <w:top w:val="single" w:sz="2" w:space="0" w:color="auto"/>
              <w:left w:val="single" w:sz="2" w:space="0" w:color="auto"/>
              <w:bottom w:val="single" w:sz="2" w:space="0" w:color="auto"/>
              <w:right w:val="single" w:sz="2" w:space="0" w:color="auto"/>
            </w:tcBorders>
            <w:vAlign w:val="center"/>
          </w:tcPr>
          <w:p w14:paraId="669A98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9,631,433,952.20</w:t>
            </w:r>
          </w:p>
        </w:tc>
        <w:tc>
          <w:tcPr>
            <w:tcW w:w="1606" w:type="dxa"/>
            <w:tcBorders>
              <w:top w:val="single" w:sz="2" w:space="0" w:color="auto"/>
              <w:left w:val="single" w:sz="2" w:space="0" w:color="auto"/>
              <w:bottom w:val="single" w:sz="2" w:space="0" w:color="auto"/>
              <w:right w:val="single" w:sz="2" w:space="0" w:color="auto"/>
            </w:tcBorders>
            <w:vAlign w:val="center"/>
          </w:tcPr>
          <w:p w14:paraId="53DC35F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72.32%</w:t>
            </w:r>
          </w:p>
        </w:tc>
        <w:tc>
          <w:tcPr>
            <w:tcW w:w="1606" w:type="dxa"/>
            <w:tcBorders>
              <w:top w:val="single" w:sz="2" w:space="0" w:color="auto"/>
              <w:left w:val="single" w:sz="2" w:space="0" w:color="auto"/>
              <w:bottom w:val="single" w:sz="2" w:space="0" w:color="auto"/>
              <w:right w:val="single" w:sz="2" w:space="0" w:color="auto"/>
            </w:tcBorders>
            <w:vAlign w:val="center"/>
          </w:tcPr>
          <w:p w14:paraId="420E1FA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12,030,766,493.38</w:t>
            </w:r>
          </w:p>
        </w:tc>
        <w:tc>
          <w:tcPr>
            <w:tcW w:w="1606" w:type="dxa"/>
            <w:tcBorders>
              <w:top w:val="single" w:sz="2" w:space="0" w:color="auto"/>
              <w:left w:val="single" w:sz="2" w:space="0" w:color="auto"/>
              <w:bottom w:val="single" w:sz="2" w:space="0" w:color="auto"/>
              <w:right w:val="single" w:sz="2" w:space="0" w:color="auto"/>
            </w:tcBorders>
            <w:vAlign w:val="center"/>
          </w:tcPr>
          <w:p w14:paraId="32E190A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74.65%</w:t>
            </w:r>
          </w:p>
        </w:tc>
        <w:tc>
          <w:tcPr>
            <w:tcW w:w="1606" w:type="dxa"/>
            <w:tcBorders>
              <w:top w:val="single" w:sz="2" w:space="0" w:color="auto"/>
              <w:left w:val="single" w:sz="2" w:space="0" w:color="auto"/>
              <w:bottom w:val="single" w:sz="2" w:space="0" w:color="auto"/>
              <w:right w:val="single" w:sz="2" w:space="0" w:color="auto"/>
            </w:tcBorders>
            <w:vAlign w:val="center"/>
          </w:tcPr>
          <w:p w14:paraId="1278277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-19.94%</w:t>
            </w:r>
          </w:p>
        </w:tc>
      </w:tr>
      <w:tr w:rsidR="001D26E7" w:rsidRPr="00F614F9" w14:paraId="655682F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9CAF49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熟食制品</w:t>
            </w:r>
          </w:p>
        </w:tc>
        <w:tc>
          <w:tcPr>
            <w:tcW w:w="1606" w:type="dxa"/>
            <w:tcBorders>
              <w:top w:val="single" w:sz="2" w:space="0" w:color="auto"/>
              <w:left w:val="single" w:sz="2" w:space="0" w:color="auto"/>
              <w:bottom w:val="single" w:sz="2" w:space="0" w:color="auto"/>
              <w:right w:val="single" w:sz="2" w:space="0" w:color="auto"/>
            </w:tcBorders>
            <w:vAlign w:val="center"/>
          </w:tcPr>
          <w:p w14:paraId="5A155A7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239,312,078.33</w:t>
            </w:r>
          </w:p>
        </w:tc>
        <w:tc>
          <w:tcPr>
            <w:tcW w:w="1606" w:type="dxa"/>
            <w:tcBorders>
              <w:top w:val="single" w:sz="2" w:space="0" w:color="auto"/>
              <w:left w:val="single" w:sz="2" w:space="0" w:color="auto"/>
              <w:bottom w:val="single" w:sz="2" w:space="0" w:color="auto"/>
              <w:right w:val="single" w:sz="2" w:space="0" w:color="auto"/>
            </w:tcBorders>
            <w:vAlign w:val="center"/>
          </w:tcPr>
          <w:p w14:paraId="003C170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1.80%</w:t>
            </w:r>
          </w:p>
        </w:tc>
        <w:tc>
          <w:tcPr>
            <w:tcW w:w="1606" w:type="dxa"/>
            <w:tcBorders>
              <w:top w:val="single" w:sz="2" w:space="0" w:color="auto"/>
              <w:left w:val="single" w:sz="2" w:space="0" w:color="auto"/>
              <w:bottom w:val="single" w:sz="2" w:space="0" w:color="auto"/>
              <w:right w:val="single" w:sz="2" w:space="0" w:color="auto"/>
            </w:tcBorders>
            <w:vAlign w:val="center"/>
          </w:tcPr>
          <w:p w14:paraId="1C4CC0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337,291,467.03</w:t>
            </w:r>
          </w:p>
        </w:tc>
        <w:tc>
          <w:tcPr>
            <w:tcW w:w="1606" w:type="dxa"/>
            <w:tcBorders>
              <w:top w:val="single" w:sz="2" w:space="0" w:color="auto"/>
              <w:left w:val="single" w:sz="2" w:space="0" w:color="auto"/>
              <w:bottom w:val="single" w:sz="2" w:space="0" w:color="auto"/>
              <w:right w:val="single" w:sz="2" w:space="0" w:color="auto"/>
            </w:tcBorders>
            <w:vAlign w:val="center"/>
          </w:tcPr>
          <w:p w14:paraId="4794620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2.09%</w:t>
            </w:r>
          </w:p>
        </w:tc>
        <w:tc>
          <w:tcPr>
            <w:tcW w:w="1606" w:type="dxa"/>
            <w:tcBorders>
              <w:top w:val="single" w:sz="2" w:space="0" w:color="auto"/>
              <w:left w:val="single" w:sz="2" w:space="0" w:color="auto"/>
              <w:bottom w:val="single" w:sz="2" w:space="0" w:color="auto"/>
              <w:right w:val="single" w:sz="2" w:space="0" w:color="auto"/>
            </w:tcBorders>
            <w:vAlign w:val="center"/>
          </w:tcPr>
          <w:p w14:paraId="2281B70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-29.05%</w:t>
            </w:r>
          </w:p>
        </w:tc>
      </w:tr>
      <w:tr w:rsidR="001D26E7" w:rsidRPr="00F614F9" w14:paraId="466B94A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2EC3E1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预制食品</w:t>
            </w:r>
          </w:p>
        </w:tc>
        <w:tc>
          <w:tcPr>
            <w:tcW w:w="1606" w:type="dxa"/>
            <w:tcBorders>
              <w:top w:val="single" w:sz="2" w:space="0" w:color="auto"/>
              <w:left w:val="single" w:sz="2" w:space="0" w:color="auto"/>
              <w:bottom w:val="single" w:sz="2" w:space="0" w:color="auto"/>
              <w:right w:val="single" w:sz="2" w:space="0" w:color="auto"/>
            </w:tcBorders>
            <w:vAlign w:val="center"/>
          </w:tcPr>
          <w:p w14:paraId="7C17B15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1,983,804,802.03</w:t>
            </w:r>
          </w:p>
        </w:tc>
        <w:tc>
          <w:tcPr>
            <w:tcW w:w="1606" w:type="dxa"/>
            <w:tcBorders>
              <w:top w:val="single" w:sz="2" w:space="0" w:color="auto"/>
              <w:left w:val="single" w:sz="2" w:space="0" w:color="auto"/>
              <w:bottom w:val="single" w:sz="2" w:space="0" w:color="auto"/>
              <w:right w:val="single" w:sz="2" w:space="0" w:color="auto"/>
            </w:tcBorders>
            <w:vAlign w:val="center"/>
          </w:tcPr>
          <w:p w14:paraId="33FAD8B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14.89%</w:t>
            </w:r>
          </w:p>
        </w:tc>
        <w:tc>
          <w:tcPr>
            <w:tcW w:w="1606" w:type="dxa"/>
            <w:tcBorders>
              <w:top w:val="single" w:sz="2" w:space="0" w:color="auto"/>
              <w:left w:val="single" w:sz="2" w:space="0" w:color="auto"/>
              <w:bottom w:val="single" w:sz="2" w:space="0" w:color="auto"/>
              <w:right w:val="single" w:sz="2" w:space="0" w:color="auto"/>
            </w:tcBorders>
            <w:vAlign w:val="center"/>
          </w:tcPr>
          <w:p w14:paraId="39584E8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1,314,306,751.26</w:t>
            </w:r>
          </w:p>
        </w:tc>
        <w:tc>
          <w:tcPr>
            <w:tcW w:w="1606" w:type="dxa"/>
            <w:tcBorders>
              <w:top w:val="single" w:sz="2" w:space="0" w:color="auto"/>
              <w:left w:val="single" w:sz="2" w:space="0" w:color="auto"/>
              <w:bottom w:val="single" w:sz="2" w:space="0" w:color="auto"/>
              <w:right w:val="single" w:sz="2" w:space="0" w:color="auto"/>
            </w:tcBorders>
            <w:vAlign w:val="center"/>
          </w:tcPr>
          <w:p w14:paraId="0BC9626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8.16%</w:t>
            </w:r>
          </w:p>
        </w:tc>
        <w:tc>
          <w:tcPr>
            <w:tcW w:w="1606" w:type="dxa"/>
            <w:tcBorders>
              <w:top w:val="single" w:sz="2" w:space="0" w:color="auto"/>
              <w:left w:val="single" w:sz="2" w:space="0" w:color="auto"/>
              <w:bottom w:val="single" w:sz="2" w:space="0" w:color="auto"/>
              <w:right w:val="single" w:sz="2" w:space="0" w:color="auto"/>
            </w:tcBorders>
            <w:vAlign w:val="center"/>
          </w:tcPr>
          <w:p w14:paraId="47D1606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50.94%</w:t>
            </w:r>
          </w:p>
        </w:tc>
      </w:tr>
      <w:tr w:rsidR="001D26E7" w:rsidRPr="00F614F9" w14:paraId="461E7375"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8337B1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进口贸易</w:t>
            </w:r>
          </w:p>
        </w:tc>
        <w:tc>
          <w:tcPr>
            <w:tcW w:w="1606" w:type="dxa"/>
            <w:tcBorders>
              <w:top w:val="single" w:sz="2" w:space="0" w:color="auto"/>
              <w:left w:val="single" w:sz="2" w:space="0" w:color="auto"/>
              <w:bottom w:val="single" w:sz="2" w:space="0" w:color="auto"/>
              <w:right w:val="single" w:sz="2" w:space="0" w:color="auto"/>
            </w:tcBorders>
            <w:vAlign w:val="center"/>
          </w:tcPr>
          <w:p w14:paraId="5A066E8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1,123,029,725.45</w:t>
            </w:r>
          </w:p>
        </w:tc>
        <w:tc>
          <w:tcPr>
            <w:tcW w:w="1606" w:type="dxa"/>
            <w:tcBorders>
              <w:top w:val="single" w:sz="2" w:space="0" w:color="auto"/>
              <w:left w:val="single" w:sz="2" w:space="0" w:color="auto"/>
              <w:bottom w:val="single" w:sz="2" w:space="0" w:color="auto"/>
              <w:right w:val="single" w:sz="2" w:space="0" w:color="auto"/>
            </w:tcBorders>
            <w:vAlign w:val="center"/>
          </w:tcPr>
          <w:p w14:paraId="43CA57C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8.43%</w:t>
            </w:r>
          </w:p>
        </w:tc>
        <w:tc>
          <w:tcPr>
            <w:tcW w:w="1606" w:type="dxa"/>
            <w:tcBorders>
              <w:top w:val="single" w:sz="2" w:space="0" w:color="auto"/>
              <w:left w:val="single" w:sz="2" w:space="0" w:color="auto"/>
              <w:bottom w:val="single" w:sz="2" w:space="0" w:color="auto"/>
              <w:right w:val="single" w:sz="2" w:space="0" w:color="auto"/>
            </w:tcBorders>
            <w:vAlign w:val="center"/>
          </w:tcPr>
          <w:p w14:paraId="449746D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1,609,587,872.49</w:t>
            </w:r>
          </w:p>
        </w:tc>
        <w:tc>
          <w:tcPr>
            <w:tcW w:w="1606" w:type="dxa"/>
            <w:tcBorders>
              <w:top w:val="single" w:sz="2" w:space="0" w:color="auto"/>
              <w:left w:val="single" w:sz="2" w:space="0" w:color="auto"/>
              <w:bottom w:val="single" w:sz="2" w:space="0" w:color="auto"/>
              <w:right w:val="single" w:sz="2" w:space="0" w:color="auto"/>
            </w:tcBorders>
            <w:vAlign w:val="center"/>
          </w:tcPr>
          <w:p w14:paraId="7A865BA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9.99%</w:t>
            </w:r>
          </w:p>
        </w:tc>
        <w:tc>
          <w:tcPr>
            <w:tcW w:w="1606" w:type="dxa"/>
            <w:tcBorders>
              <w:top w:val="single" w:sz="2" w:space="0" w:color="auto"/>
              <w:left w:val="single" w:sz="2" w:space="0" w:color="auto"/>
              <w:bottom w:val="single" w:sz="2" w:space="0" w:color="auto"/>
              <w:right w:val="single" w:sz="2" w:space="0" w:color="auto"/>
            </w:tcBorders>
            <w:vAlign w:val="center"/>
          </w:tcPr>
          <w:p w14:paraId="0F763D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-30.23%</w:t>
            </w:r>
          </w:p>
        </w:tc>
      </w:tr>
      <w:tr w:rsidR="001D26E7" w:rsidRPr="00F614F9" w14:paraId="51F3237B"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9401D9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14:paraId="4BBB9AF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340,892,653.89</w:t>
            </w:r>
          </w:p>
        </w:tc>
        <w:tc>
          <w:tcPr>
            <w:tcW w:w="1606" w:type="dxa"/>
            <w:tcBorders>
              <w:top w:val="single" w:sz="2" w:space="0" w:color="auto"/>
              <w:left w:val="single" w:sz="2" w:space="0" w:color="auto"/>
              <w:bottom w:val="single" w:sz="2" w:space="0" w:color="auto"/>
              <w:right w:val="single" w:sz="2" w:space="0" w:color="auto"/>
            </w:tcBorders>
            <w:vAlign w:val="center"/>
          </w:tcPr>
          <w:p w14:paraId="77340A2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2.56%</w:t>
            </w:r>
          </w:p>
        </w:tc>
        <w:tc>
          <w:tcPr>
            <w:tcW w:w="1606" w:type="dxa"/>
            <w:tcBorders>
              <w:top w:val="single" w:sz="2" w:space="0" w:color="auto"/>
              <w:left w:val="single" w:sz="2" w:space="0" w:color="auto"/>
              <w:bottom w:val="single" w:sz="2" w:space="0" w:color="auto"/>
              <w:right w:val="single" w:sz="2" w:space="0" w:color="auto"/>
            </w:tcBorders>
            <w:vAlign w:val="center"/>
          </w:tcPr>
          <w:p w14:paraId="22759A7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824,354,475.25</w:t>
            </w:r>
          </w:p>
        </w:tc>
        <w:tc>
          <w:tcPr>
            <w:tcW w:w="1606" w:type="dxa"/>
            <w:tcBorders>
              <w:top w:val="single" w:sz="2" w:space="0" w:color="auto"/>
              <w:left w:val="single" w:sz="2" w:space="0" w:color="auto"/>
              <w:bottom w:val="single" w:sz="2" w:space="0" w:color="auto"/>
              <w:right w:val="single" w:sz="2" w:space="0" w:color="auto"/>
            </w:tcBorders>
            <w:vAlign w:val="center"/>
          </w:tcPr>
          <w:p w14:paraId="14B462B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5.11%</w:t>
            </w:r>
          </w:p>
        </w:tc>
        <w:tc>
          <w:tcPr>
            <w:tcW w:w="1606" w:type="dxa"/>
            <w:tcBorders>
              <w:top w:val="single" w:sz="2" w:space="0" w:color="auto"/>
              <w:left w:val="single" w:sz="2" w:space="0" w:color="auto"/>
              <w:bottom w:val="single" w:sz="2" w:space="0" w:color="auto"/>
              <w:right w:val="single" w:sz="2" w:space="0" w:color="auto"/>
            </w:tcBorders>
            <w:vAlign w:val="center"/>
          </w:tcPr>
          <w:p w14:paraId="673AB30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-58.65%</w:t>
            </w:r>
          </w:p>
        </w:tc>
      </w:tr>
      <w:tr w:rsidR="001D26E7" w:rsidRPr="00F614F9" w14:paraId="0F86EDE2" w14:textId="7777777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77A4FCE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分地区</w:t>
            </w:r>
          </w:p>
        </w:tc>
      </w:tr>
      <w:tr w:rsidR="001D26E7" w:rsidRPr="00F614F9" w14:paraId="1A5FDCE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660A0F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山东省内</w:t>
            </w:r>
          </w:p>
        </w:tc>
        <w:tc>
          <w:tcPr>
            <w:tcW w:w="1606" w:type="dxa"/>
            <w:tcBorders>
              <w:top w:val="single" w:sz="2" w:space="0" w:color="auto"/>
              <w:left w:val="single" w:sz="2" w:space="0" w:color="auto"/>
              <w:bottom w:val="single" w:sz="2" w:space="0" w:color="auto"/>
              <w:right w:val="single" w:sz="2" w:space="0" w:color="auto"/>
            </w:tcBorders>
            <w:vAlign w:val="center"/>
          </w:tcPr>
          <w:p w14:paraId="040CD1F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5,077,770,225.48</w:t>
            </w:r>
          </w:p>
        </w:tc>
        <w:tc>
          <w:tcPr>
            <w:tcW w:w="1606" w:type="dxa"/>
            <w:tcBorders>
              <w:top w:val="single" w:sz="2" w:space="0" w:color="auto"/>
              <w:left w:val="single" w:sz="2" w:space="0" w:color="auto"/>
              <w:bottom w:val="single" w:sz="2" w:space="0" w:color="auto"/>
              <w:right w:val="single" w:sz="2" w:space="0" w:color="auto"/>
            </w:tcBorders>
            <w:vAlign w:val="center"/>
          </w:tcPr>
          <w:p w14:paraId="7AE0CD1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38.13%</w:t>
            </w:r>
          </w:p>
        </w:tc>
        <w:tc>
          <w:tcPr>
            <w:tcW w:w="1606" w:type="dxa"/>
            <w:tcBorders>
              <w:top w:val="single" w:sz="2" w:space="0" w:color="auto"/>
              <w:left w:val="single" w:sz="2" w:space="0" w:color="auto"/>
              <w:bottom w:val="single" w:sz="2" w:space="0" w:color="auto"/>
              <w:right w:val="single" w:sz="2" w:space="0" w:color="auto"/>
            </w:tcBorders>
            <w:vAlign w:val="center"/>
          </w:tcPr>
          <w:p w14:paraId="1D28168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5,972,230,685.12</w:t>
            </w:r>
          </w:p>
        </w:tc>
        <w:tc>
          <w:tcPr>
            <w:tcW w:w="1606" w:type="dxa"/>
            <w:tcBorders>
              <w:top w:val="single" w:sz="2" w:space="0" w:color="auto"/>
              <w:left w:val="single" w:sz="2" w:space="0" w:color="auto"/>
              <w:bottom w:val="single" w:sz="2" w:space="0" w:color="auto"/>
              <w:right w:val="single" w:sz="2" w:space="0" w:color="auto"/>
            </w:tcBorders>
            <w:vAlign w:val="center"/>
          </w:tcPr>
          <w:p w14:paraId="25F56E4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37.05%</w:t>
            </w:r>
          </w:p>
        </w:tc>
        <w:tc>
          <w:tcPr>
            <w:tcW w:w="1606" w:type="dxa"/>
            <w:tcBorders>
              <w:top w:val="single" w:sz="2" w:space="0" w:color="auto"/>
              <w:left w:val="single" w:sz="2" w:space="0" w:color="auto"/>
              <w:bottom w:val="single" w:sz="2" w:space="0" w:color="auto"/>
              <w:right w:val="single" w:sz="2" w:space="0" w:color="auto"/>
            </w:tcBorders>
            <w:vAlign w:val="center"/>
          </w:tcPr>
          <w:p w14:paraId="53951BF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-14.98%</w:t>
            </w:r>
          </w:p>
        </w:tc>
      </w:tr>
      <w:tr w:rsidR="001D26E7" w:rsidRPr="00F614F9" w14:paraId="68AF311A"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AAB616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华东其他地区</w:t>
            </w:r>
          </w:p>
        </w:tc>
        <w:tc>
          <w:tcPr>
            <w:tcW w:w="1606" w:type="dxa"/>
            <w:tcBorders>
              <w:top w:val="single" w:sz="2" w:space="0" w:color="auto"/>
              <w:left w:val="single" w:sz="2" w:space="0" w:color="auto"/>
              <w:bottom w:val="single" w:sz="2" w:space="0" w:color="auto"/>
              <w:right w:val="single" w:sz="2" w:space="0" w:color="auto"/>
            </w:tcBorders>
            <w:vAlign w:val="center"/>
          </w:tcPr>
          <w:p w14:paraId="4BC4056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3,825,477,417.59</w:t>
            </w:r>
          </w:p>
        </w:tc>
        <w:tc>
          <w:tcPr>
            <w:tcW w:w="1606" w:type="dxa"/>
            <w:tcBorders>
              <w:top w:val="single" w:sz="2" w:space="0" w:color="auto"/>
              <w:left w:val="single" w:sz="2" w:space="0" w:color="auto"/>
              <w:bottom w:val="single" w:sz="2" w:space="0" w:color="auto"/>
              <w:right w:val="single" w:sz="2" w:space="0" w:color="auto"/>
            </w:tcBorders>
            <w:vAlign w:val="center"/>
          </w:tcPr>
          <w:p w14:paraId="3A0F421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28.72%</w:t>
            </w:r>
          </w:p>
        </w:tc>
        <w:tc>
          <w:tcPr>
            <w:tcW w:w="1606" w:type="dxa"/>
            <w:tcBorders>
              <w:top w:val="single" w:sz="2" w:space="0" w:color="auto"/>
              <w:left w:val="single" w:sz="2" w:space="0" w:color="auto"/>
              <w:bottom w:val="single" w:sz="2" w:space="0" w:color="auto"/>
              <w:right w:val="single" w:sz="2" w:space="0" w:color="auto"/>
            </w:tcBorders>
            <w:vAlign w:val="center"/>
          </w:tcPr>
          <w:p w14:paraId="76673CC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5,440,273,181.26</w:t>
            </w:r>
          </w:p>
        </w:tc>
        <w:tc>
          <w:tcPr>
            <w:tcW w:w="1606" w:type="dxa"/>
            <w:tcBorders>
              <w:top w:val="single" w:sz="2" w:space="0" w:color="auto"/>
              <w:left w:val="single" w:sz="2" w:space="0" w:color="auto"/>
              <w:bottom w:val="single" w:sz="2" w:space="0" w:color="auto"/>
              <w:right w:val="single" w:sz="2" w:space="0" w:color="auto"/>
            </w:tcBorders>
            <w:vAlign w:val="center"/>
          </w:tcPr>
          <w:p w14:paraId="71928E2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33.76%</w:t>
            </w:r>
          </w:p>
        </w:tc>
        <w:tc>
          <w:tcPr>
            <w:tcW w:w="1606" w:type="dxa"/>
            <w:tcBorders>
              <w:top w:val="single" w:sz="2" w:space="0" w:color="auto"/>
              <w:left w:val="single" w:sz="2" w:space="0" w:color="auto"/>
              <w:bottom w:val="single" w:sz="2" w:space="0" w:color="auto"/>
              <w:right w:val="single" w:sz="2" w:space="0" w:color="auto"/>
            </w:tcBorders>
            <w:vAlign w:val="center"/>
          </w:tcPr>
          <w:p w14:paraId="1E6375E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-29.68%</w:t>
            </w:r>
          </w:p>
        </w:tc>
      </w:tr>
      <w:tr w:rsidR="001D26E7" w:rsidRPr="00F614F9" w14:paraId="601A697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3FB9AE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华中地区</w:t>
            </w:r>
          </w:p>
        </w:tc>
        <w:tc>
          <w:tcPr>
            <w:tcW w:w="1606" w:type="dxa"/>
            <w:tcBorders>
              <w:top w:val="single" w:sz="2" w:space="0" w:color="auto"/>
              <w:left w:val="single" w:sz="2" w:space="0" w:color="auto"/>
              <w:bottom w:val="single" w:sz="2" w:space="0" w:color="auto"/>
              <w:right w:val="single" w:sz="2" w:space="0" w:color="auto"/>
            </w:tcBorders>
            <w:vAlign w:val="center"/>
          </w:tcPr>
          <w:p w14:paraId="067224F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1,737,411,639.64</w:t>
            </w:r>
          </w:p>
        </w:tc>
        <w:tc>
          <w:tcPr>
            <w:tcW w:w="1606" w:type="dxa"/>
            <w:tcBorders>
              <w:top w:val="single" w:sz="2" w:space="0" w:color="auto"/>
              <w:left w:val="single" w:sz="2" w:space="0" w:color="auto"/>
              <w:bottom w:val="single" w:sz="2" w:space="0" w:color="auto"/>
              <w:right w:val="single" w:sz="2" w:space="0" w:color="auto"/>
            </w:tcBorders>
            <w:vAlign w:val="center"/>
          </w:tcPr>
          <w:p w14:paraId="64013FD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13.05%</w:t>
            </w:r>
          </w:p>
        </w:tc>
        <w:tc>
          <w:tcPr>
            <w:tcW w:w="1606" w:type="dxa"/>
            <w:tcBorders>
              <w:top w:val="single" w:sz="2" w:space="0" w:color="auto"/>
              <w:left w:val="single" w:sz="2" w:space="0" w:color="auto"/>
              <w:bottom w:val="single" w:sz="2" w:space="0" w:color="auto"/>
              <w:right w:val="single" w:sz="2" w:space="0" w:color="auto"/>
            </w:tcBorders>
            <w:vAlign w:val="center"/>
          </w:tcPr>
          <w:p w14:paraId="1EFC189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2,155,785,682.54</w:t>
            </w:r>
          </w:p>
        </w:tc>
        <w:tc>
          <w:tcPr>
            <w:tcW w:w="1606" w:type="dxa"/>
            <w:tcBorders>
              <w:top w:val="single" w:sz="2" w:space="0" w:color="auto"/>
              <w:left w:val="single" w:sz="2" w:space="0" w:color="auto"/>
              <w:bottom w:val="single" w:sz="2" w:space="0" w:color="auto"/>
              <w:right w:val="single" w:sz="2" w:space="0" w:color="auto"/>
            </w:tcBorders>
            <w:vAlign w:val="center"/>
          </w:tcPr>
          <w:p w14:paraId="4847424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13.38%</w:t>
            </w:r>
          </w:p>
        </w:tc>
        <w:tc>
          <w:tcPr>
            <w:tcW w:w="1606" w:type="dxa"/>
            <w:tcBorders>
              <w:top w:val="single" w:sz="2" w:space="0" w:color="auto"/>
              <w:left w:val="single" w:sz="2" w:space="0" w:color="auto"/>
              <w:bottom w:val="single" w:sz="2" w:space="0" w:color="auto"/>
              <w:right w:val="single" w:sz="2" w:space="0" w:color="auto"/>
            </w:tcBorders>
            <w:vAlign w:val="center"/>
          </w:tcPr>
          <w:p w14:paraId="70C5675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-19.41%</w:t>
            </w:r>
          </w:p>
        </w:tc>
      </w:tr>
      <w:tr w:rsidR="001D26E7" w:rsidRPr="00F614F9" w14:paraId="3EF6A2F0"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04DEE6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华北地区</w:t>
            </w:r>
          </w:p>
        </w:tc>
        <w:tc>
          <w:tcPr>
            <w:tcW w:w="1606" w:type="dxa"/>
            <w:tcBorders>
              <w:top w:val="single" w:sz="2" w:space="0" w:color="auto"/>
              <w:left w:val="single" w:sz="2" w:space="0" w:color="auto"/>
              <w:bottom w:val="single" w:sz="2" w:space="0" w:color="auto"/>
              <w:right w:val="single" w:sz="2" w:space="0" w:color="auto"/>
            </w:tcBorders>
            <w:vAlign w:val="center"/>
          </w:tcPr>
          <w:p w14:paraId="78BFA0E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658,460,825.64</w:t>
            </w:r>
          </w:p>
        </w:tc>
        <w:tc>
          <w:tcPr>
            <w:tcW w:w="1606" w:type="dxa"/>
            <w:tcBorders>
              <w:top w:val="single" w:sz="2" w:space="0" w:color="auto"/>
              <w:left w:val="single" w:sz="2" w:space="0" w:color="auto"/>
              <w:bottom w:val="single" w:sz="2" w:space="0" w:color="auto"/>
              <w:right w:val="single" w:sz="2" w:space="0" w:color="auto"/>
            </w:tcBorders>
            <w:vAlign w:val="center"/>
          </w:tcPr>
          <w:p w14:paraId="6A8CED2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4.94%</w:t>
            </w:r>
          </w:p>
        </w:tc>
        <w:tc>
          <w:tcPr>
            <w:tcW w:w="1606" w:type="dxa"/>
            <w:tcBorders>
              <w:top w:val="single" w:sz="2" w:space="0" w:color="auto"/>
              <w:left w:val="single" w:sz="2" w:space="0" w:color="auto"/>
              <w:bottom w:val="single" w:sz="2" w:space="0" w:color="auto"/>
              <w:right w:val="single" w:sz="2" w:space="0" w:color="auto"/>
            </w:tcBorders>
            <w:vAlign w:val="center"/>
          </w:tcPr>
          <w:p w14:paraId="3B73AB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739,583,450.50</w:t>
            </w:r>
          </w:p>
        </w:tc>
        <w:tc>
          <w:tcPr>
            <w:tcW w:w="1606" w:type="dxa"/>
            <w:tcBorders>
              <w:top w:val="single" w:sz="2" w:space="0" w:color="auto"/>
              <w:left w:val="single" w:sz="2" w:space="0" w:color="auto"/>
              <w:bottom w:val="single" w:sz="2" w:space="0" w:color="auto"/>
              <w:right w:val="single" w:sz="2" w:space="0" w:color="auto"/>
            </w:tcBorders>
            <w:vAlign w:val="center"/>
          </w:tcPr>
          <w:p w14:paraId="5F92596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4.59%</w:t>
            </w:r>
          </w:p>
        </w:tc>
        <w:tc>
          <w:tcPr>
            <w:tcW w:w="1606" w:type="dxa"/>
            <w:tcBorders>
              <w:top w:val="single" w:sz="2" w:space="0" w:color="auto"/>
              <w:left w:val="single" w:sz="2" w:space="0" w:color="auto"/>
              <w:bottom w:val="single" w:sz="2" w:space="0" w:color="auto"/>
              <w:right w:val="single" w:sz="2" w:space="0" w:color="auto"/>
            </w:tcBorders>
            <w:vAlign w:val="center"/>
          </w:tcPr>
          <w:p w14:paraId="0C7D537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-10.97%</w:t>
            </w:r>
          </w:p>
        </w:tc>
      </w:tr>
      <w:tr w:rsidR="001D26E7" w:rsidRPr="00F614F9" w14:paraId="0E567F3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6D5B45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华南地区</w:t>
            </w:r>
          </w:p>
        </w:tc>
        <w:tc>
          <w:tcPr>
            <w:tcW w:w="1606" w:type="dxa"/>
            <w:tcBorders>
              <w:top w:val="single" w:sz="2" w:space="0" w:color="auto"/>
              <w:left w:val="single" w:sz="2" w:space="0" w:color="auto"/>
              <w:bottom w:val="single" w:sz="2" w:space="0" w:color="auto"/>
              <w:right w:val="single" w:sz="2" w:space="0" w:color="auto"/>
            </w:tcBorders>
            <w:vAlign w:val="center"/>
          </w:tcPr>
          <w:p w14:paraId="1F736D2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358,544,517.87</w:t>
            </w:r>
          </w:p>
        </w:tc>
        <w:tc>
          <w:tcPr>
            <w:tcW w:w="1606" w:type="dxa"/>
            <w:tcBorders>
              <w:top w:val="single" w:sz="2" w:space="0" w:color="auto"/>
              <w:left w:val="single" w:sz="2" w:space="0" w:color="auto"/>
              <w:bottom w:val="single" w:sz="2" w:space="0" w:color="auto"/>
              <w:right w:val="single" w:sz="2" w:space="0" w:color="auto"/>
            </w:tcBorders>
            <w:vAlign w:val="center"/>
          </w:tcPr>
          <w:p w14:paraId="2A304AD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2.69%</w:t>
            </w:r>
          </w:p>
        </w:tc>
        <w:tc>
          <w:tcPr>
            <w:tcW w:w="1606" w:type="dxa"/>
            <w:tcBorders>
              <w:top w:val="single" w:sz="2" w:space="0" w:color="auto"/>
              <w:left w:val="single" w:sz="2" w:space="0" w:color="auto"/>
              <w:bottom w:val="single" w:sz="2" w:space="0" w:color="auto"/>
              <w:right w:val="single" w:sz="2" w:space="0" w:color="auto"/>
            </w:tcBorders>
            <w:vAlign w:val="center"/>
          </w:tcPr>
          <w:p w14:paraId="19B2E3E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284,053,096.89</w:t>
            </w:r>
          </w:p>
        </w:tc>
        <w:tc>
          <w:tcPr>
            <w:tcW w:w="1606" w:type="dxa"/>
            <w:tcBorders>
              <w:top w:val="single" w:sz="2" w:space="0" w:color="auto"/>
              <w:left w:val="single" w:sz="2" w:space="0" w:color="auto"/>
              <w:bottom w:val="single" w:sz="2" w:space="0" w:color="auto"/>
              <w:right w:val="single" w:sz="2" w:space="0" w:color="auto"/>
            </w:tcBorders>
            <w:vAlign w:val="center"/>
          </w:tcPr>
          <w:p w14:paraId="7EDD122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1.76%</w:t>
            </w:r>
          </w:p>
        </w:tc>
        <w:tc>
          <w:tcPr>
            <w:tcW w:w="1606" w:type="dxa"/>
            <w:tcBorders>
              <w:top w:val="single" w:sz="2" w:space="0" w:color="auto"/>
              <w:left w:val="single" w:sz="2" w:space="0" w:color="auto"/>
              <w:bottom w:val="single" w:sz="2" w:space="0" w:color="auto"/>
              <w:right w:val="single" w:sz="2" w:space="0" w:color="auto"/>
            </w:tcBorders>
            <w:vAlign w:val="center"/>
          </w:tcPr>
          <w:p w14:paraId="020ED6E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26.22%</w:t>
            </w:r>
          </w:p>
        </w:tc>
      </w:tr>
      <w:tr w:rsidR="001D26E7" w:rsidRPr="00F614F9" w14:paraId="752737EB"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75BE03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东北地区</w:t>
            </w:r>
          </w:p>
        </w:tc>
        <w:tc>
          <w:tcPr>
            <w:tcW w:w="1606" w:type="dxa"/>
            <w:tcBorders>
              <w:top w:val="single" w:sz="2" w:space="0" w:color="auto"/>
              <w:left w:val="single" w:sz="2" w:space="0" w:color="auto"/>
              <w:bottom w:val="single" w:sz="2" w:space="0" w:color="auto"/>
              <w:right w:val="single" w:sz="2" w:space="0" w:color="auto"/>
            </w:tcBorders>
            <w:vAlign w:val="center"/>
          </w:tcPr>
          <w:p w14:paraId="0AB4758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941,552,814.77</w:t>
            </w:r>
          </w:p>
        </w:tc>
        <w:tc>
          <w:tcPr>
            <w:tcW w:w="1606" w:type="dxa"/>
            <w:tcBorders>
              <w:top w:val="single" w:sz="2" w:space="0" w:color="auto"/>
              <w:left w:val="single" w:sz="2" w:space="0" w:color="auto"/>
              <w:bottom w:val="single" w:sz="2" w:space="0" w:color="auto"/>
              <w:right w:val="single" w:sz="2" w:space="0" w:color="auto"/>
            </w:tcBorders>
            <w:vAlign w:val="center"/>
          </w:tcPr>
          <w:p w14:paraId="480E22B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7.07%</w:t>
            </w:r>
          </w:p>
        </w:tc>
        <w:tc>
          <w:tcPr>
            <w:tcW w:w="1606" w:type="dxa"/>
            <w:tcBorders>
              <w:top w:val="single" w:sz="2" w:space="0" w:color="auto"/>
              <w:left w:val="single" w:sz="2" w:space="0" w:color="auto"/>
              <w:bottom w:val="single" w:sz="2" w:space="0" w:color="auto"/>
              <w:right w:val="single" w:sz="2" w:space="0" w:color="auto"/>
            </w:tcBorders>
            <w:vAlign w:val="center"/>
          </w:tcPr>
          <w:p w14:paraId="6157DDA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689,769,349.13</w:t>
            </w:r>
          </w:p>
        </w:tc>
        <w:tc>
          <w:tcPr>
            <w:tcW w:w="1606" w:type="dxa"/>
            <w:tcBorders>
              <w:top w:val="single" w:sz="2" w:space="0" w:color="auto"/>
              <w:left w:val="single" w:sz="2" w:space="0" w:color="auto"/>
              <w:bottom w:val="single" w:sz="2" w:space="0" w:color="auto"/>
              <w:right w:val="single" w:sz="2" w:space="0" w:color="auto"/>
            </w:tcBorders>
            <w:vAlign w:val="center"/>
          </w:tcPr>
          <w:p w14:paraId="02DEB7C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4.28%</w:t>
            </w:r>
          </w:p>
        </w:tc>
        <w:tc>
          <w:tcPr>
            <w:tcW w:w="1606" w:type="dxa"/>
            <w:tcBorders>
              <w:top w:val="single" w:sz="2" w:space="0" w:color="auto"/>
              <w:left w:val="single" w:sz="2" w:space="0" w:color="auto"/>
              <w:bottom w:val="single" w:sz="2" w:space="0" w:color="auto"/>
              <w:right w:val="single" w:sz="2" w:space="0" w:color="auto"/>
            </w:tcBorders>
            <w:vAlign w:val="center"/>
          </w:tcPr>
          <w:p w14:paraId="353CB6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36.50%</w:t>
            </w:r>
          </w:p>
        </w:tc>
      </w:tr>
      <w:tr w:rsidR="001D26E7" w:rsidRPr="00F614F9" w14:paraId="3966B90B"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C991E5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西南地区</w:t>
            </w:r>
          </w:p>
        </w:tc>
        <w:tc>
          <w:tcPr>
            <w:tcW w:w="1606" w:type="dxa"/>
            <w:tcBorders>
              <w:top w:val="single" w:sz="2" w:space="0" w:color="auto"/>
              <w:left w:val="single" w:sz="2" w:space="0" w:color="auto"/>
              <w:bottom w:val="single" w:sz="2" w:space="0" w:color="auto"/>
              <w:right w:val="single" w:sz="2" w:space="0" w:color="auto"/>
            </w:tcBorders>
            <w:vAlign w:val="center"/>
          </w:tcPr>
          <w:p w14:paraId="192DE61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645,730,141.35</w:t>
            </w:r>
          </w:p>
        </w:tc>
        <w:tc>
          <w:tcPr>
            <w:tcW w:w="1606" w:type="dxa"/>
            <w:tcBorders>
              <w:top w:val="single" w:sz="2" w:space="0" w:color="auto"/>
              <w:left w:val="single" w:sz="2" w:space="0" w:color="auto"/>
              <w:bottom w:val="single" w:sz="2" w:space="0" w:color="auto"/>
              <w:right w:val="single" w:sz="2" w:space="0" w:color="auto"/>
            </w:tcBorders>
            <w:vAlign w:val="center"/>
          </w:tcPr>
          <w:p w14:paraId="10DFFA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4.85%</w:t>
            </w:r>
          </w:p>
        </w:tc>
        <w:tc>
          <w:tcPr>
            <w:tcW w:w="1606" w:type="dxa"/>
            <w:tcBorders>
              <w:top w:val="single" w:sz="2" w:space="0" w:color="auto"/>
              <w:left w:val="single" w:sz="2" w:space="0" w:color="auto"/>
              <w:bottom w:val="single" w:sz="2" w:space="0" w:color="auto"/>
              <w:right w:val="single" w:sz="2" w:space="0" w:color="auto"/>
            </w:tcBorders>
            <w:vAlign w:val="center"/>
          </w:tcPr>
          <w:p w14:paraId="7BA3C37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731,524,950.19</w:t>
            </w:r>
          </w:p>
        </w:tc>
        <w:tc>
          <w:tcPr>
            <w:tcW w:w="1606" w:type="dxa"/>
            <w:tcBorders>
              <w:top w:val="single" w:sz="2" w:space="0" w:color="auto"/>
              <w:left w:val="single" w:sz="2" w:space="0" w:color="auto"/>
              <w:bottom w:val="single" w:sz="2" w:space="0" w:color="auto"/>
              <w:right w:val="single" w:sz="2" w:space="0" w:color="auto"/>
            </w:tcBorders>
            <w:vAlign w:val="center"/>
          </w:tcPr>
          <w:p w14:paraId="548F522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4.54%</w:t>
            </w:r>
          </w:p>
        </w:tc>
        <w:tc>
          <w:tcPr>
            <w:tcW w:w="1606" w:type="dxa"/>
            <w:tcBorders>
              <w:top w:val="single" w:sz="2" w:space="0" w:color="auto"/>
              <w:left w:val="single" w:sz="2" w:space="0" w:color="auto"/>
              <w:bottom w:val="single" w:sz="2" w:space="0" w:color="auto"/>
              <w:right w:val="single" w:sz="2" w:space="0" w:color="auto"/>
            </w:tcBorders>
            <w:vAlign w:val="center"/>
          </w:tcPr>
          <w:p w14:paraId="1950520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-11.73%</w:t>
            </w:r>
          </w:p>
        </w:tc>
      </w:tr>
      <w:tr w:rsidR="001D26E7" w:rsidRPr="00F614F9" w14:paraId="10BF2049"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4D5BC2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西北地区及其他</w:t>
            </w:r>
          </w:p>
        </w:tc>
        <w:tc>
          <w:tcPr>
            <w:tcW w:w="1606" w:type="dxa"/>
            <w:tcBorders>
              <w:top w:val="single" w:sz="2" w:space="0" w:color="auto"/>
              <w:left w:val="single" w:sz="2" w:space="0" w:color="auto"/>
              <w:bottom w:val="single" w:sz="2" w:space="0" w:color="auto"/>
              <w:right w:val="single" w:sz="2" w:space="0" w:color="auto"/>
            </w:tcBorders>
            <w:vAlign w:val="center"/>
          </w:tcPr>
          <w:p w14:paraId="06A0FAB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73,525,629.56</w:t>
            </w:r>
          </w:p>
        </w:tc>
        <w:tc>
          <w:tcPr>
            <w:tcW w:w="1606" w:type="dxa"/>
            <w:tcBorders>
              <w:top w:val="single" w:sz="2" w:space="0" w:color="auto"/>
              <w:left w:val="single" w:sz="2" w:space="0" w:color="auto"/>
              <w:bottom w:val="single" w:sz="2" w:space="0" w:color="auto"/>
              <w:right w:val="single" w:sz="2" w:space="0" w:color="auto"/>
            </w:tcBorders>
            <w:vAlign w:val="center"/>
          </w:tcPr>
          <w:p w14:paraId="68C0102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0.55%</w:t>
            </w:r>
          </w:p>
        </w:tc>
        <w:tc>
          <w:tcPr>
            <w:tcW w:w="1606" w:type="dxa"/>
            <w:tcBorders>
              <w:top w:val="single" w:sz="2" w:space="0" w:color="auto"/>
              <w:left w:val="single" w:sz="2" w:space="0" w:color="auto"/>
              <w:bottom w:val="single" w:sz="2" w:space="0" w:color="auto"/>
              <w:right w:val="single" w:sz="2" w:space="0" w:color="auto"/>
            </w:tcBorders>
            <w:vAlign w:val="center"/>
          </w:tcPr>
          <w:p w14:paraId="2B39A7A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103,086,663.78</w:t>
            </w:r>
          </w:p>
        </w:tc>
        <w:tc>
          <w:tcPr>
            <w:tcW w:w="1606" w:type="dxa"/>
            <w:tcBorders>
              <w:top w:val="single" w:sz="2" w:space="0" w:color="auto"/>
              <w:left w:val="single" w:sz="2" w:space="0" w:color="auto"/>
              <w:bottom w:val="single" w:sz="2" w:space="0" w:color="auto"/>
              <w:right w:val="single" w:sz="2" w:space="0" w:color="auto"/>
            </w:tcBorders>
            <w:vAlign w:val="center"/>
          </w:tcPr>
          <w:p w14:paraId="5DE17D9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0.64%</w:t>
            </w:r>
          </w:p>
        </w:tc>
        <w:tc>
          <w:tcPr>
            <w:tcW w:w="1606" w:type="dxa"/>
            <w:tcBorders>
              <w:top w:val="single" w:sz="2" w:space="0" w:color="auto"/>
              <w:left w:val="single" w:sz="2" w:space="0" w:color="auto"/>
              <w:bottom w:val="single" w:sz="2" w:space="0" w:color="auto"/>
              <w:right w:val="single" w:sz="2" w:space="0" w:color="auto"/>
            </w:tcBorders>
            <w:vAlign w:val="center"/>
          </w:tcPr>
          <w:p w14:paraId="2E9B23F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-28.68%</w:t>
            </w:r>
          </w:p>
        </w:tc>
      </w:tr>
      <w:tr w:rsidR="001D26E7" w:rsidRPr="00F614F9" w14:paraId="14FC0733" w14:textId="7777777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0F463F6E" w14:textId="77777777" w:rsidR="001D26E7" w:rsidRPr="00F614F9" w:rsidRDefault="00000000">
            <w:pPr>
              <w:spacing w:before="40" w:after="40"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分销售</w:t>
            </w:r>
            <w:proofErr w:type="gramEnd"/>
            <w:r w:rsidRPr="00F614F9">
              <w:rPr>
                <w:rFonts w:ascii="Times New Roman" w:eastAsia="宋体" w:hAnsi="Times New Roman" w:cs="宋体"/>
                <w:sz w:val="18"/>
                <w:szCs w:val="18"/>
              </w:rPr>
              <w:t>模式</w:t>
            </w:r>
          </w:p>
        </w:tc>
      </w:tr>
      <w:tr w:rsidR="001D26E7" w:rsidRPr="00F614F9" w14:paraId="091EEE35"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3ACF7C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经销</w:t>
            </w:r>
          </w:p>
        </w:tc>
        <w:tc>
          <w:tcPr>
            <w:tcW w:w="1606" w:type="dxa"/>
            <w:tcBorders>
              <w:top w:val="single" w:sz="2" w:space="0" w:color="auto"/>
              <w:left w:val="single" w:sz="2" w:space="0" w:color="auto"/>
              <w:bottom w:val="single" w:sz="2" w:space="0" w:color="auto"/>
              <w:right w:val="single" w:sz="2" w:space="0" w:color="auto"/>
            </w:tcBorders>
            <w:vAlign w:val="center"/>
          </w:tcPr>
          <w:p w14:paraId="3DA9AB3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10,545,111,965.14</w:t>
            </w:r>
          </w:p>
        </w:tc>
        <w:tc>
          <w:tcPr>
            <w:tcW w:w="1606" w:type="dxa"/>
            <w:tcBorders>
              <w:top w:val="single" w:sz="2" w:space="0" w:color="auto"/>
              <w:left w:val="single" w:sz="2" w:space="0" w:color="auto"/>
              <w:bottom w:val="single" w:sz="2" w:space="0" w:color="auto"/>
              <w:right w:val="single" w:sz="2" w:space="0" w:color="auto"/>
            </w:tcBorders>
            <w:vAlign w:val="center"/>
          </w:tcPr>
          <w:p w14:paraId="311A196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79.18%</w:t>
            </w:r>
          </w:p>
        </w:tc>
        <w:tc>
          <w:tcPr>
            <w:tcW w:w="1606" w:type="dxa"/>
            <w:tcBorders>
              <w:top w:val="single" w:sz="2" w:space="0" w:color="auto"/>
              <w:left w:val="single" w:sz="2" w:space="0" w:color="auto"/>
              <w:bottom w:val="single" w:sz="2" w:space="0" w:color="auto"/>
              <w:right w:val="single" w:sz="2" w:space="0" w:color="auto"/>
            </w:tcBorders>
            <w:vAlign w:val="center"/>
          </w:tcPr>
          <w:p w14:paraId="514C3AC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12,746,410,159.50</w:t>
            </w:r>
          </w:p>
        </w:tc>
        <w:tc>
          <w:tcPr>
            <w:tcW w:w="1606" w:type="dxa"/>
            <w:tcBorders>
              <w:top w:val="single" w:sz="2" w:space="0" w:color="auto"/>
              <w:left w:val="single" w:sz="2" w:space="0" w:color="auto"/>
              <w:bottom w:val="single" w:sz="2" w:space="0" w:color="auto"/>
              <w:right w:val="single" w:sz="2" w:space="0" w:color="auto"/>
            </w:tcBorders>
            <w:vAlign w:val="center"/>
          </w:tcPr>
          <w:p w14:paraId="747812B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79.09%</w:t>
            </w:r>
          </w:p>
        </w:tc>
        <w:tc>
          <w:tcPr>
            <w:tcW w:w="1606" w:type="dxa"/>
            <w:tcBorders>
              <w:top w:val="single" w:sz="2" w:space="0" w:color="auto"/>
              <w:left w:val="single" w:sz="2" w:space="0" w:color="auto"/>
              <w:bottom w:val="single" w:sz="2" w:space="0" w:color="auto"/>
              <w:right w:val="single" w:sz="2" w:space="0" w:color="auto"/>
            </w:tcBorders>
            <w:vAlign w:val="center"/>
          </w:tcPr>
          <w:p w14:paraId="3D733E0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-17.27%</w:t>
            </w:r>
          </w:p>
        </w:tc>
      </w:tr>
      <w:tr w:rsidR="001D26E7" w:rsidRPr="00F614F9" w14:paraId="605CFB30"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2A5171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直销</w:t>
            </w:r>
          </w:p>
        </w:tc>
        <w:tc>
          <w:tcPr>
            <w:tcW w:w="1606" w:type="dxa"/>
            <w:tcBorders>
              <w:top w:val="single" w:sz="2" w:space="0" w:color="auto"/>
              <w:left w:val="single" w:sz="2" w:space="0" w:color="auto"/>
              <w:bottom w:val="single" w:sz="2" w:space="0" w:color="auto"/>
              <w:right w:val="single" w:sz="2" w:space="0" w:color="auto"/>
            </w:tcBorders>
            <w:vAlign w:val="center"/>
          </w:tcPr>
          <w:p w14:paraId="12726FF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2,773,361,246.76</w:t>
            </w:r>
          </w:p>
        </w:tc>
        <w:tc>
          <w:tcPr>
            <w:tcW w:w="1606" w:type="dxa"/>
            <w:tcBorders>
              <w:top w:val="single" w:sz="2" w:space="0" w:color="auto"/>
              <w:left w:val="single" w:sz="2" w:space="0" w:color="auto"/>
              <w:bottom w:val="single" w:sz="2" w:space="0" w:color="auto"/>
              <w:right w:val="single" w:sz="2" w:space="0" w:color="auto"/>
            </w:tcBorders>
            <w:vAlign w:val="center"/>
          </w:tcPr>
          <w:p w14:paraId="4B3D54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20.82%</w:t>
            </w:r>
          </w:p>
        </w:tc>
        <w:tc>
          <w:tcPr>
            <w:tcW w:w="1606" w:type="dxa"/>
            <w:tcBorders>
              <w:top w:val="single" w:sz="2" w:space="0" w:color="auto"/>
              <w:left w:val="single" w:sz="2" w:space="0" w:color="auto"/>
              <w:bottom w:val="single" w:sz="2" w:space="0" w:color="auto"/>
              <w:right w:val="single" w:sz="2" w:space="0" w:color="auto"/>
            </w:tcBorders>
            <w:vAlign w:val="center"/>
          </w:tcPr>
          <w:p w14:paraId="0ACE965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3,369,896,899.91</w:t>
            </w:r>
          </w:p>
        </w:tc>
        <w:tc>
          <w:tcPr>
            <w:tcW w:w="1606" w:type="dxa"/>
            <w:tcBorders>
              <w:top w:val="single" w:sz="2" w:space="0" w:color="auto"/>
              <w:left w:val="single" w:sz="2" w:space="0" w:color="auto"/>
              <w:bottom w:val="single" w:sz="2" w:space="0" w:color="auto"/>
              <w:right w:val="single" w:sz="2" w:space="0" w:color="auto"/>
            </w:tcBorders>
            <w:vAlign w:val="center"/>
          </w:tcPr>
          <w:p w14:paraId="32699D9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20.91%</w:t>
            </w:r>
          </w:p>
        </w:tc>
        <w:tc>
          <w:tcPr>
            <w:tcW w:w="1606" w:type="dxa"/>
            <w:tcBorders>
              <w:top w:val="single" w:sz="2" w:space="0" w:color="auto"/>
              <w:left w:val="single" w:sz="2" w:space="0" w:color="auto"/>
              <w:bottom w:val="single" w:sz="2" w:space="0" w:color="auto"/>
              <w:right w:val="single" w:sz="2" w:space="0" w:color="auto"/>
            </w:tcBorders>
            <w:vAlign w:val="center"/>
          </w:tcPr>
          <w:p w14:paraId="18CF362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-17.70%</w:t>
            </w:r>
          </w:p>
        </w:tc>
      </w:tr>
    </w:tbl>
    <w:p w14:paraId="6A1D40CB"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34" w:name="_Toc988910"/>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2</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占公司营业收入或营业利润</w:t>
      </w:r>
      <w:r w:rsidRPr="00F614F9">
        <w:rPr>
          <w:rFonts w:ascii="Times New Roman" w:eastAsia="宋体" w:hAnsi="Times New Roman" w:cs="宋体"/>
          <w:b/>
          <w:bCs/>
          <w:sz w:val="18"/>
          <w:szCs w:val="18"/>
        </w:rPr>
        <w:t>10%</w:t>
      </w:r>
      <w:r w:rsidRPr="00F614F9">
        <w:rPr>
          <w:rFonts w:ascii="Times New Roman" w:eastAsia="宋体" w:hAnsi="Times New Roman" w:cs="宋体"/>
          <w:b/>
          <w:bCs/>
          <w:sz w:val="18"/>
          <w:szCs w:val="18"/>
        </w:rPr>
        <w:t>以上的行业、产品、地区、销售模式的情况</w:t>
      </w:r>
      <w:bookmarkEnd w:id="34"/>
    </w:p>
    <w:p w14:paraId="7F4B9C3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12B4B61C"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781"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8"/>
        <w:gridCol w:w="1701"/>
        <w:gridCol w:w="1701"/>
        <w:gridCol w:w="992"/>
        <w:gridCol w:w="1418"/>
        <w:gridCol w:w="1417"/>
        <w:gridCol w:w="1134"/>
      </w:tblGrid>
      <w:tr w:rsidR="001D26E7" w:rsidRPr="00F614F9" w14:paraId="3CD34088" w14:textId="77777777" w:rsidTr="00C90873">
        <w:trPr>
          <w:trHeight w:val="240"/>
          <w:jc w:val="center"/>
        </w:trPr>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39BB18A1" w14:textId="77777777" w:rsidR="001D26E7" w:rsidRPr="00F614F9" w:rsidRDefault="001D26E7">
            <w:pPr>
              <w:rPr>
                <w:rFonts w:ascii="Times New Roman" w:hAnsi="Times New Roman"/>
              </w:rPr>
            </w:pP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59ACA4C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营业收入</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4F39C99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营业成本</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76F7B69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毛利率</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1825A28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营业收入比上年同期增减</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76D96B8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营业成本比上年同期增减</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E004E9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毛利率比上年同期增减</w:t>
            </w:r>
          </w:p>
        </w:tc>
      </w:tr>
      <w:tr w:rsidR="001D26E7" w:rsidRPr="00F614F9" w14:paraId="5ED0FCFF" w14:textId="77777777" w:rsidTr="00C90873">
        <w:trPr>
          <w:trHeight w:val="240"/>
          <w:jc w:val="center"/>
        </w:trPr>
        <w:tc>
          <w:tcPr>
            <w:tcW w:w="9781"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0F5F872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分行业</w:t>
            </w:r>
          </w:p>
        </w:tc>
      </w:tr>
      <w:tr w:rsidR="001D26E7" w:rsidRPr="00F614F9" w14:paraId="6866C9E5" w14:textId="77777777" w:rsidTr="00C90873">
        <w:trPr>
          <w:trHeight w:val="240"/>
          <w:jc w:val="center"/>
        </w:trPr>
        <w:tc>
          <w:tcPr>
            <w:tcW w:w="1418" w:type="dxa"/>
            <w:tcBorders>
              <w:top w:val="single" w:sz="2" w:space="0" w:color="auto"/>
              <w:left w:val="single" w:sz="2" w:space="0" w:color="auto"/>
              <w:bottom w:val="single" w:sz="2" w:space="0" w:color="auto"/>
              <w:right w:val="single" w:sz="2" w:space="0" w:color="auto"/>
            </w:tcBorders>
            <w:vAlign w:val="center"/>
          </w:tcPr>
          <w:p w14:paraId="128698F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屠宰行业</w:t>
            </w:r>
          </w:p>
        </w:tc>
        <w:tc>
          <w:tcPr>
            <w:tcW w:w="1701" w:type="dxa"/>
            <w:tcBorders>
              <w:top w:val="single" w:sz="2" w:space="0" w:color="auto"/>
              <w:left w:val="single" w:sz="2" w:space="0" w:color="auto"/>
              <w:bottom w:val="single" w:sz="2" w:space="0" w:color="auto"/>
              <w:right w:val="single" w:sz="2" w:space="0" w:color="auto"/>
            </w:tcBorders>
            <w:vAlign w:val="center"/>
          </w:tcPr>
          <w:p w14:paraId="50A6AC1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9,631,433,952.20</w:t>
            </w:r>
          </w:p>
        </w:tc>
        <w:tc>
          <w:tcPr>
            <w:tcW w:w="1701" w:type="dxa"/>
            <w:tcBorders>
              <w:top w:val="single" w:sz="2" w:space="0" w:color="auto"/>
              <w:left w:val="single" w:sz="2" w:space="0" w:color="auto"/>
              <w:bottom w:val="single" w:sz="2" w:space="0" w:color="auto"/>
              <w:right w:val="single" w:sz="2" w:space="0" w:color="auto"/>
            </w:tcBorders>
            <w:vAlign w:val="center"/>
          </w:tcPr>
          <w:p w14:paraId="252409C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9,844,332,552.89</w:t>
            </w:r>
          </w:p>
        </w:tc>
        <w:tc>
          <w:tcPr>
            <w:tcW w:w="992" w:type="dxa"/>
            <w:tcBorders>
              <w:top w:val="single" w:sz="2" w:space="0" w:color="auto"/>
              <w:left w:val="single" w:sz="2" w:space="0" w:color="auto"/>
              <w:bottom w:val="single" w:sz="2" w:space="0" w:color="auto"/>
              <w:right w:val="single" w:sz="2" w:space="0" w:color="auto"/>
            </w:tcBorders>
            <w:vAlign w:val="center"/>
          </w:tcPr>
          <w:p w14:paraId="7298E07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-2.21%</w:t>
            </w:r>
          </w:p>
        </w:tc>
        <w:tc>
          <w:tcPr>
            <w:tcW w:w="1418" w:type="dxa"/>
            <w:tcBorders>
              <w:top w:val="single" w:sz="2" w:space="0" w:color="auto"/>
              <w:left w:val="single" w:sz="2" w:space="0" w:color="auto"/>
              <w:bottom w:val="single" w:sz="2" w:space="0" w:color="auto"/>
              <w:right w:val="single" w:sz="2" w:space="0" w:color="auto"/>
            </w:tcBorders>
            <w:vAlign w:val="center"/>
          </w:tcPr>
          <w:p w14:paraId="6DE799F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-19.94%</w:t>
            </w:r>
          </w:p>
        </w:tc>
        <w:tc>
          <w:tcPr>
            <w:tcW w:w="1417" w:type="dxa"/>
            <w:tcBorders>
              <w:top w:val="single" w:sz="2" w:space="0" w:color="auto"/>
              <w:left w:val="single" w:sz="2" w:space="0" w:color="auto"/>
              <w:bottom w:val="single" w:sz="2" w:space="0" w:color="auto"/>
              <w:right w:val="single" w:sz="2" w:space="0" w:color="auto"/>
            </w:tcBorders>
            <w:vAlign w:val="center"/>
          </w:tcPr>
          <w:p w14:paraId="690A215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-16.72%</w:t>
            </w:r>
          </w:p>
        </w:tc>
        <w:tc>
          <w:tcPr>
            <w:tcW w:w="1134" w:type="dxa"/>
            <w:tcBorders>
              <w:top w:val="single" w:sz="2" w:space="0" w:color="auto"/>
              <w:left w:val="single" w:sz="2" w:space="0" w:color="auto"/>
              <w:bottom w:val="single" w:sz="2" w:space="0" w:color="auto"/>
              <w:right w:val="single" w:sz="2" w:space="0" w:color="auto"/>
            </w:tcBorders>
            <w:vAlign w:val="center"/>
          </w:tcPr>
          <w:p w14:paraId="44AE28F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-3.95%</w:t>
            </w:r>
          </w:p>
        </w:tc>
      </w:tr>
      <w:tr w:rsidR="001D26E7" w:rsidRPr="00F614F9" w14:paraId="67CBD426" w14:textId="77777777" w:rsidTr="00C90873">
        <w:trPr>
          <w:trHeight w:val="240"/>
          <w:jc w:val="center"/>
        </w:trPr>
        <w:tc>
          <w:tcPr>
            <w:tcW w:w="1418" w:type="dxa"/>
            <w:tcBorders>
              <w:top w:val="single" w:sz="2" w:space="0" w:color="auto"/>
              <w:left w:val="single" w:sz="2" w:space="0" w:color="auto"/>
              <w:bottom w:val="single" w:sz="2" w:space="0" w:color="auto"/>
              <w:right w:val="single" w:sz="2" w:space="0" w:color="auto"/>
            </w:tcBorders>
            <w:vAlign w:val="center"/>
          </w:tcPr>
          <w:p w14:paraId="4A5C568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食品行业</w:t>
            </w:r>
          </w:p>
        </w:tc>
        <w:tc>
          <w:tcPr>
            <w:tcW w:w="1701" w:type="dxa"/>
            <w:tcBorders>
              <w:top w:val="single" w:sz="2" w:space="0" w:color="auto"/>
              <w:left w:val="single" w:sz="2" w:space="0" w:color="auto"/>
              <w:bottom w:val="single" w:sz="2" w:space="0" w:color="auto"/>
              <w:right w:val="single" w:sz="2" w:space="0" w:color="auto"/>
            </w:tcBorders>
            <w:vAlign w:val="center"/>
          </w:tcPr>
          <w:p w14:paraId="5370F21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2,223,116,880.36</w:t>
            </w:r>
          </w:p>
        </w:tc>
        <w:tc>
          <w:tcPr>
            <w:tcW w:w="1701" w:type="dxa"/>
            <w:tcBorders>
              <w:top w:val="single" w:sz="2" w:space="0" w:color="auto"/>
              <w:left w:val="single" w:sz="2" w:space="0" w:color="auto"/>
              <w:bottom w:val="single" w:sz="2" w:space="0" w:color="auto"/>
              <w:right w:val="single" w:sz="2" w:space="0" w:color="auto"/>
            </w:tcBorders>
            <w:vAlign w:val="center"/>
          </w:tcPr>
          <w:p w14:paraId="2F04C6F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1,998,231,046.51</w:t>
            </w:r>
          </w:p>
        </w:tc>
        <w:tc>
          <w:tcPr>
            <w:tcW w:w="992" w:type="dxa"/>
            <w:tcBorders>
              <w:top w:val="single" w:sz="2" w:space="0" w:color="auto"/>
              <w:left w:val="single" w:sz="2" w:space="0" w:color="auto"/>
              <w:bottom w:val="single" w:sz="2" w:space="0" w:color="auto"/>
              <w:right w:val="single" w:sz="2" w:space="0" w:color="auto"/>
            </w:tcBorders>
            <w:vAlign w:val="center"/>
          </w:tcPr>
          <w:p w14:paraId="655173F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10.12%</w:t>
            </w:r>
          </w:p>
        </w:tc>
        <w:tc>
          <w:tcPr>
            <w:tcW w:w="1418" w:type="dxa"/>
            <w:tcBorders>
              <w:top w:val="single" w:sz="2" w:space="0" w:color="auto"/>
              <w:left w:val="single" w:sz="2" w:space="0" w:color="auto"/>
              <w:bottom w:val="single" w:sz="2" w:space="0" w:color="auto"/>
              <w:right w:val="single" w:sz="2" w:space="0" w:color="auto"/>
            </w:tcBorders>
            <w:vAlign w:val="center"/>
          </w:tcPr>
          <w:p w14:paraId="00DB28E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34.60%</w:t>
            </w:r>
          </w:p>
        </w:tc>
        <w:tc>
          <w:tcPr>
            <w:tcW w:w="1417" w:type="dxa"/>
            <w:tcBorders>
              <w:top w:val="single" w:sz="2" w:space="0" w:color="auto"/>
              <w:left w:val="single" w:sz="2" w:space="0" w:color="auto"/>
              <w:bottom w:val="single" w:sz="2" w:space="0" w:color="auto"/>
              <w:right w:val="single" w:sz="2" w:space="0" w:color="auto"/>
            </w:tcBorders>
            <w:vAlign w:val="center"/>
          </w:tcPr>
          <w:p w14:paraId="72BCA25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39.00%</w:t>
            </w:r>
          </w:p>
        </w:tc>
        <w:tc>
          <w:tcPr>
            <w:tcW w:w="1134" w:type="dxa"/>
            <w:tcBorders>
              <w:top w:val="single" w:sz="2" w:space="0" w:color="auto"/>
              <w:left w:val="single" w:sz="2" w:space="0" w:color="auto"/>
              <w:bottom w:val="single" w:sz="2" w:space="0" w:color="auto"/>
              <w:right w:val="single" w:sz="2" w:space="0" w:color="auto"/>
            </w:tcBorders>
            <w:vAlign w:val="center"/>
          </w:tcPr>
          <w:p w14:paraId="49AC086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-2.84%</w:t>
            </w:r>
          </w:p>
        </w:tc>
      </w:tr>
      <w:tr w:rsidR="001D26E7" w:rsidRPr="00F614F9" w14:paraId="5BF131FF" w14:textId="77777777" w:rsidTr="00C90873">
        <w:trPr>
          <w:trHeight w:val="240"/>
          <w:jc w:val="center"/>
        </w:trPr>
        <w:tc>
          <w:tcPr>
            <w:tcW w:w="9781"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1196A97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分产品</w:t>
            </w:r>
          </w:p>
        </w:tc>
      </w:tr>
      <w:tr w:rsidR="001D26E7" w:rsidRPr="00F614F9" w14:paraId="21FA0043" w14:textId="77777777" w:rsidTr="00C90873">
        <w:trPr>
          <w:trHeight w:val="240"/>
          <w:jc w:val="center"/>
        </w:trPr>
        <w:tc>
          <w:tcPr>
            <w:tcW w:w="1418" w:type="dxa"/>
            <w:tcBorders>
              <w:top w:val="single" w:sz="2" w:space="0" w:color="auto"/>
              <w:left w:val="single" w:sz="2" w:space="0" w:color="auto"/>
              <w:bottom w:val="single" w:sz="2" w:space="0" w:color="auto"/>
              <w:right w:val="single" w:sz="2" w:space="0" w:color="auto"/>
            </w:tcBorders>
            <w:vAlign w:val="center"/>
          </w:tcPr>
          <w:p w14:paraId="4F17DAB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鲜冻肉</w:t>
            </w:r>
          </w:p>
        </w:tc>
        <w:tc>
          <w:tcPr>
            <w:tcW w:w="1701" w:type="dxa"/>
            <w:tcBorders>
              <w:top w:val="single" w:sz="2" w:space="0" w:color="auto"/>
              <w:left w:val="single" w:sz="2" w:space="0" w:color="auto"/>
              <w:bottom w:val="single" w:sz="2" w:space="0" w:color="auto"/>
              <w:right w:val="single" w:sz="2" w:space="0" w:color="auto"/>
            </w:tcBorders>
            <w:vAlign w:val="center"/>
          </w:tcPr>
          <w:p w14:paraId="612E07C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9,631,433,952.20</w:t>
            </w:r>
          </w:p>
        </w:tc>
        <w:tc>
          <w:tcPr>
            <w:tcW w:w="1701" w:type="dxa"/>
            <w:tcBorders>
              <w:top w:val="single" w:sz="2" w:space="0" w:color="auto"/>
              <w:left w:val="single" w:sz="2" w:space="0" w:color="auto"/>
              <w:bottom w:val="single" w:sz="2" w:space="0" w:color="auto"/>
              <w:right w:val="single" w:sz="2" w:space="0" w:color="auto"/>
            </w:tcBorders>
            <w:vAlign w:val="center"/>
          </w:tcPr>
          <w:p w14:paraId="3DED35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9,844,332,552.89</w:t>
            </w:r>
          </w:p>
        </w:tc>
        <w:tc>
          <w:tcPr>
            <w:tcW w:w="992" w:type="dxa"/>
            <w:tcBorders>
              <w:top w:val="single" w:sz="2" w:space="0" w:color="auto"/>
              <w:left w:val="single" w:sz="2" w:space="0" w:color="auto"/>
              <w:bottom w:val="single" w:sz="2" w:space="0" w:color="auto"/>
              <w:right w:val="single" w:sz="2" w:space="0" w:color="auto"/>
            </w:tcBorders>
            <w:vAlign w:val="center"/>
          </w:tcPr>
          <w:p w14:paraId="5032477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-2.21%</w:t>
            </w:r>
          </w:p>
        </w:tc>
        <w:tc>
          <w:tcPr>
            <w:tcW w:w="1418" w:type="dxa"/>
            <w:tcBorders>
              <w:top w:val="single" w:sz="2" w:space="0" w:color="auto"/>
              <w:left w:val="single" w:sz="2" w:space="0" w:color="auto"/>
              <w:bottom w:val="single" w:sz="2" w:space="0" w:color="auto"/>
              <w:right w:val="single" w:sz="2" w:space="0" w:color="auto"/>
            </w:tcBorders>
            <w:vAlign w:val="center"/>
          </w:tcPr>
          <w:p w14:paraId="33ED14A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-19.94%</w:t>
            </w:r>
          </w:p>
        </w:tc>
        <w:tc>
          <w:tcPr>
            <w:tcW w:w="1417" w:type="dxa"/>
            <w:tcBorders>
              <w:top w:val="single" w:sz="2" w:space="0" w:color="auto"/>
              <w:left w:val="single" w:sz="2" w:space="0" w:color="auto"/>
              <w:bottom w:val="single" w:sz="2" w:space="0" w:color="auto"/>
              <w:right w:val="single" w:sz="2" w:space="0" w:color="auto"/>
            </w:tcBorders>
            <w:vAlign w:val="center"/>
          </w:tcPr>
          <w:p w14:paraId="293DEB6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-16.72%</w:t>
            </w:r>
          </w:p>
        </w:tc>
        <w:tc>
          <w:tcPr>
            <w:tcW w:w="1134" w:type="dxa"/>
            <w:tcBorders>
              <w:top w:val="single" w:sz="2" w:space="0" w:color="auto"/>
              <w:left w:val="single" w:sz="2" w:space="0" w:color="auto"/>
              <w:bottom w:val="single" w:sz="2" w:space="0" w:color="auto"/>
              <w:right w:val="single" w:sz="2" w:space="0" w:color="auto"/>
            </w:tcBorders>
            <w:vAlign w:val="center"/>
          </w:tcPr>
          <w:p w14:paraId="477D037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-3.95%</w:t>
            </w:r>
          </w:p>
        </w:tc>
      </w:tr>
      <w:tr w:rsidR="001D26E7" w:rsidRPr="00F614F9" w14:paraId="183604C0" w14:textId="77777777" w:rsidTr="00C90873">
        <w:trPr>
          <w:trHeight w:val="240"/>
          <w:jc w:val="center"/>
        </w:trPr>
        <w:tc>
          <w:tcPr>
            <w:tcW w:w="1418" w:type="dxa"/>
            <w:tcBorders>
              <w:top w:val="single" w:sz="2" w:space="0" w:color="auto"/>
              <w:left w:val="single" w:sz="2" w:space="0" w:color="auto"/>
              <w:bottom w:val="single" w:sz="2" w:space="0" w:color="auto"/>
              <w:right w:val="single" w:sz="2" w:space="0" w:color="auto"/>
            </w:tcBorders>
            <w:vAlign w:val="center"/>
          </w:tcPr>
          <w:p w14:paraId="0EE8C7A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预制食品</w:t>
            </w:r>
          </w:p>
        </w:tc>
        <w:tc>
          <w:tcPr>
            <w:tcW w:w="1701" w:type="dxa"/>
            <w:tcBorders>
              <w:top w:val="single" w:sz="2" w:space="0" w:color="auto"/>
              <w:left w:val="single" w:sz="2" w:space="0" w:color="auto"/>
              <w:bottom w:val="single" w:sz="2" w:space="0" w:color="auto"/>
              <w:right w:val="single" w:sz="2" w:space="0" w:color="auto"/>
            </w:tcBorders>
            <w:vAlign w:val="center"/>
          </w:tcPr>
          <w:p w14:paraId="133F5BA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1,983,804,802.03</w:t>
            </w:r>
          </w:p>
        </w:tc>
        <w:tc>
          <w:tcPr>
            <w:tcW w:w="1701" w:type="dxa"/>
            <w:tcBorders>
              <w:top w:val="single" w:sz="2" w:space="0" w:color="auto"/>
              <w:left w:val="single" w:sz="2" w:space="0" w:color="auto"/>
              <w:bottom w:val="single" w:sz="2" w:space="0" w:color="auto"/>
              <w:right w:val="single" w:sz="2" w:space="0" w:color="auto"/>
            </w:tcBorders>
            <w:vAlign w:val="center"/>
          </w:tcPr>
          <w:p w14:paraId="00AC12A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1,791,073,735.92</w:t>
            </w:r>
          </w:p>
        </w:tc>
        <w:tc>
          <w:tcPr>
            <w:tcW w:w="992" w:type="dxa"/>
            <w:tcBorders>
              <w:top w:val="single" w:sz="2" w:space="0" w:color="auto"/>
              <w:left w:val="single" w:sz="2" w:space="0" w:color="auto"/>
              <w:bottom w:val="single" w:sz="2" w:space="0" w:color="auto"/>
              <w:right w:val="single" w:sz="2" w:space="0" w:color="auto"/>
            </w:tcBorders>
            <w:vAlign w:val="center"/>
          </w:tcPr>
          <w:p w14:paraId="6454433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9.72%</w:t>
            </w:r>
          </w:p>
        </w:tc>
        <w:tc>
          <w:tcPr>
            <w:tcW w:w="1418" w:type="dxa"/>
            <w:tcBorders>
              <w:top w:val="single" w:sz="2" w:space="0" w:color="auto"/>
              <w:left w:val="single" w:sz="2" w:space="0" w:color="auto"/>
              <w:bottom w:val="single" w:sz="2" w:space="0" w:color="auto"/>
              <w:right w:val="single" w:sz="2" w:space="0" w:color="auto"/>
            </w:tcBorders>
            <w:vAlign w:val="center"/>
          </w:tcPr>
          <w:p w14:paraId="0FA492A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50.94%</w:t>
            </w:r>
          </w:p>
        </w:tc>
        <w:tc>
          <w:tcPr>
            <w:tcW w:w="1417" w:type="dxa"/>
            <w:tcBorders>
              <w:top w:val="single" w:sz="2" w:space="0" w:color="auto"/>
              <w:left w:val="single" w:sz="2" w:space="0" w:color="auto"/>
              <w:bottom w:val="single" w:sz="2" w:space="0" w:color="auto"/>
              <w:right w:val="single" w:sz="2" w:space="0" w:color="auto"/>
            </w:tcBorders>
            <w:vAlign w:val="center"/>
          </w:tcPr>
          <w:p w14:paraId="379B73B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52.15%</w:t>
            </w:r>
          </w:p>
        </w:tc>
        <w:tc>
          <w:tcPr>
            <w:tcW w:w="1134" w:type="dxa"/>
            <w:tcBorders>
              <w:top w:val="single" w:sz="2" w:space="0" w:color="auto"/>
              <w:left w:val="single" w:sz="2" w:space="0" w:color="auto"/>
              <w:bottom w:val="single" w:sz="2" w:space="0" w:color="auto"/>
              <w:right w:val="single" w:sz="2" w:space="0" w:color="auto"/>
            </w:tcBorders>
            <w:vAlign w:val="center"/>
          </w:tcPr>
          <w:p w14:paraId="61B2821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-0.72%</w:t>
            </w:r>
          </w:p>
        </w:tc>
      </w:tr>
      <w:tr w:rsidR="001D26E7" w:rsidRPr="00F614F9" w14:paraId="03CC7577" w14:textId="77777777" w:rsidTr="00C90873">
        <w:trPr>
          <w:trHeight w:val="240"/>
          <w:jc w:val="center"/>
        </w:trPr>
        <w:tc>
          <w:tcPr>
            <w:tcW w:w="9781"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6B61036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分地区</w:t>
            </w:r>
          </w:p>
        </w:tc>
      </w:tr>
      <w:tr w:rsidR="001D26E7" w:rsidRPr="00F614F9" w14:paraId="3C8E6090" w14:textId="77777777" w:rsidTr="00C90873">
        <w:trPr>
          <w:trHeight w:val="240"/>
          <w:jc w:val="center"/>
        </w:trPr>
        <w:tc>
          <w:tcPr>
            <w:tcW w:w="1418" w:type="dxa"/>
            <w:tcBorders>
              <w:top w:val="single" w:sz="2" w:space="0" w:color="auto"/>
              <w:left w:val="single" w:sz="2" w:space="0" w:color="auto"/>
              <w:bottom w:val="single" w:sz="2" w:space="0" w:color="auto"/>
              <w:right w:val="single" w:sz="2" w:space="0" w:color="auto"/>
            </w:tcBorders>
            <w:vAlign w:val="center"/>
          </w:tcPr>
          <w:p w14:paraId="55C3113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山东省内</w:t>
            </w:r>
          </w:p>
        </w:tc>
        <w:tc>
          <w:tcPr>
            <w:tcW w:w="1701" w:type="dxa"/>
            <w:tcBorders>
              <w:top w:val="single" w:sz="2" w:space="0" w:color="auto"/>
              <w:left w:val="single" w:sz="2" w:space="0" w:color="auto"/>
              <w:bottom w:val="single" w:sz="2" w:space="0" w:color="auto"/>
              <w:right w:val="single" w:sz="2" w:space="0" w:color="auto"/>
            </w:tcBorders>
            <w:vAlign w:val="center"/>
          </w:tcPr>
          <w:p w14:paraId="3777A97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5,077,770,225.48</w:t>
            </w:r>
          </w:p>
        </w:tc>
        <w:tc>
          <w:tcPr>
            <w:tcW w:w="1701" w:type="dxa"/>
            <w:tcBorders>
              <w:top w:val="single" w:sz="2" w:space="0" w:color="auto"/>
              <w:left w:val="single" w:sz="2" w:space="0" w:color="auto"/>
              <w:bottom w:val="single" w:sz="2" w:space="0" w:color="auto"/>
              <w:right w:val="single" w:sz="2" w:space="0" w:color="auto"/>
            </w:tcBorders>
            <w:vAlign w:val="center"/>
          </w:tcPr>
          <w:p w14:paraId="04AE2A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5,301,801,357.17</w:t>
            </w:r>
          </w:p>
        </w:tc>
        <w:tc>
          <w:tcPr>
            <w:tcW w:w="992" w:type="dxa"/>
            <w:tcBorders>
              <w:top w:val="single" w:sz="2" w:space="0" w:color="auto"/>
              <w:left w:val="single" w:sz="2" w:space="0" w:color="auto"/>
              <w:bottom w:val="single" w:sz="2" w:space="0" w:color="auto"/>
              <w:right w:val="single" w:sz="2" w:space="0" w:color="auto"/>
            </w:tcBorders>
            <w:vAlign w:val="center"/>
          </w:tcPr>
          <w:p w14:paraId="2890286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-4.41%</w:t>
            </w:r>
          </w:p>
        </w:tc>
        <w:tc>
          <w:tcPr>
            <w:tcW w:w="1418" w:type="dxa"/>
            <w:tcBorders>
              <w:top w:val="single" w:sz="2" w:space="0" w:color="auto"/>
              <w:left w:val="single" w:sz="2" w:space="0" w:color="auto"/>
              <w:bottom w:val="single" w:sz="2" w:space="0" w:color="auto"/>
              <w:right w:val="single" w:sz="2" w:space="0" w:color="auto"/>
            </w:tcBorders>
            <w:vAlign w:val="center"/>
          </w:tcPr>
          <w:p w14:paraId="3D6B2F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-14.98%</w:t>
            </w:r>
          </w:p>
        </w:tc>
        <w:tc>
          <w:tcPr>
            <w:tcW w:w="1417" w:type="dxa"/>
            <w:tcBorders>
              <w:top w:val="single" w:sz="2" w:space="0" w:color="auto"/>
              <w:left w:val="single" w:sz="2" w:space="0" w:color="auto"/>
              <w:bottom w:val="single" w:sz="2" w:space="0" w:color="auto"/>
              <w:right w:val="single" w:sz="2" w:space="0" w:color="auto"/>
            </w:tcBorders>
            <w:vAlign w:val="center"/>
          </w:tcPr>
          <w:p w14:paraId="540500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-4.06%</w:t>
            </w:r>
          </w:p>
        </w:tc>
        <w:tc>
          <w:tcPr>
            <w:tcW w:w="1134" w:type="dxa"/>
            <w:tcBorders>
              <w:top w:val="single" w:sz="2" w:space="0" w:color="auto"/>
              <w:left w:val="single" w:sz="2" w:space="0" w:color="auto"/>
              <w:bottom w:val="single" w:sz="2" w:space="0" w:color="auto"/>
              <w:right w:val="single" w:sz="2" w:space="0" w:color="auto"/>
            </w:tcBorders>
            <w:vAlign w:val="center"/>
          </w:tcPr>
          <w:p w14:paraId="5EE61A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-11.88%</w:t>
            </w:r>
          </w:p>
        </w:tc>
      </w:tr>
      <w:tr w:rsidR="001D26E7" w:rsidRPr="00F614F9" w14:paraId="0B598E20" w14:textId="77777777" w:rsidTr="00C90873">
        <w:trPr>
          <w:trHeight w:val="240"/>
          <w:jc w:val="center"/>
        </w:trPr>
        <w:tc>
          <w:tcPr>
            <w:tcW w:w="1418" w:type="dxa"/>
            <w:tcBorders>
              <w:top w:val="single" w:sz="2" w:space="0" w:color="auto"/>
              <w:left w:val="single" w:sz="2" w:space="0" w:color="auto"/>
              <w:bottom w:val="single" w:sz="2" w:space="0" w:color="auto"/>
              <w:right w:val="single" w:sz="2" w:space="0" w:color="auto"/>
            </w:tcBorders>
            <w:vAlign w:val="center"/>
          </w:tcPr>
          <w:p w14:paraId="3D1B5B0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华东其他地区</w:t>
            </w:r>
          </w:p>
        </w:tc>
        <w:tc>
          <w:tcPr>
            <w:tcW w:w="1701" w:type="dxa"/>
            <w:tcBorders>
              <w:top w:val="single" w:sz="2" w:space="0" w:color="auto"/>
              <w:left w:val="single" w:sz="2" w:space="0" w:color="auto"/>
              <w:bottom w:val="single" w:sz="2" w:space="0" w:color="auto"/>
              <w:right w:val="single" w:sz="2" w:space="0" w:color="auto"/>
            </w:tcBorders>
            <w:vAlign w:val="center"/>
          </w:tcPr>
          <w:p w14:paraId="5D80699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3,825,477,417.59</w:t>
            </w:r>
          </w:p>
        </w:tc>
        <w:tc>
          <w:tcPr>
            <w:tcW w:w="1701" w:type="dxa"/>
            <w:tcBorders>
              <w:top w:val="single" w:sz="2" w:space="0" w:color="auto"/>
              <w:left w:val="single" w:sz="2" w:space="0" w:color="auto"/>
              <w:bottom w:val="single" w:sz="2" w:space="0" w:color="auto"/>
              <w:right w:val="single" w:sz="2" w:space="0" w:color="auto"/>
            </w:tcBorders>
            <w:vAlign w:val="center"/>
          </w:tcPr>
          <w:p w14:paraId="225FD9B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3,750,065,864.86</w:t>
            </w:r>
          </w:p>
        </w:tc>
        <w:tc>
          <w:tcPr>
            <w:tcW w:w="992" w:type="dxa"/>
            <w:tcBorders>
              <w:top w:val="single" w:sz="2" w:space="0" w:color="auto"/>
              <w:left w:val="single" w:sz="2" w:space="0" w:color="auto"/>
              <w:bottom w:val="single" w:sz="2" w:space="0" w:color="auto"/>
              <w:right w:val="single" w:sz="2" w:space="0" w:color="auto"/>
            </w:tcBorders>
            <w:vAlign w:val="center"/>
          </w:tcPr>
          <w:p w14:paraId="522F1D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1.97%</w:t>
            </w:r>
          </w:p>
        </w:tc>
        <w:tc>
          <w:tcPr>
            <w:tcW w:w="1418" w:type="dxa"/>
            <w:tcBorders>
              <w:top w:val="single" w:sz="2" w:space="0" w:color="auto"/>
              <w:left w:val="single" w:sz="2" w:space="0" w:color="auto"/>
              <w:bottom w:val="single" w:sz="2" w:space="0" w:color="auto"/>
              <w:right w:val="single" w:sz="2" w:space="0" w:color="auto"/>
            </w:tcBorders>
            <w:vAlign w:val="center"/>
          </w:tcPr>
          <w:p w14:paraId="7481810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-29.68%</w:t>
            </w:r>
          </w:p>
        </w:tc>
        <w:tc>
          <w:tcPr>
            <w:tcW w:w="1417" w:type="dxa"/>
            <w:tcBorders>
              <w:top w:val="single" w:sz="2" w:space="0" w:color="auto"/>
              <w:left w:val="single" w:sz="2" w:space="0" w:color="auto"/>
              <w:bottom w:val="single" w:sz="2" w:space="0" w:color="auto"/>
              <w:right w:val="single" w:sz="2" w:space="0" w:color="auto"/>
            </w:tcBorders>
            <w:vAlign w:val="center"/>
          </w:tcPr>
          <w:p w14:paraId="273EE70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-29.37%</w:t>
            </w:r>
          </w:p>
        </w:tc>
        <w:tc>
          <w:tcPr>
            <w:tcW w:w="1134" w:type="dxa"/>
            <w:tcBorders>
              <w:top w:val="single" w:sz="2" w:space="0" w:color="auto"/>
              <w:left w:val="single" w:sz="2" w:space="0" w:color="auto"/>
              <w:bottom w:val="single" w:sz="2" w:space="0" w:color="auto"/>
              <w:right w:val="single" w:sz="2" w:space="0" w:color="auto"/>
            </w:tcBorders>
            <w:vAlign w:val="center"/>
          </w:tcPr>
          <w:p w14:paraId="333174C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-0.44%</w:t>
            </w:r>
          </w:p>
        </w:tc>
      </w:tr>
      <w:tr w:rsidR="001D26E7" w:rsidRPr="00F614F9" w14:paraId="5E0C4303" w14:textId="77777777" w:rsidTr="00C90873">
        <w:trPr>
          <w:trHeight w:val="240"/>
          <w:jc w:val="center"/>
        </w:trPr>
        <w:tc>
          <w:tcPr>
            <w:tcW w:w="1418" w:type="dxa"/>
            <w:tcBorders>
              <w:top w:val="single" w:sz="2" w:space="0" w:color="auto"/>
              <w:left w:val="single" w:sz="2" w:space="0" w:color="auto"/>
              <w:bottom w:val="single" w:sz="2" w:space="0" w:color="auto"/>
              <w:right w:val="single" w:sz="2" w:space="0" w:color="auto"/>
            </w:tcBorders>
            <w:vAlign w:val="center"/>
          </w:tcPr>
          <w:p w14:paraId="05AE0BF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华中地区</w:t>
            </w:r>
          </w:p>
        </w:tc>
        <w:tc>
          <w:tcPr>
            <w:tcW w:w="1701" w:type="dxa"/>
            <w:tcBorders>
              <w:top w:val="single" w:sz="2" w:space="0" w:color="auto"/>
              <w:left w:val="single" w:sz="2" w:space="0" w:color="auto"/>
              <w:bottom w:val="single" w:sz="2" w:space="0" w:color="auto"/>
              <w:right w:val="single" w:sz="2" w:space="0" w:color="auto"/>
            </w:tcBorders>
            <w:vAlign w:val="center"/>
          </w:tcPr>
          <w:p w14:paraId="010DA7E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1,737,411,639.64</w:t>
            </w:r>
          </w:p>
        </w:tc>
        <w:tc>
          <w:tcPr>
            <w:tcW w:w="1701" w:type="dxa"/>
            <w:tcBorders>
              <w:top w:val="single" w:sz="2" w:space="0" w:color="auto"/>
              <w:left w:val="single" w:sz="2" w:space="0" w:color="auto"/>
              <w:bottom w:val="single" w:sz="2" w:space="0" w:color="auto"/>
              <w:right w:val="single" w:sz="2" w:space="0" w:color="auto"/>
            </w:tcBorders>
            <w:vAlign w:val="center"/>
          </w:tcPr>
          <w:p w14:paraId="03EED9A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1,756,145,096.97</w:t>
            </w:r>
          </w:p>
        </w:tc>
        <w:tc>
          <w:tcPr>
            <w:tcW w:w="992" w:type="dxa"/>
            <w:tcBorders>
              <w:top w:val="single" w:sz="2" w:space="0" w:color="auto"/>
              <w:left w:val="single" w:sz="2" w:space="0" w:color="auto"/>
              <w:bottom w:val="single" w:sz="2" w:space="0" w:color="auto"/>
              <w:right w:val="single" w:sz="2" w:space="0" w:color="auto"/>
            </w:tcBorders>
            <w:vAlign w:val="center"/>
          </w:tcPr>
          <w:p w14:paraId="7D1FBC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-1.08%</w:t>
            </w:r>
          </w:p>
        </w:tc>
        <w:tc>
          <w:tcPr>
            <w:tcW w:w="1418" w:type="dxa"/>
            <w:tcBorders>
              <w:top w:val="single" w:sz="2" w:space="0" w:color="auto"/>
              <w:left w:val="single" w:sz="2" w:space="0" w:color="auto"/>
              <w:bottom w:val="single" w:sz="2" w:space="0" w:color="auto"/>
              <w:right w:val="single" w:sz="2" w:space="0" w:color="auto"/>
            </w:tcBorders>
            <w:vAlign w:val="center"/>
          </w:tcPr>
          <w:p w14:paraId="458A676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-19.41%</w:t>
            </w:r>
          </w:p>
        </w:tc>
        <w:tc>
          <w:tcPr>
            <w:tcW w:w="1417" w:type="dxa"/>
            <w:tcBorders>
              <w:top w:val="single" w:sz="2" w:space="0" w:color="auto"/>
              <w:left w:val="single" w:sz="2" w:space="0" w:color="auto"/>
              <w:bottom w:val="single" w:sz="2" w:space="0" w:color="auto"/>
              <w:right w:val="single" w:sz="2" w:space="0" w:color="auto"/>
            </w:tcBorders>
            <w:vAlign w:val="center"/>
          </w:tcPr>
          <w:p w14:paraId="69ADC1B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-16.73%</w:t>
            </w:r>
          </w:p>
        </w:tc>
        <w:tc>
          <w:tcPr>
            <w:tcW w:w="1134" w:type="dxa"/>
            <w:tcBorders>
              <w:top w:val="single" w:sz="2" w:space="0" w:color="auto"/>
              <w:left w:val="single" w:sz="2" w:space="0" w:color="auto"/>
              <w:bottom w:val="single" w:sz="2" w:space="0" w:color="auto"/>
              <w:right w:val="single" w:sz="2" w:space="0" w:color="auto"/>
            </w:tcBorders>
            <w:vAlign w:val="center"/>
          </w:tcPr>
          <w:p w14:paraId="49EE825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-3.26%</w:t>
            </w:r>
          </w:p>
        </w:tc>
      </w:tr>
      <w:tr w:rsidR="001D26E7" w:rsidRPr="00F614F9" w14:paraId="4D027500" w14:textId="77777777" w:rsidTr="00C90873">
        <w:trPr>
          <w:trHeight w:val="240"/>
          <w:jc w:val="center"/>
        </w:trPr>
        <w:tc>
          <w:tcPr>
            <w:tcW w:w="9781"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1773B564" w14:textId="77777777" w:rsidR="001D26E7" w:rsidRPr="00F614F9" w:rsidRDefault="00000000">
            <w:pPr>
              <w:spacing w:before="40" w:after="40"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分销售</w:t>
            </w:r>
            <w:proofErr w:type="gramEnd"/>
            <w:r w:rsidRPr="00F614F9">
              <w:rPr>
                <w:rFonts w:ascii="Times New Roman" w:eastAsia="宋体" w:hAnsi="Times New Roman" w:cs="宋体"/>
                <w:sz w:val="18"/>
                <w:szCs w:val="18"/>
              </w:rPr>
              <w:t>模式</w:t>
            </w:r>
          </w:p>
        </w:tc>
      </w:tr>
    </w:tbl>
    <w:p w14:paraId="724F5943"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公司主营业务数据统计口径在报告期发生调整的情况下，公司最近</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年按报告期末口径调整后的主营业务数据</w:t>
      </w:r>
    </w:p>
    <w:p w14:paraId="69205E7E"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19D5EB0E"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35" w:name="_Toc988911"/>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3</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公司实物销售收入是否大于劳务收入</w:t>
      </w:r>
      <w:bookmarkEnd w:id="35"/>
    </w:p>
    <w:p w14:paraId="3EA7456A"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1D26E7" w:rsidRPr="00F614F9" w14:paraId="14383AB1"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21EB85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行业分类</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F93C53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301AB5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单位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2180D9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FCD340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E523E9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同比增减</w:t>
            </w:r>
          </w:p>
        </w:tc>
      </w:tr>
      <w:tr w:rsidR="001D26E7" w:rsidRPr="00F614F9" w14:paraId="1DBC9CE6" w14:textId="77777777">
        <w:trPr>
          <w:trHeight w:val="240"/>
        </w:trPr>
        <w:tc>
          <w:tcPr>
            <w:tcW w:w="1606" w:type="dxa"/>
            <w:vMerge w:val="restart"/>
            <w:tcBorders>
              <w:top w:val="single" w:sz="2" w:space="0" w:color="auto"/>
              <w:left w:val="single" w:sz="2" w:space="0" w:color="auto"/>
              <w:bottom w:val="single" w:sz="2" w:space="0" w:color="auto"/>
              <w:right w:val="single" w:sz="2" w:space="0" w:color="auto"/>
            </w:tcBorders>
            <w:vAlign w:val="center"/>
          </w:tcPr>
          <w:p w14:paraId="4C305A3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生猪屠宰及肉类</w:t>
            </w:r>
            <w:r w:rsidRPr="00F614F9">
              <w:rPr>
                <w:rFonts w:ascii="Times New Roman" w:eastAsia="宋体" w:hAnsi="Times New Roman" w:cs="宋体"/>
                <w:sz w:val="18"/>
                <w:szCs w:val="18"/>
              </w:rPr>
              <w:t> </w:t>
            </w:r>
            <w:r w:rsidRPr="00F614F9">
              <w:rPr>
                <w:rFonts w:ascii="Times New Roman" w:eastAsia="宋体" w:hAnsi="Times New Roman" w:cs="宋体"/>
                <w:sz w:val="18"/>
                <w:szCs w:val="18"/>
              </w:rPr>
              <w:t>加工</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602AA0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销售量</w:t>
            </w:r>
          </w:p>
        </w:tc>
        <w:tc>
          <w:tcPr>
            <w:tcW w:w="1606" w:type="dxa"/>
            <w:tcBorders>
              <w:top w:val="single" w:sz="2" w:space="0" w:color="auto"/>
              <w:left w:val="single" w:sz="2" w:space="0" w:color="auto"/>
              <w:bottom w:val="single" w:sz="2" w:space="0" w:color="auto"/>
              <w:right w:val="single" w:sz="2" w:space="0" w:color="auto"/>
            </w:tcBorders>
            <w:vAlign w:val="center"/>
          </w:tcPr>
          <w:p w14:paraId="5F40CC0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吨</w:t>
            </w:r>
          </w:p>
        </w:tc>
        <w:tc>
          <w:tcPr>
            <w:tcW w:w="1606" w:type="dxa"/>
            <w:tcBorders>
              <w:top w:val="single" w:sz="2" w:space="0" w:color="auto"/>
              <w:left w:val="single" w:sz="2" w:space="0" w:color="auto"/>
              <w:bottom w:val="single" w:sz="2" w:space="0" w:color="auto"/>
              <w:right w:val="single" w:sz="2" w:space="0" w:color="auto"/>
            </w:tcBorders>
            <w:vAlign w:val="center"/>
          </w:tcPr>
          <w:p w14:paraId="53DFA5C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716,965.19</w:t>
            </w:r>
          </w:p>
        </w:tc>
        <w:tc>
          <w:tcPr>
            <w:tcW w:w="1606" w:type="dxa"/>
            <w:tcBorders>
              <w:top w:val="single" w:sz="2" w:space="0" w:color="auto"/>
              <w:left w:val="single" w:sz="2" w:space="0" w:color="auto"/>
              <w:bottom w:val="single" w:sz="2" w:space="0" w:color="auto"/>
              <w:right w:val="single" w:sz="2" w:space="0" w:color="auto"/>
            </w:tcBorders>
            <w:vAlign w:val="center"/>
          </w:tcPr>
          <w:p w14:paraId="45E75B1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687,623.28</w:t>
            </w:r>
          </w:p>
        </w:tc>
        <w:tc>
          <w:tcPr>
            <w:tcW w:w="1606" w:type="dxa"/>
            <w:tcBorders>
              <w:top w:val="single" w:sz="2" w:space="0" w:color="auto"/>
              <w:left w:val="single" w:sz="2" w:space="0" w:color="auto"/>
              <w:bottom w:val="single" w:sz="2" w:space="0" w:color="auto"/>
              <w:right w:val="single" w:sz="2" w:space="0" w:color="auto"/>
            </w:tcBorders>
            <w:vAlign w:val="center"/>
          </w:tcPr>
          <w:p w14:paraId="579F84F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4.27%</w:t>
            </w:r>
          </w:p>
        </w:tc>
      </w:tr>
      <w:tr w:rsidR="001D26E7" w:rsidRPr="00F614F9" w14:paraId="0BA0498A" w14:textId="77777777">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14:paraId="67DBDAA0" w14:textId="77777777" w:rsidR="001D26E7" w:rsidRPr="00F614F9" w:rsidRDefault="001D26E7">
            <w:pPr>
              <w:spacing w:line="240" w:lineRule="exac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85F195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生产量</w:t>
            </w:r>
          </w:p>
        </w:tc>
        <w:tc>
          <w:tcPr>
            <w:tcW w:w="1606" w:type="dxa"/>
            <w:tcBorders>
              <w:top w:val="single" w:sz="2" w:space="0" w:color="auto"/>
              <w:left w:val="single" w:sz="2" w:space="0" w:color="auto"/>
              <w:bottom w:val="single" w:sz="2" w:space="0" w:color="auto"/>
              <w:right w:val="single" w:sz="2" w:space="0" w:color="auto"/>
            </w:tcBorders>
            <w:vAlign w:val="center"/>
          </w:tcPr>
          <w:p w14:paraId="735D24E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吨</w:t>
            </w:r>
          </w:p>
        </w:tc>
        <w:tc>
          <w:tcPr>
            <w:tcW w:w="1606" w:type="dxa"/>
            <w:tcBorders>
              <w:top w:val="single" w:sz="2" w:space="0" w:color="auto"/>
              <w:left w:val="single" w:sz="2" w:space="0" w:color="auto"/>
              <w:bottom w:val="single" w:sz="2" w:space="0" w:color="auto"/>
              <w:right w:val="single" w:sz="2" w:space="0" w:color="auto"/>
            </w:tcBorders>
            <w:vAlign w:val="center"/>
          </w:tcPr>
          <w:p w14:paraId="575DB89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734,140.56</w:t>
            </w:r>
          </w:p>
        </w:tc>
        <w:tc>
          <w:tcPr>
            <w:tcW w:w="1606" w:type="dxa"/>
            <w:tcBorders>
              <w:top w:val="single" w:sz="2" w:space="0" w:color="auto"/>
              <w:left w:val="single" w:sz="2" w:space="0" w:color="auto"/>
              <w:bottom w:val="single" w:sz="2" w:space="0" w:color="auto"/>
              <w:right w:val="single" w:sz="2" w:space="0" w:color="auto"/>
            </w:tcBorders>
            <w:vAlign w:val="center"/>
          </w:tcPr>
          <w:p w14:paraId="417E55E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683,558.30</w:t>
            </w:r>
          </w:p>
        </w:tc>
        <w:tc>
          <w:tcPr>
            <w:tcW w:w="1606" w:type="dxa"/>
            <w:tcBorders>
              <w:top w:val="single" w:sz="2" w:space="0" w:color="auto"/>
              <w:left w:val="single" w:sz="2" w:space="0" w:color="auto"/>
              <w:bottom w:val="single" w:sz="2" w:space="0" w:color="auto"/>
              <w:right w:val="single" w:sz="2" w:space="0" w:color="auto"/>
            </w:tcBorders>
            <w:vAlign w:val="center"/>
          </w:tcPr>
          <w:p w14:paraId="26B1BCA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7.40%</w:t>
            </w:r>
          </w:p>
        </w:tc>
      </w:tr>
      <w:tr w:rsidR="001D26E7" w:rsidRPr="00F614F9" w14:paraId="5CA8798E" w14:textId="77777777">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14:paraId="1F31DCF2" w14:textId="77777777" w:rsidR="001D26E7" w:rsidRPr="00F614F9" w:rsidRDefault="001D26E7">
            <w:pPr>
              <w:spacing w:line="240" w:lineRule="exac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6F5F10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库存量</w:t>
            </w:r>
          </w:p>
        </w:tc>
        <w:tc>
          <w:tcPr>
            <w:tcW w:w="1606" w:type="dxa"/>
            <w:tcBorders>
              <w:top w:val="single" w:sz="2" w:space="0" w:color="auto"/>
              <w:left w:val="single" w:sz="2" w:space="0" w:color="auto"/>
              <w:bottom w:val="single" w:sz="2" w:space="0" w:color="auto"/>
              <w:right w:val="single" w:sz="2" w:space="0" w:color="auto"/>
            </w:tcBorders>
            <w:vAlign w:val="center"/>
          </w:tcPr>
          <w:p w14:paraId="342C6D7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吨</w:t>
            </w:r>
          </w:p>
        </w:tc>
        <w:tc>
          <w:tcPr>
            <w:tcW w:w="1606" w:type="dxa"/>
            <w:tcBorders>
              <w:top w:val="single" w:sz="2" w:space="0" w:color="auto"/>
              <w:left w:val="single" w:sz="2" w:space="0" w:color="auto"/>
              <w:bottom w:val="single" w:sz="2" w:space="0" w:color="auto"/>
              <w:right w:val="single" w:sz="2" w:space="0" w:color="auto"/>
            </w:tcBorders>
            <w:vAlign w:val="center"/>
          </w:tcPr>
          <w:p w14:paraId="2770327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37,985.24</w:t>
            </w:r>
          </w:p>
        </w:tc>
        <w:tc>
          <w:tcPr>
            <w:tcW w:w="1606" w:type="dxa"/>
            <w:tcBorders>
              <w:top w:val="single" w:sz="2" w:space="0" w:color="auto"/>
              <w:left w:val="single" w:sz="2" w:space="0" w:color="auto"/>
              <w:bottom w:val="single" w:sz="2" w:space="0" w:color="auto"/>
              <w:right w:val="single" w:sz="2" w:space="0" w:color="auto"/>
            </w:tcBorders>
            <w:vAlign w:val="center"/>
          </w:tcPr>
          <w:p w14:paraId="164DD1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20,809.87</w:t>
            </w:r>
          </w:p>
        </w:tc>
        <w:tc>
          <w:tcPr>
            <w:tcW w:w="1606" w:type="dxa"/>
            <w:tcBorders>
              <w:top w:val="single" w:sz="2" w:space="0" w:color="auto"/>
              <w:left w:val="single" w:sz="2" w:space="0" w:color="auto"/>
              <w:bottom w:val="single" w:sz="2" w:space="0" w:color="auto"/>
              <w:right w:val="single" w:sz="2" w:space="0" w:color="auto"/>
            </w:tcBorders>
            <w:vAlign w:val="center"/>
          </w:tcPr>
          <w:p w14:paraId="42694C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82.53%</w:t>
            </w:r>
          </w:p>
        </w:tc>
      </w:tr>
      <w:tr w:rsidR="001D26E7" w:rsidRPr="00F614F9" w14:paraId="30521EA8" w14:textId="77777777">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14:paraId="464C191F" w14:textId="77777777" w:rsidR="001D26E7" w:rsidRPr="00F614F9" w:rsidRDefault="001D26E7">
            <w:pPr>
              <w:spacing w:line="240" w:lineRule="exac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06CA09C" w14:textId="77777777" w:rsidR="001D26E7" w:rsidRPr="00F614F9" w:rsidRDefault="001D26E7">
            <w:pPr>
              <w:spacing w:line="240" w:lineRule="exac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25A8586" w14:textId="77777777" w:rsidR="001D26E7" w:rsidRPr="00F614F9" w:rsidRDefault="001D26E7">
            <w:pPr>
              <w:spacing w:line="240" w:lineRule="exac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5C11B1B"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C39A1D7"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A029670" w14:textId="77777777" w:rsidR="001D26E7" w:rsidRPr="00F614F9" w:rsidRDefault="001D26E7">
            <w:pPr>
              <w:spacing w:line="240" w:lineRule="exact"/>
              <w:jc w:val="right"/>
              <w:rPr>
                <w:rFonts w:ascii="Times New Roman" w:eastAsia="宋体" w:hAnsi="Times New Roman" w:cs="宋体"/>
                <w:sz w:val="18"/>
                <w:szCs w:val="18"/>
              </w:rPr>
            </w:pPr>
          </w:p>
        </w:tc>
      </w:tr>
    </w:tbl>
    <w:p w14:paraId="596ECFF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相关数据同比发生变动</w:t>
      </w:r>
      <w:r w:rsidRPr="00F614F9">
        <w:rPr>
          <w:rFonts w:ascii="Times New Roman" w:eastAsia="宋体" w:hAnsi="Times New Roman" w:cs="宋体"/>
          <w:sz w:val="18"/>
          <w:szCs w:val="18"/>
        </w:rPr>
        <w:t>30%</w:t>
      </w:r>
      <w:r w:rsidRPr="00F614F9">
        <w:rPr>
          <w:rFonts w:ascii="Times New Roman" w:eastAsia="宋体" w:hAnsi="Times New Roman" w:cs="宋体"/>
          <w:sz w:val="18"/>
          <w:szCs w:val="18"/>
        </w:rPr>
        <w:t>以上的原因说明</w:t>
      </w:r>
    </w:p>
    <w:p w14:paraId="0B2C6A9B"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202812B"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36" w:name="_Toc988912"/>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4</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公司已签订的重大销售合同、重大采购合同截至本报告期的履行情况</w:t>
      </w:r>
      <w:bookmarkEnd w:id="36"/>
    </w:p>
    <w:p w14:paraId="752225AF"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3A0CAD53"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37" w:name="_Toc988913"/>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5</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营业成本构成</w:t>
      </w:r>
      <w:bookmarkEnd w:id="37"/>
    </w:p>
    <w:p w14:paraId="136221A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行业和产品分类</w:t>
      </w:r>
    </w:p>
    <w:p w14:paraId="36B17E4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行业和产品分类</w:t>
      </w:r>
    </w:p>
    <w:p w14:paraId="52461A45"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781"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641"/>
        <w:gridCol w:w="1275"/>
        <w:gridCol w:w="1701"/>
        <w:gridCol w:w="1276"/>
        <w:gridCol w:w="1134"/>
      </w:tblGrid>
      <w:tr w:rsidR="001D26E7" w:rsidRPr="00F614F9" w14:paraId="220EEDCF" w14:textId="77777777" w:rsidTr="00C90873">
        <w:trPr>
          <w:trHeight w:val="240"/>
          <w:jc w:val="center"/>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66AB6E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行业分类</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6F7ED6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291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05C2DD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p>
        </w:tc>
        <w:tc>
          <w:tcPr>
            <w:tcW w:w="297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B57504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FAF45A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同比增减</w:t>
            </w:r>
          </w:p>
        </w:tc>
      </w:tr>
      <w:tr w:rsidR="001D26E7" w:rsidRPr="00F614F9" w14:paraId="2B96681D" w14:textId="77777777" w:rsidTr="00C90873">
        <w:trPr>
          <w:trHeight w:val="240"/>
          <w:jc w:val="center"/>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1C5DA25" w14:textId="77777777" w:rsidR="001D26E7" w:rsidRPr="00F614F9" w:rsidRDefault="001D26E7">
            <w:pPr>
              <w:rPr>
                <w:rFonts w:ascii="Times New Roman" w:hAnsi="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E4E7CE9" w14:textId="77777777" w:rsidR="001D26E7" w:rsidRPr="00F614F9" w:rsidRDefault="001D26E7">
            <w:pPr>
              <w:rPr>
                <w:rFonts w:ascii="Times New Roman" w:hAnsi="Times New Roman"/>
              </w:rPr>
            </w:pPr>
          </w:p>
        </w:tc>
        <w:tc>
          <w:tcPr>
            <w:tcW w:w="1641" w:type="dxa"/>
            <w:tcBorders>
              <w:top w:val="single" w:sz="2" w:space="0" w:color="auto"/>
              <w:left w:val="single" w:sz="2" w:space="0" w:color="auto"/>
              <w:bottom w:val="single" w:sz="2" w:space="0" w:color="auto"/>
              <w:right w:val="single" w:sz="2" w:space="0" w:color="auto"/>
            </w:tcBorders>
            <w:shd w:val="clear" w:color="auto" w:fill="D3D3D3"/>
            <w:vAlign w:val="center"/>
          </w:tcPr>
          <w:p w14:paraId="741AA45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14:paraId="3D1FE2E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占营业成本比重</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0B5028B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D36867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占营业成本比重</w:t>
            </w: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FD14D7C" w14:textId="77777777" w:rsidR="001D26E7" w:rsidRPr="00F614F9" w:rsidRDefault="001D26E7">
            <w:pPr>
              <w:rPr>
                <w:rFonts w:ascii="Times New Roman" w:hAnsi="Times New Roman"/>
              </w:rPr>
            </w:pPr>
          </w:p>
        </w:tc>
      </w:tr>
      <w:tr w:rsidR="001D26E7" w:rsidRPr="00F614F9" w14:paraId="29E3F410" w14:textId="77777777" w:rsidTr="00C90873">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4424E0C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屠宰行业</w:t>
            </w:r>
          </w:p>
        </w:tc>
        <w:tc>
          <w:tcPr>
            <w:tcW w:w="1377" w:type="dxa"/>
            <w:tcBorders>
              <w:top w:val="single" w:sz="2" w:space="0" w:color="auto"/>
              <w:left w:val="single" w:sz="2" w:space="0" w:color="auto"/>
              <w:bottom w:val="single" w:sz="2" w:space="0" w:color="auto"/>
              <w:right w:val="single" w:sz="2" w:space="0" w:color="auto"/>
            </w:tcBorders>
            <w:vAlign w:val="center"/>
          </w:tcPr>
          <w:p w14:paraId="55CEF2C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营业成本</w:t>
            </w:r>
          </w:p>
        </w:tc>
        <w:tc>
          <w:tcPr>
            <w:tcW w:w="1641" w:type="dxa"/>
            <w:tcBorders>
              <w:top w:val="single" w:sz="2" w:space="0" w:color="auto"/>
              <w:left w:val="single" w:sz="2" w:space="0" w:color="auto"/>
              <w:bottom w:val="single" w:sz="2" w:space="0" w:color="auto"/>
              <w:right w:val="single" w:sz="2" w:space="0" w:color="auto"/>
            </w:tcBorders>
            <w:vAlign w:val="center"/>
          </w:tcPr>
          <w:p w14:paraId="7F448BA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9,844,332,552.89</w:t>
            </w:r>
          </w:p>
        </w:tc>
        <w:tc>
          <w:tcPr>
            <w:tcW w:w="1275" w:type="dxa"/>
            <w:tcBorders>
              <w:top w:val="single" w:sz="2" w:space="0" w:color="auto"/>
              <w:left w:val="single" w:sz="2" w:space="0" w:color="auto"/>
              <w:bottom w:val="single" w:sz="2" w:space="0" w:color="auto"/>
              <w:right w:val="single" w:sz="2" w:space="0" w:color="auto"/>
            </w:tcBorders>
            <w:vAlign w:val="center"/>
          </w:tcPr>
          <w:p w14:paraId="03ADFA2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72.77%</w:t>
            </w:r>
          </w:p>
        </w:tc>
        <w:tc>
          <w:tcPr>
            <w:tcW w:w="1701" w:type="dxa"/>
            <w:tcBorders>
              <w:top w:val="single" w:sz="2" w:space="0" w:color="auto"/>
              <w:left w:val="single" w:sz="2" w:space="0" w:color="auto"/>
              <w:bottom w:val="single" w:sz="2" w:space="0" w:color="auto"/>
              <w:right w:val="single" w:sz="2" w:space="0" w:color="auto"/>
            </w:tcBorders>
            <w:vAlign w:val="center"/>
          </w:tcPr>
          <w:p w14:paraId="44619F0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11,821,004,087.58</w:t>
            </w:r>
          </w:p>
        </w:tc>
        <w:tc>
          <w:tcPr>
            <w:tcW w:w="1276" w:type="dxa"/>
            <w:tcBorders>
              <w:top w:val="single" w:sz="2" w:space="0" w:color="auto"/>
              <w:left w:val="single" w:sz="2" w:space="0" w:color="auto"/>
              <w:bottom w:val="single" w:sz="2" w:space="0" w:color="auto"/>
              <w:right w:val="single" w:sz="2" w:space="0" w:color="auto"/>
            </w:tcBorders>
            <w:vAlign w:val="center"/>
          </w:tcPr>
          <w:p w14:paraId="701E9D9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76.43%</w:t>
            </w:r>
          </w:p>
        </w:tc>
        <w:tc>
          <w:tcPr>
            <w:tcW w:w="1134" w:type="dxa"/>
            <w:tcBorders>
              <w:top w:val="single" w:sz="2" w:space="0" w:color="auto"/>
              <w:left w:val="single" w:sz="2" w:space="0" w:color="auto"/>
              <w:bottom w:val="single" w:sz="2" w:space="0" w:color="auto"/>
              <w:right w:val="single" w:sz="2" w:space="0" w:color="auto"/>
            </w:tcBorders>
            <w:vAlign w:val="center"/>
          </w:tcPr>
          <w:p w14:paraId="61919A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-16.72%</w:t>
            </w:r>
          </w:p>
        </w:tc>
      </w:tr>
      <w:tr w:rsidR="001D26E7" w:rsidRPr="00F614F9" w14:paraId="220E19DE" w14:textId="77777777" w:rsidTr="00C90873">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2916CA8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食品行业</w:t>
            </w:r>
          </w:p>
        </w:tc>
        <w:tc>
          <w:tcPr>
            <w:tcW w:w="1377" w:type="dxa"/>
            <w:tcBorders>
              <w:top w:val="single" w:sz="2" w:space="0" w:color="auto"/>
              <w:left w:val="single" w:sz="2" w:space="0" w:color="auto"/>
              <w:bottom w:val="single" w:sz="2" w:space="0" w:color="auto"/>
              <w:right w:val="single" w:sz="2" w:space="0" w:color="auto"/>
            </w:tcBorders>
            <w:vAlign w:val="center"/>
          </w:tcPr>
          <w:p w14:paraId="6A655AA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营业成本</w:t>
            </w:r>
          </w:p>
        </w:tc>
        <w:tc>
          <w:tcPr>
            <w:tcW w:w="1641" w:type="dxa"/>
            <w:tcBorders>
              <w:top w:val="single" w:sz="2" w:space="0" w:color="auto"/>
              <w:left w:val="single" w:sz="2" w:space="0" w:color="auto"/>
              <w:bottom w:val="single" w:sz="2" w:space="0" w:color="auto"/>
              <w:right w:val="single" w:sz="2" w:space="0" w:color="auto"/>
            </w:tcBorders>
            <w:vAlign w:val="center"/>
          </w:tcPr>
          <w:p w14:paraId="4D54049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1,998,231,046.51</w:t>
            </w:r>
          </w:p>
        </w:tc>
        <w:tc>
          <w:tcPr>
            <w:tcW w:w="1275" w:type="dxa"/>
            <w:tcBorders>
              <w:top w:val="single" w:sz="2" w:space="0" w:color="auto"/>
              <w:left w:val="single" w:sz="2" w:space="0" w:color="auto"/>
              <w:bottom w:val="single" w:sz="2" w:space="0" w:color="auto"/>
              <w:right w:val="single" w:sz="2" w:space="0" w:color="auto"/>
            </w:tcBorders>
            <w:vAlign w:val="center"/>
          </w:tcPr>
          <w:p w14:paraId="2B4231F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14.77%</w:t>
            </w:r>
          </w:p>
        </w:tc>
        <w:tc>
          <w:tcPr>
            <w:tcW w:w="1701" w:type="dxa"/>
            <w:tcBorders>
              <w:top w:val="single" w:sz="2" w:space="0" w:color="auto"/>
              <w:left w:val="single" w:sz="2" w:space="0" w:color="auto"/>
              <w:bottom w:val="single" w:sz="2" w:space="0" w:color="auto"/>
              <w:right w:val="single" w:sz="2" w:space="0" w:color="auto"/>
            </w:tcBorders>
            <w:vAlign w:val="center"/>
          </w:tcPr>
          <w:p w14:paraId="2582866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1,437,578,669.15</w:t>
            </w:r>
          </w:p>
        </w:tc>
        <w:tc>
          <w:tcPr>
            <w:tcW w:w="1276" w:type="dxa"/>
            <w:tcBorders>
              <w:top w:val="single" w:sz="2" w:space="0" w:color="auto"/>
              <w:left w:val="single" w:sz="2" w:space="0" w:color="auto"/>
              <w:bottom w:val="single" w:sz="2" w:space="0" w:color="auto"/>
              <w:right w:val="single" w:sz="2" w:space="0" w:color="auto"/>
            </w:tcBorders>
            <w:vAlign w:val="center"/>
          </w:tcPr>
          <w:p w14:paraId="1B6BCCF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9.30%</w:t>
            </w:r>
          </w:p>
        </w:tc>
        <w:tc>
          <w:tcPr>
            <w:tcW w:w="1134" w:type="dxa"/>
            <w:tcBorders>
              <w:top w:val="single" w:sz="2" w:space="0" w:color="auto"/>
              <w:left w:val="single" w:sz="2" w:space="0" w:color="auto"/>
              <w:bottom w:val="single" w:sz="2" w:space="0" w:color="auto"/>
              <w:right w:val="single" w:sz="2" w:space="0" w:color="auto"/>
            </w:tcBorders>
            <w:vAlign w:val="center"/>
          </w:tcPr>
          <w:p w14:paraId="11A27FD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39.00%</w:t>
            </w:r>
          </w:p>
        </w:tc>
      </w:tr>
      <w:tr w:rsidR="001D26E7" w:rsidRPr="00F614F9" w14:paraId="5CE40CB5" w14:textId="77777777" w:rsidTr="00C90873">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1203222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进口贸易</w:t>
            </w:r>
          </w:p>
        </w:tc>
        <w:tc>
          <w:tcPr>
            <w:tcW w:w="1377" w:type="dxa"/>
            <w:tcBorders>
              <w:top w:val="single" w:sz="2" w:space="0" w:color="auto"/>
              <w:left w:val="single" w:sz="2" w:space="0" w:color="auto"/>
              <w:bottom w:val="single" w:sz="2" w:space="0" w:color="auto"/>
              <w:right w:val="single" w:sz="2" w:space="0" w:color="auto"/>
            </w:tcBorders>
            <w:vAlign w:val="center"/>
          </w:tcPr>
          <w:p w14:paraId="1D4311F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营业成本</w:t>
            </w:r>
          </w:p>
        </w:tc>
        <w:tc>
          <w:tcPr>
            <w:tcW w:w="1641" w:type="dxa"/>
            <w:tcBorders>
              <w:top w:val="single" w:sz="2" w:space="0" w:color="auto"/>
              <w:left w:val="single" w:sz="2" w:space="0" w:color="auto"/>
              <w:bottom w:val="single" w:sz="2" w:space="0" w:color="auto"/>
              <w:right w:val="single" w:sz="2" w:space="0" w:color="auto"/>
            </w:tcBorders>
            <w:vAlign w:val="center"/>
          </w:tcPr>
          <w:p w14:paraId="3114B64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1,263,269,938.20</w:t>
            </w:r>
          </w:p>
        </w:tc>
        <w:tc>
          <w:tcPr>
            <w:tcW w:w="1275" w:type="dxa"/>
            <w:tcBorders>
              <w:top w:val="single" w:sz="2" w:space="0" w:color="auto"/>
              <w:left w:val="single" w:sz="2" w:space="0" w:color="auto"/>
              <w:bottom w:val="single" w:sz="2" w:space="0" w:color="auto"/>
              <w:right w:val="single" w:sz="2" w:space="0" w:color="auto"/>
            </w:tcBorders>
            <w:vAlign w:val="center"/>
          </w:tcPr>
          <w:p w14:paraId="02A1863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9.34%</w:t>
            </w:r>
          </w:p>
        </w:tc>
        <w:tc>
          <w:tcPr>
            <w:tcW w:w="1701" w:type="dxa"/>
            <w:tcBorders>
              <w:top w:val="single" w:sz="2" w:space="0" w:color="auto"/>
              <w:left w:val="single" w:sz="2" w:space="0" w:color="auto"/>
              <w:bottom w:val="single" w:sz="2" w:space="0" w:color="auto"/>
              <w:right w:val="single" w:sz="2" w:space="0" w:color="auto"/>
            </w:tcBorders>
            <w:vAlign w:val="center"/>
          </w:tcPr>
          <w:p w14:paraId="09A64C8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1,483,940,957.46</w:t>
            </w:r>
          </w:p>
        </w:tc>
        <w:tc>
          <w:tcPr>
            <w:tcW w:w="1276" w:type="dxa"/>
            <w:tcBorders>
              <w:top w:val="single" w:sz="2" w:space="0" w:color="auto"/>
              <w:left w:val="single" w:sz="2" w:space="0" w:color="auto"/>
              <w:bottom w:val="single" w:sz="2" w:space="0" w:color="auto"/>
              <w:right w:val="single" w:sz="2" w:space="0" w:color="auto"/>
            </w:tcBorders>
            <w:vAlign w:val="center"/>
          </w:tcPr>
          <w:p w14:paraId="4BD20C5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9.59%</w:t>
            </w:r>
          </w:p>
        </w:tc>
        <w:tc>
          <w:tcPr>
            <w:tcW w:w="1134" w:type="dxa"/>
            <w:tcBorders>
              <w:top w:val="single" w:sz="2" w:space="0" w:color="auto"/>
              <w:left w:val="single" w:sz="2" w:space="0" w:color="auto"/>
              <w:bottom w:val="single" w:sz="2" w:space="0" w:color="auto"/>
              <w:right w:val="single" w:sz="2" w:space="0" w:color="auto"/>
            </w:tcBorders>
            <w:vAlign w:val="center"/>
          </w:tcPr>
          <w:p w14:paraId="543052C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-14.87%</w:t>
            </w:r>
          </w:p>
        </w:tc>
      </w:tr>
      <w:tr w:rsidR="001D26E7" w:rsidRPr="00F614F9" w14:paraId="54EB2C27" w14:textId="77777777" w:rsidTr="00C90873">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33C85DF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28CA6B6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营业成本</w:t>
            </w:r>
          </w:p>
        </w:tc>
        <w:tc>
          <w:tcPr>
            <w:tcW w:w="1641" w:type="dxa"/>
            <w:tcBorders>
              <w:top w:val="single" w:sz="2" w:space="0" w:color="auto"/>
              <w:left w:val="single" w:sz="2" w:space="0" w:color="auto"/>
              <w:bottom w:val="single" w:sz="2" w:space="0" w:color="auto"/>
              <w:right w:val="single" w:sz="2" w:space="0" w:color="auto"/>
            </w:tcBorders>
            <w:vAlign w:val="center"/>
          </w:tcPr>
          <w:p w14:paraId="78874CF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422,833,896.83</w:t>
            </w:r>
          </w:p>
        </w:tc>
        <w:tc>
          <w:tcPr>
            <w:tcW w:w="1275" w:type="dxa"/>
            <w:tcBorders>
              <w:top w:val="single" w:sz="2" w:space="0" w:color="auto"/>
              <w:left w:val="single" w:sz="2" w:space="0" w:color="auto"/>
              <w:bottom w:val="single" w:sz="2" w:space="0" w:color="auto"/>
              <w:right w:val="single" w:sz="2" w:space="0" w:color="auto"/>
            </w:tcBorders>
            <w:vAlign w:val="center"/>
          </w:tcPr>
          <w:p w14:paraId="79A0BE4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3.12%</w:t>
            </w:r>
          </w:p>
        </w:tc>
        <w:tc>
          <w:tcPr>
            <w:tcW w:w="1701" w:type="dxa"/>
            <w:tcBorders>
              <w:top w:val="single" w:sz="2" w:space="0" w:color="auto"/>
              <w:left w:val="single" w:sz="2" w:space="0" w:color="auto"/>
              <w:bottom w:val="single" w:sz="2" w:space="0" w:color="auto"/>
              <w:right w:val="single" w:sz="2" w:space="0" w:color="auto"/>
            </w:tcBorders>
            <w:vAlign w:val="center"/>
          </w:tcPr>
          <w:p w14:paraId="26B0911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724,325,454.58</w:t>
            </w:r>
          </w:p>
        </w:tc>
        <w:tc>
          <w:tcPr>
            <w:tcW w:w="1276" w:type="dxa"/>
            <w:tcBorders>
              <w:top w:val="single" w:sz="2" w:space="0" w:color="auto"/>
              <w:left w:val="single" w:sz="2" w:space="0" w:color="auto"/>
              <w:bottom w:val="single" w:sz="2" w:space="0" w:color="auto"/>
              <w:right w:val="single" w:sz="2" w:space="0" w:color="auto"/>
            </w:tcBorders>
            <w:vAlign w:val="center"/>
          </w:tcPr>
          <w:p w14:paraId="5EBC185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4.68%</w:t>
            </w:r>
          </w:p>
        </w:tc>
        <w:tc>
          <w:tcPr>
            <w:tcW w:w="1134" w:type="dxa"/>
            <w:tcBorders>
              <w:top w:val="single" w:sz="2" w:space="0" w:color="auto"/>
              <w:left w:val="single" w:sz="2" w:space="0" w:color="auto"/>
              <w:bottom w:val="single" w:sz="2" w:space="0" w:color="auto"/>
              <w:right w:val="single" w:sz="2" w:space="0" w:color="auto"/>
            </w:tcBorders>
            <w:vAlign w:val="center"/>
          </w:tcPr>
          <w:p w14:paraId="70FDD54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-41.62%</w:t>
            </w:r>
          </w:p>
        </w:tc>
      </w:tr>
      <w:tr w:rsidR="001D26E7" w:rsidRPr="00F614F9" w14:paraId="7939F2E0" w14:textId="77777777" w:rsidTr="00C90873">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5D09B2A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58178C61" w14:textId="77777777" w:rsidR="001D26E7" w:rsidRPr="00F614F9" w:rsidRDefault="001D26E7">
            <w:pPr>
              <w:spacing w:line="240" w:lineRule="exact"/>
              <w:rPr>
                <w:rFonts w:ascii="Times New Roman" w:eastAsia="宋体" w:hAnsi="Times New Roman" w:cs="宋体"/>
                <w:sz w:val="18"/>
                <w:szCs w:val="18"/>
              </w:rPr>
            </w:pPr>
          </w:p>
        </w:tc>
        <w:tc>
          <w:tcPr>
            <w:tcW w:w="1641" w:type="dxa"/>
            <w:tcBorders>
              <w:top w:val="single" w:sz="2" w:space="0" w:color="auto"/>
              <w:left w:val="single" w:sz="2" w:space="0" w:color="auto"/>
              <w:bottom w:val="single" w:sz="2" w:space="0" w:color="auto"/>
              <w:right w:val="single" w:sz="2" w:space="0" w:color="auto"/>
            </w:tcBorders>
            <w:vAlign w:val="center"/>
          </w:tcPr>
          <w:p w14:paraId="1A714BA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13,528,667,434.43</w:t>
            </w:r>
          </w:p>
        </w:tc>
        <w:tc>
          <w:tcPr>
            <w:tcW w:w="1275" w:type="dxa"/>
            <w:tcBorders>
              <w:top w:val="single" w:sz="2" w:space="0" w:color="auto"/>
              <w:left w:val="single" w:sz="2" w:space="0" w:color="auto"/>
              <w:bottom w:val="single" w:sz="2" w:space="0" w:color="auto"/>
              <w:right w:val="single" w:sz="2" w:space="0" w:color="auto"/>
            </w:tcBorders>
            <w:vAlign w:val="center"/>
          </w:tcPr>
          <w:p w14:paraId="07709E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701" w:type="dxa"/>
            <w:tcBorders>
              <w:top w:val="single" w:sz="2" w:space="0" w:color="auto"/>
              <w:left w:val="single" w:sz="2" w:space="0" w:color="auto"/>
              <w:bottom w:val="single" w:sz="2" w:space="0" w:color="auto"/>
              <w:right w:val="single" w:sz="2" w:space="0" w:color="auto"/>
            </w:tcBorders>
            <w:vAlign w:val="center"/>
          </w:tcPr>
          <w:p w14:paraId="0672553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15,466,849,168.78</w:t>
            </w:r>
          </w:p>
        </w:tc>
        <w:tc>
          <w:tcPr>
            <w:tcW w:w="1276" w:type="dxa"/>
            <w:tcBorders>
              <w:top w:val="single" w:sz="2" w:space="0" w:color="auto"/>
              <w:left w:val="single" w:sz="2" w:space="0" w:color="auto"/>
              <w:bottom w:val="single" w:sz="2" w:space="0" w:color="auto"/>
              <w:right w:val="single" w:sz="2" w:space="0" w:color="auto"/>
            </w:tcBorders>
            <w:vAlign w:val="center"/>
          </w:tcPr>
          <w:p w14:paraId="6B3BB90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134" w:type="dxa"/>
            <w:tcBorders>
              <w:top w:val="single" w:sz="2" w:space="0" w:color="auto"/>
              <w:left w:val="single" w:sz="2" w:space="0" w:color="auto"/>
              <w:bottom w:val="single" w:sz="2" w:space="0" w:color="auto"/>
              <w:right w:val="single" w:sz="2" w:space="0" w:color="auto"/>
            </w:tcBorders>
            <w:vAlign w:val="center"/>
          </w:tcPr>
          <w:p w14:paraId="6D37300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-12.53%</w:t>
            </w:r>
          </w:p>
        </w:tc>
      </w:tr>
    </w:tbl>
    <w:p w14:paraId="3F276B18"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781"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641"/>
        <w:gridCol w:w="1275"/>
        <w:gridCol w:w="1701"/>
        <w:gridCol w:w="1276"/>
        <w:gridCol w:w="1134"/>
      </w:tblGrid>
      <w:tr w:rsidR="001D26E7" w:rsidRPr="00F614F9" w14:paraId="118B7AB4" w14:textId="77777777" w:rsidTr="00C90873">
        <w:trPr>
          <w:trHeight w:val="240"/>
          <w:jc w:val="center"/>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6444AF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产品分类</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4FCB80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291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E2BC2C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p>
        </w:tc>
        <w:tc>
          <w:tcPr>
            <w:tcW w:w="297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FDBF98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50164F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同比增减</w:t>
            </w:r>
          </w:p>
        </w:tc>
      </w:tr>
      <w:tr w:rsidR="001D26E7" w:rsidRPr="00F614F9" w14:paraId="34563BED" w14:textId="77777777" w:rsidTr="00C90873">
        <w:trPr>
          <w:trHeight w:val="240"/>
          <w:jc w:val="center"/>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EEF017D" w14:textId="77777777" w:rsidR="001D26E7" w:rsidRPr="00F614F9" w:rsidRDefault="001D26E7">
            <w:pPr>
              <w:rPr>
                <w:rFonts w:ascii="Times New Roman" w:hAnsi="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218F7CC" w14:textId="77777777" w:rsidR="001D26E7" w:rsidRPr="00F614F9" w:rsidRDefault="001D26E7">
            <w:pPr>
              <w:rPr>
                <w:rFonts w:ascii="Times New Roman" w:hAnsi="Times New Roman"/>
              </w:rPr>
            </w:pPr>
          </w:p>
        </w:tc>
        <w:tc>
          <w:tcPr>
            <w:tcW w:w="1641" w:type="dxa"/>
            <w:tcBorders>
              <w:top w:val="single" w:sz="2" w:space="0" w:color="auto"/>
              <w:left w:val="single" w:sz="2" w:space="0" w:color="auto"/>
              <w:bottom w:val="single" w:sz="2" w:space="0" w:color="auto"/>
              <w:right w:val="single" w:sz="2" w:space="0" w:color="auto"/>
            </w:tcBorders>
            <w:shd w:val="clear" w:color="auto" w:fill="D3D3D3"/>
            <w:vAlign w:val="center"/>
          </w:tcPr>
          <w:p w14:paraId="32E7095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14:paraId="645E9D0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占营业成本比重</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1CBB25D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52A8164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占营业成本比重</w:t>
            </w: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56A9156" w14:textId="77777777" w:rsidR="001D26E7" w:rsidRPr="00F614F9" w:rsidRDefault="001D26E7">
            <w:pPr>
              <w:rPr>
                <w:rFonts w:ascii="Times New Roman" w:hAnsi="Times New Roman"/>
              </w:rPr>
            </w:pPr>
          </w:p>
        </w:tc>
      </w:tr>
      <w:tr w:rsidR="001D26E7" w:rsidRPr="00F614F9" w14:paraId="5DB33A50" w14:textId="77777777" w:rsidTr="00C90873">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6B45C8F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鲜冻肉</w:t>
            </w:r>
          </w:p>
        </w:tc>
        <w:tc>
          <w:tcPr>
            <w:tcW w:w="1377" w:type="dxa"/>
            <w:tcBorders>
              <w:top w:val="single" w:sz="2" w:space="0" w:color="auto"/>
              <w:left w:val="single" w:sz="2" w:space="0" w:color="auto"/>
              <w:bottom w:val="single" w:sz="2" w:space="0" w:color="auto"/>
              <w:right w:val="single" w:sz="2" w:space="0" w:color="auto"/>
            </w:tcBorders>
            <w:vAlign w:val="center"/>
          </w:tcPr>
          <w:p w14:paraId="6F3B8BB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营业成本</w:t>
            </w:r>
          </w:p>
        </w:tc>
        <w:tc>
          <w:tcPr>
            <w:tcW w:w="1641" w:type="dxa"/>
            <w:tcBorders>
              <w:top w:val="single" w:sz="2" w:space="0" w:color="auto"/>
              <w:left w:val="single" w:sz="2" w:space="0" w:color="auto"/>
              <w:bottom w:val="single" w:sz="2" w:space="0" w:color="auto"/>
              <w:right w:val="single" w:sz="2" w:space="0" w:color="auto"/>
            </w:tcBorders>
            <w:vAlign w:val="center"/>
          </w:tcPr>
          <w:p w14:paraId="5A6BB92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9,844,332,552.89</w:t>
            </w:r>
          </w:p>
        </w:tc>
        <w:tc>
          <w:tcPr>
            <w:tcW w:w="1275" w:type="dxa"/>
            <w:tcBorders>
              <w:top w:val="single" w:sz="2" w:space="0" w:color="auto"/>
              <w:left w:val="single" w:sz="2" w:space="0" w:color="auto"/>
              <w:bottom w:val="single" w:sz="2" w:space="0" w:color="auto"/>
              <w:right w:val="single" w:sz="2" w:space="0" w:color="auto"/>
            </w:tcBorders>
            <w:vAlign w:val="center"/>
          </w:tcPr>
          <w:p w14:paraId="71AC017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72.77%</w:t>
            </w:r>
          </w:p>
        </w:tc>
        <w:tc>
          <w:tcPr>
            <w:tcW w:w="1701" w:type="dxa"/>
            <w:tcBorders>
              <w:top w:val="single" w:sz="2" w:space="0" w:color="auto"/>
              <w:left w:val="single" w:sz="2" w:space="0" w:color="auto"/>
              <w:bottom w:val="single" w:sz="2" w:space="0" w:color="auto"/>
              <w:right w:val="single" w:sz="2" w:space="0" w:color="auto"/>
            </w:tcBorders>
            <w:vAlign w:val="center"/>
          </w:tcPr>
          <w:p w14:paraId="6EC1E1D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11,821,004,087.58</w:t>
            </w:r>
          </w:p>
        </w:tc>
        <w:tc>
          <w:tcPr>
            <w:tcW w:w="1276" w:type="dxa"/>
            <w:tcBorders>
              <w:top w:val="single" w:sz="2" w:space="0" w:color="auto"/>
              <w:left w:val="single" w:sz="2" w:space="0" w:color="auto"/>
              <w:bottom w:val="single" w:sz="2" w:space="0" w:color="auto"/>
              <w:right w:val="single" w:sz="2" w:space="0" w:color="auto"/>
            </w:tcBorders>
            <w:vAlign w:val="center"/>
          </w:tcPr>
          <w:p w14:paraId="1F01CF3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76.43%</w:t>
            </w:r>
          </w:p>
        </w:tc>
        <w:tc>
          <w:tcPr>
            <w:tcW w:w="1134" w:type="dxa"/>
            <w:tcBorders>
              <w:top w:val="single" w:sz="2" w:space="0" w:color="auto"/>
              <w:left w:val="single" w:sz="2" w:space="0" w:color="auto"/>
              <w:bottom w:val="single" w:sz="2" w:space="0" w:color="auto"/>
              <w:right w:val="single" w:sz="2" w:space="0" w:color="auto"/>
            </w:tcBorders>
            <w:vAlign w:val="center"/>
          </w:tcPr>
          <w:p w14:paraId="23786B2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-16.72%</w:t>
            </w:r>
          </w:p>
        </w:tc>
      </w:tr>
      <w:tr w:rsidR="001D26E7" w:rsidRPr="00F614F9" w14:paraId="6A2A1298" w14:textId="77777777" w:rsidTr="00C90873">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3FD1010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熟食制品</w:t>
            </w:r>
          </w:p>
        </w:tc>
        <w:tc>
          <w:tcPr>
            <w:tcW w:w="1377" w:type="dxa"/>
            <w:tcBorders>
              <w:top w:val="single" w:sz="2" w:space="0" w:color="auto"/>
              <w:left w:val="single" w:sz="2" w:space="0" w:color="auto"/>
              <w:bottom w:val="single" w:sz="2" w:space="0" w:color="auto"/>
              <w:right w:val="single" w:sz="2" w:space="0" w:color="auto"/>
            </w:tcBorders>
            <w:vAlign w:val="center"/>
          </w:tcPr>
          <w:p w14:paraId="50214DF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营业成本</w:t>
            </w:r>
          </w:p>
        </w:tc>
        <w:tc>
          <w:tcPr>
            <w:tcW w:w="1641" w:type="dxa"/>
            <w:tcBorders>
              <w:top w:val="single" w:sz="2" w:space="0" w:color="auto"/>
              <w:left w:val="single" w:sz="2" w:space="0" w:color="auto"/>
              <w:bottom w:val="single" w:sz="2" w:space="0" w:color="auto"/>
              <w:right w:val="single" w:sz="2" w:space="0" w:color="auto"/>
            </w:tcBorders>
            <w:vAlign w:val="center"/>
          </w:tcPr>
          <w:p w14:paraId="28B8260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207,157,310.59</w:t>
            </w:r>
          </w:p>
        </w:tc>
        <w:tc>
          <w:tcPr>
            <w:tcW w:w="1275" w:type="dxa"/>
            <w:tcBorders>
              <w:top w:val="single" w:sz="2" w:space="0" w:color="auto"/>
              <w:left w:val="single" w:sz="2" w:space="0" w:color="auto"/>
              <w:bottom w:val="single" w:sz="2" w:space="0" w:color="auto"/>
              <w:right w:val="single" w:sz="2" w:space="0" w:color="auto"/>
            </w:tcBorders>
            <w:vAlign w:val="center"/>
          </w:tcPr>
          <w:p w14:paraId="3B98216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1.53%</w:t>
            </w:r>
          </w:p>
        </w:tc>
        <w:tc>
          <w:tcPr>
            <w:tcW w:w="1701" w:type="dxa"/>
            <w:tcBorders>
              <w:top w:val="single" w:sz="2" w:space="0" w:color="auto"/>
              <w:left w:val="single" w:sz="2" w:space="0" w:color="auto"/>
              <w:bottom w:val="single" w:sz="2" w:space="0" w:color="auto"/>
              <w:right w:val="single" w:sz="2" w:space="0" w:color="auto"/>
            </w:tcBorders>
            <w:vAlign w:val="center"/>
          </w:tcPr>
          <w:p w14:paraId="5646491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260,401,732.73</w:t>
            </w:r>
          </w:p>
        </w:tc>
        <w:tc>
          <w:tcPr>
            <w:tcW w:w="1276" w:type="dxa"/>
            <w:tcBorders>
              <w:top w:val="single" w:sz="2" w:space="0" w:color="auto"/>
              <w:left w:val="single" w:sz="2" w:space="0" w:color="auto"/>
              <w:bottom w:val="single" w:sz="2" w:space="0" w:color="auto"/>
              <w:right w:val="single" w:sz="2" w:space="0" w:color="auto"/>
            </w:tcBorders>
            <w:vAlign w:val="center"/>
          </w:tcPr>
          <w:p w14:paraId="616F5EB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1.69%</w:t>
            </w:r>
          </w:p>
        </w:tc>
        <w:tc>
          <w:tcPr>
            <w:tcW w:w="1134" w:type="dxa"/>
            <w:tcBorders>
              <w:top w:val="single" w:sz="2" w:space="0" w:color="auto"/>
              <w:left w:val="single" w:sz="2" w:space="0" w:color="auto"/>
              <w:bottom w:val="single" w:sz="2" w:space="0" w:color="auto"/>
              <w:right w:val="single" w:sz="2" w:space="0" w:color="auto"/>
            </w:tcBorders>
            <w:vAlign w:val="center"/>
          </w:tcPr>
          <w:p w14:paraId="0892288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-20.45%</w:t>
            </w:r>
          </w:p>
        </w:tc>
      </w:tr>
      <w:tr w:rsidR="001D26E7" w:rsidRPr="00F614F9" w14:paraId="2783BCD7" w14:textId="77777777" w:rsidTr="00C90873">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6B18309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预制食品</w:t>
            </w:r>
          </w:p>
        </w:tc>
        <w:tc>
          <w:tcPr>
            <w:tcW w:w="1377" w:type="dxa"/>
            <w:tcBorders>
              <w:top w:val="single" w:sz="2" w:space="0" w:color="auto"/>
              <w:left w:val="single" w:sz="2" w:space="0" w:color="auto"/>
              <w:bottom w:val="single" w:sz="2" w:space="0" w:color="auto"/>
              <w:right w:val="single" w:sz="2" w:space="0" w:color="auto"/>
            </w:tcBorders>
            <w:vAlign w:val="center"/>
          </w:tcPr>
          <w:p w14:paraId="1A0D668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营业成本</w:t>
            </w:r>
          </w:p>
        </w:tc>
        <w:tc>
          <w:tcPr>
            <w:tcW w:w="1641" w:type="dxa"/>
            <w:tcBorders>
              <w:top w:val="single" w:sz="2" w:space="0" w:color="auto"/>
              <w:left w:val="single" w:sz="2" w:space="0" w:color="auto"/>
              <w:bottom w:val="single" w:sz="2" w:space="0" w:color="auto"/>
              <w:right w:val="single" w:sz="2" w:space="0" w:color="auto"/>
            </w:tcBorders>
            <w:vAlign w:val="center"/>
          </w:tcPr>
          <w:p w14:paraId="0F240A9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1,791,073,735.92</w:t>
            </w:r>
          </w:p>
        </w:tc>
        <w:tc>
          <w:tcPr>
            <w:tcW w:w="1275" w:type="dxa"/>
            <w:tcBorders>
              <w:top w:val="single" w:sz="2" w:space="0" w:color="auto"/>
              <w:left w:val="single" w:sz="2" w:space="0" w:color="auto"/>
              <w:bottom w:val="single" w:sz="2" w:space="0" w:color="auto"/>
              <w:right w:val="single" w:sz="2" w:space="0" w:color="auto"/>
            </w:tcBorders>
            <w:vAlign w:val="center"/>
          </w:tcPr>
          <w:p w14:paraId="74B5F9E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13.24%</w:t>
            </w:r>
          </w:p>
        </w:tc>
        <w:tc>
          <w:tcPr>
            <w:tcW w:w="1701" w:type="dxa"/>
            <w:tcBorders>
              <w:top w:val="single" w:sz="2" w:space="0" w:color="auto"/>
              <w:left w:val="single" w:sz="2" w:space="0" w:color="auto"/>
              <w:bottom w:val="single" w:sz="2" w:space="0" w:color="auto"/>
              <w:right w:val="single" w:sz="2" w:space="0" w:color="auto"/>
            </w:tcBorders>
            <w:vAlign w:val="center"/>
          </w:tcPr>
          <w:p w14:paraId="0440C04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1,177,176,936.42</w:t>
            </w:r>
          </w:p>
        </w:tc>
        <w:tc>
          <w:tcPr>
            <w:tcW w:w="1276" w:type="dxa"/>
            <w:tcBorders>
              <w:top w:val="single" w:sz="2" w:space="0" w:color="auto"/>
              <w:left w:val="single" w:sz="2" w:space="0" w:color="auto"/>
              <w:bottom w:val="single" w:sz="2" w:space="0" w:color="auto"/>
              <w:right w:val="single" w:sz="2" w:space="0" w:color="auto"/>
            </w:tcBorders>
            <w:vAlign w:val="center"/>
          </w:tcPr>
          <w:p w14:paraId="431C2D0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7.61%</w:t>
            </w:r>
          </w:p>
        </w:tc>
        <w:tc>
          <w:tcPr>
            <w:tcW w:w="1134" w:type="dxa"/>
            <w:tcBorders>
              <w:top w:val="single" w:sz="2" w:space="0" w:color="auto"/>
              <w:left w:val="single" w:sz="2" w:space="0" w:color="auto"/>
              <w:bottom w:val="single" w:sz="2" w:space="0" w:color="auto"/>
              <w:right w:val="single" w:sz="2" w:space="0" w:color="auto"/>
            </w:tcBorders>
            <w:vAlign w:val="center"/>
          </w:tcPr>
          <w:p w14:paraId="2AF8D80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52.15%</w:t>
            </w:r>
          </w:p>
        </w:tc>
      </w:tr>
      <w:tr w:rsidR="001D26E7" w:rsidRPr="00F614F9" w14:paraId="79AD8445" w14:textId="77777777" w:rsidTr="00C90873">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03F03E1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进口贸易</w:t>
            </w:r>
          </w:p>
        </w:tc>
        <w:tc>
          <w:tcPr>
            <w:tcW w:w="1377" w:type="dxa"/>
            <w:tcBorders>
              <w:top w:val="single" w:sz="2" w:space="0" w:color="auto"/>
              <w:left w:val="single" w:sz="2" w:space="0" w:color="auto"/>
              <w:bottom w:val="single" w:sz="2" w:space="0" w:color="auto"/>
              <w:right w:val="single" w:sz="2" w:space="0" w:color="auto"/>
            </w:tcBorders>
            <w:vAlign w:val="center"/>
          </w:tcPr>
          <w:p w14:paraId="328B358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营业成本</w:t>
            </w:r>
          </w:p>
        </w:tc>
        <w:tc>
          <w:tcPr>
            <w:tcW w:w="1641" w:type="dxa"/>
            <w:tcBorders>
              <w:top w:val="single" w:sz="2" w:space="0" w:color="auto"/>
              <w:left w:val="single" w:sz="2" w:space="0" w:color="auto"/>
              <w:bottom w:val="single" w:sz="2" w:space="0" w:color="auto"/>
              <w:right w:val="single" w:sz="2" w:space="0" w:color="auto"/>
            </w:tcBorders>
            <w:vAlign w:val="center"/>
          </w:tcPr>
          <w:p w14:paraId="21922E5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1,263,269,938.20</w:t>
            </w:r>
          </w:p>
        </w:tc>
        <w:tc>
          <w:tcPr>
            <w:tcW w:w="1275" w:type="dxa"/>
            <w:tcBorders>
              <w:top w:val="single" w:sz="2" w:space="0" w:color="auto"/>
              <w:left w:val="single" w:sz="2" w:space="0" w:color="auto"/>
              <w:bottom w:val="single" w:sz="2" w:space="0" w:color="auto"/>
              <w:right w:val="single" w:sz="2" w:space="0" w:color="auto"/>
            </w:tcBorders>
            <w:vAlign w:val="center"/>
          </w:tcPr>
          <w:p w14:paraId="0008FB2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9.34%</w:t>
            </w:r>
          </w:p>
        </w:tc>
        <w:tc>
          <w:tcPr>
            <w:tcW w:w="1701" w:type="dxa"/>
            <w:tcBorders>
              <w:top w:val="single" w:sz="2" w:space="0" w:color="auto"/>
              <w:left w:val="single" w:sz="2" w:space="0" w:color="auto"/>
              <w:bottom w:val="single" w:sz="2" w:space="0" w:color="auto"/>
              <w:right w:val="single" w:sz="2" w:space="0" w:color="auto"/>
            </w:tcBorders>
            <w:vAlign w:val="center"/>
          </w:tcPr>
          <w:p w14:paraId="7397D37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1,483,940,957.46</w:t>
            </w:r>
          </w:p>
        </w:tc>
        <w:tc>
          <w:tcPr>
            <w:tcW w:w="1276" w:type="dxa"/>
            <w:tcBorders>
              <w:top w:val="single" w:sz="2" w:space="0" w:color="auto"/>
              <w:left w:val="single" w:sz="2" w:space="0" w:color="auto"/>
              <w:bottom w:val="single" w:sz="2" w:space="0" w:color="auto"/>
              <w:right w:val="single" w:sz="2" w:space="0" w:color="auto"/>
            </w:tcBorders>
            <w:vAlign w:val="center"/>
          </w:tcPr>
          <w:p w14:paraId="229792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9.59%</w:t>
            </w:r>
          </w:p>
        </w:tc>
        <w:tc>
          <w:tcPr>
            <w:tcW w:w="1134" w:type="dxa"/>
            <w:tcBorders>
              <w:top w:val="single" w:sz="2" w:space="0" w:color="auto"/>
              <w:left w:val="single" w:sz="2" w:space="0" w:color="auto"/>
              <w:bottom w:val="single" w:sz="2" w:space="0" w:color="auto"/>
              <w:right w:val="single" w:sz="2" w:space="0" w:color="auto"/>
            </w:tcBorders>
            <w:vAlign w:val="center"/>
          </w:tcPr>
          <w:p w14:paraId="2BE7E0F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-14.87%</w:t>
            </w:r>
          </w:p>
        </w:tc>
      </w:tr>
      <w:tr w:rsidR="001D26E7" w:rsidRPr="00F614F9" w14:paraId="30018B5F" w14:textId="77777777" w:rsidTr="00C90873">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10B83B8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06D0C2F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营业成本</w:t>
            </w:r>
          </w:p>
        </w:tc>
        <w:tc>
          <w:tcPr>
            <w:tcW w:w="1641" w:type="dxa"/>
            <w:tcBorders>
              <w:top w:val="single" w:sz="2" w:space="0" w:color="auto"/>
              <w:left w:val="single" w:sz="2" w:space="0" w:color="auto"/>
              <w:bottom w:val="single" w:sz="2" w:space="0" w:color="auto"/>
              <w:right w:val="single" w:sz="2" w:space="0" w:color="auto"/>
            </w:tcBorders>
            <w:vAlign w:val="center"/>
          </w:tcPr>
          <w:p w14:paraId="11D499E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422,833,896.83</w:t>
            </w:r>
          </w:p>
        </w:tc>
        <w:tc>
          <w:tcPr>
            <w:tcW w:w="1275" w:type="dxa"/>
            <w:tcBorders>
              <w:top w:val="single" w:sz="2" w:space="0" w:color="auto"/>
              <w:left w:val="single" w:sz="2" w:space="0" w:color="auto"/>
              <w:bottom w:val="single" w:sz="2" w:space="0" w:color="auto"/>
              <w:right w:val="single" w:sz="2" w:space="0" w:color="auto"/>
            </w:tcBorders>
            <w:vAlign w:val="center"/>
          </w:tcPr>
          <w:p w14:paraId="24203B4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3.12%</w:t>
            </w:r>
          </w:p>
        </w:tc>
        <w:tc>
          <w:tcPr>
            <w:tcW w:w="1701" w:type="dxa"/>
            <w:tcBorders>
              <w:top w:val="single" w:sz="2" w:space="0" w:color="auto"/>
              <w:left w:val="single" w:sz="2" w:space="0" w:color="auto"/>
              <w:bottom w:val="single" w:sz="2" w:space="0" w:color="auto"/>
              <w:right w:val="single" w:sz="2" w:space="0" w:color="auto"/>
            </w:tcBorders>
            <w:vAlign w:val="center"/>
          </w:tcPr>
          <w:p w14:paraId="038E29B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724,325,454.58</w:t>
            </w:r>
          </w:p>
        </w:tc>
        <w:tc>
          <w:tcPr>
            <w:tcW w:w="1276" w:type="dxa"/>
            <w:tcBorders>
              <w:top w:val="single" w:sz="2" w:space="0" w:color="auto"/>
              <w:left w:val="single" w:sz="2" w:space="0" w:color="auto"/>
              <w:bottom w:val="single" w:sz="2" w:space="0" w:color="auto"/>
              <w:right w:val="single" w:sz="2" w:space="0" w:color="auto"/>
            </w:tcBorders>
            <w:vAlign w:val="center"/>
          </w:tcPr>
          <w:p w14:paraId="7FE444E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4.68%</w:t>
            </w:r>
          </w:p>
        </w:tc>
        <w:tc>
          <w:tcPr>
            <w:tcW w:w="1134" w:type="dxa"/>
            <w:tcBorders>
              <w:top w:val="single" w:sz="2" w:space="0" w:color="auto"/>
              <w:left w:val="single" w:sz="2" w:space="0" w:color="auto"/>
              <w:bottom w:val="single" w:sz="2" w:space="0" w:color="auto"/>
              <w:right w:val="single" w:sz="2" w:space="0" w:color="auto"/>
            </w:tcBorders>
            <w:vAlign w:val="center"/>
          </w:tcPr>
          <w:p w14:paraId="7334147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-41.62%</w:t>
            </w:r>
          </w:p>
        </w:tc>
      </w:tr>
      <w:tr w:rsidR="001D26E7" w:rsidRPr="00F614F9" w14:paraId="0F13FED8" w14:textId="77777777" w:rsidTr="00C90873">
        <w:trPr>
          <w:trHeight w:val="240"/>
          <w:jc w:val="center"/>
        </w:trPr>
        <w:tc>
          <w:tcPr>
            <w:tcW w:w="1377" w:type="dxa"/>
            <w:tcBorders>
              <w:top w:val="single" w:sz="2" w:space="0" w:color="auto"/>
              <w:left w:val="single" w:sz="2" w:space="0" w:color="auto"/>
              <w:bottom w:val="single" w:sz="2" w:space="0" w:color="auto"/>
              <w:right w:val="single" w:sz="2" w:space="0" w:color="auto"/>
            </w:tcBorders>
            <w:vAlign w:val="center"/>
          </w:tcPr>
          <w:p w14:paraId="464C7E4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7F951732" w14:textId="77777777" w:rsidR="001D26E7" w:rsidRPr="00F614F9" w:rsidRDefault="001D26E7">
            <w:pPr>
              <w:spacing w:line="240" w:lineRule="exact"/>
              <w:rPr>
                <w:rFonts w:ascii="Times New Roman" w:eastAsia="宋体" w:hAnsi="Times New Roman" w:cs="宋体"/>
                <w:sz w:val="18"/>
                <w:szCs w:val="18"/>
              </w:rPr>
            </w:pPr>
          </w:p>
        </w:tc>
        <w:tc>
          <w:tcPr>
            <w:tcW w:w="1641" w:type="dxa"/>
            <w:tcBorders>
              <w:top w:val="single" w:sz="2" w:space="0" w:color="auto"/>
              <w:left w:val="single" w:sz="2" w:space="0" w:color="auto"/>
              <w:bottom w:val="single" w:sz="2" w:space="0" w:color="auto"/>
              <w:right w:val="single" w:sz="2" w:space="0" w:color="auto"/>
            </w:tcBorders>
            <w:vAlign w:val="center"/>
          </w:tcPr>
          <w:p w14:paraId="15A7DC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13,528,667,434.43</w:t>
            </w:r>
          </w:p>
        </w:tc>
        <w:tc>
          <w:tcPr>
            <w:tcW w:w="1275" w:type="dxa"/>
            <w:tcBorders>
              <w:top w:val="single" w:sz="2" w:space="0" w:color="auto"/>
              <w:left w:val="single" w:sz="2" w:space="0" w:color="auto"/>
              <w:bottom w:val="single" w:sz="2" w:space="0" w:color="auto"/>
              <w:right w:val="single" w:sz="2" w:space="0" w:color="auto"/>
            </w:tcBorders>
            <w:vAlign w:val="center"/>
          </w:tcPr>
          <w:p w14:paraId="63B7F7F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701" w:type="dxa"/>
            <w:tcBorders>
              <w:top w:val="single" w:sz="2" w:space="0" w:color="auto"/>
              <w:left w:val="single" w:sz="2" w:space="0" w:color="auto"/>
              <w:bottom w:val="single" w:sz="2" w:space="0" w:color="auto"/>
              <w:right w:val="single" w:sz="2" w:space="0" w:color="auto"/>
            </w:tcBorders>
            <w:vAlign w:val="center"/>
          </w:tcPr>
          <w:p w14:paraId="23B1356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15,466,849,168.78</w:t>
            </w:r>
          </w:p>
        </w:tc>
        <w:tc>
          <w:tcPr>
            <w:tcW w:w="1276" w:type="dxa"/>
            <w:tcBorders>
              <w:top w:val="single" w:sz="2" w:space="0" w:color="auto"/>
              <w:left w:val="single" w:sz="2" w:space="0" w:color="auto"/>
              <w:bottom w:val="single" w:sz="2" w:space="0" w:color="auto"/>
              <w:right w:val="single" w:sz="2" w:space="0" w:color="auto"/>
            </w:tcBorders>
            <w:vAlign w:val="center"/>
          </w:tcPr>
          <w:p w14:paraId="605A3C0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134" w:type="dxa"/>
            <w:tcBorders>
              <w:top w:val="single" w:sz="2" w:space="0" w:color="auto"/>
              <w:left w:val="single" w:sz="2" w:space="0" w:color="auto"/>
              <w:bottom w:val="single" w:sz="2" w:space="0" w:color="auto"/>
              <w:right w:val="single" w:sz="2" w:space="0" w:color="auto"/>
            </w:tcBorders>
            <w:vAlign w:val="center"/>
          </w:tcPr>
          <w:p w14:paraId="00BDDEA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-12.53%</w:t>
            </w:r>
          </w:p>
        </w:tc>
      </w:tr>
    </w:tbl>
    <w:p w14:paraId="0D246B35"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说明</w:t>
      </w:r>
    </w:p>
    <w:p w14:paraId="49317ADA" w14:textId="77777777" w:rsidR="00872599" w:rsidRPr="00F614F9" w:rsidRDefault="00000000">
      <w:pPr>
        <w:pStyle w:val="a3"/>
        <w:divId w:val="1637442570"/>
        <w:rPr>
          <w:rFonts w:ascii="Times New Roman" w:hAnsi="Times New Roman"/>
          <w:sz w:val="18"/>
          <w:szCs w:val="18"/>
        </w:rPr>
      </w:pPr>
      <w:r w:rsidRPr="00F614F9">
        <w:rPr>
          <w:rFonts w:ascii="Times New Roman" w:hAnsi="Times New Roman" w:hint="eastAsia"/>
          <w:sz w:val="18"/>
          <w:szCs w:val="18"/>
        </w:rPr>
        <w:t>无</w:t>
      </w:r>
    </w:p>
    <w:p w14:paraId="0A42CDEF"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38" w:name="_Toc988914"/>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6</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报告期内合并范围是否发生变动</w:t>
      </w:r>
      <w:bookmarkEnd w:id="38"/>
    </w:p>
    <w:p w14:paraId="3FE3059E"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否</w:t>
      </w:r>
    </w:p>
    <w:p w14:paraId="035B564B" w14:textId="77777777" w:rsidR="00872599" w:rsidRPr="00F614F9" w:rsidRDefault="00000000" w:rsidP="008B38D1">
      <w:pPr>
        <w:spacing w:line="276" w:lineRule="auto"/>
        <w:divId w:val="55980915"/>
        <w:rPr>
          <w:rFonts w:ascii="Times New Roman" w:eastAsia="宋体" w:hAnsi="Times New Roman" w:cs="Times New Roman"/>
          <w:sz w:val="18"/>
          <w:szCs w:val="18"/>
        </w:rPr>
      </w:pPr>
      <w:r w:rsidRPr="00F614F9">
        <w:rPr>
          <w:rFonts w:ascii="Times New Roman" w:eastAsia="宋体" w:hAnsi="Times New Roman" w:cs="Times New Roman"/>
          <w:sz w:val="18"/>
          <w:szCs w:val="18"/>
        </w:rPr>
        <w:t>龙大美食</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北京</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食品科技有限公司于</w:t>
      </w:r>
      <w:r w:rsidRPr="00F614F9">
        <w:rPr>
          <w:rFonts w:ascii="Times New Roman" w:eastAsia="宋体" w:hAnsi="Times New Roman" w:cs="Times New Roman"/>
          <w:sz w:val="18"/>
          <w:szCs w:val="18"/>
        </w:rPr>
        <w:t>2023</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3</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15</w:t>
      </w:r>
      <w:r w:rsidRPr="00F614F9">
        <w:rPr>
          <w:rFonts w:ascii="Times New Roman" w:eastAsia="宋体" w:hAnsi="Times New Roman" w:cs="Times New Roman"/>
          <w:sz w:val="18"/>
          <w:szCs w:val="18"/>
        </w:rPr>
        <w:t>日纳入合并范围；</w:t>
      </w:r>
    </w:p>
    <w:p w14:paraId="620A3131" w14:textId="77777777" w:rsidR="00872599" w:rsidRPr="00F614F9" w:rsidRDefault="00000000" w:rsidP="008B38D1">
      <w:pPr>
        <w:spacing w:line="276" w:lineRule="auto"/>
        <w:divId w:val="55980915"/>
        <w:rPr>
          <w:rFonts w:ascii="Times New Roman" w:eastAsia="宋体" w:hAnsi="Times New Roman" w:cs="Times New Roman"/>
          <w:sz w:val="18"/>
          <w:szCs w:val="18"/>
        </w:rPr>
      </w:pPr>
      <w:r w:rsidRPr="00F614F9">
        <w:rPr>
          <w:rFonts w:ascii="Times New Roman" w:eastAsia="宋体" w:hAnsi="Times New Roman" w:cs="Times New Roman"/>
          <w:sz w:val="18"/>
          <w:szCs w:val="18"/>
        </w:rPr>
        <w:t>龙大美食</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上海</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食品科技有限公司于</w:t>
      </w:r>
      <w:r w:rsidRPr="00F614F9">
        <w:rPr>
          <w:rFonts w:ascii="Times New Roman" w:eastAsia="宋体" w:hAnsi="Times New Roman" w:cs="Times New Roman"/>
          <w:sz w:val="18"/>
          <w:szCs w:val="18"/>
        </w:rPr>
        <w:t>2023</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3</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28</w:t>
      </w:r>
      <w:r w:rsidRPr="00F614F9">
        <w:rPr>
          <w:rFonts w:ascii="Times New Roman" w:eastAsia="宋体" w:hAnsi="Times New Roman" w:cs="Times New Roman"/>
          <w:sz w:val="18"/>
          <w:szCs w:val="18"/>
        </w:rPr>
        <w:t>日纳入合并范围；</w:t>
      </w:r>
    </w:p>
    <w:p w14:paraId="3C0E1C9D" w14:textId="77777777" w:rsidR="00872599" w:rsidRPr="00F614F9" w:rsidRDefault="00000000" w:rsidP="008B38D1">
      <w:pPr>
        <w:spacing w:line="276" w:lineRule="auto"/>
        <w:divId w:val="55980915"/>
        <w:rPr>
          <w:rFonts w:ascii="Times New Roman" w:eastAsia="宋体" w:hAnsi="Times New Roman" w:cs="Times New Roman"/>
          <w:sz w:val="18"/>
          <w:szCs w:val="18"/>
        </w:rPr>
      </w:pPr>
      <w:r w:rsidRPr="00F614F9">
        <w:rPr>
          <w:rFonts w:ascii="Times New Roman" w:eastAsia="宋体" w:hAnsi="Times New Roman" w:cs="Times New Roman"/>
          <w:sz w:val="18"/>
          <w:szCs w:val="18"/>
        </w:rPr>
        <w:t>龙大美食</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广东</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食品科技有限公司于</w:t>
      </w:r>
      <w:r w:rsidRPr="00F614F9">
        <w:rPr>
          <w:rFonts w:ascii="Times New Roman" w:eastAsia="宋体" w:hAnsi="Times New Roman" w:cs="Times New Roman"/>
          <w:sz w:val="18"/>
          <w:szCs w:val="18"/>
        </w:rPr>
        <w:t>2023</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10</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31</w:t>
      </w:r>
      <w:r w:rsidRPr="00F614F9">
        <w:rPr>
          <w:rFonts w:ascii="Times New Roman" w:eastAsia="宋体" w:hAnsi="Times New Roman" w:cs="Times New Roman"/>
          <w:sz w:val="18"/>
          <w:szCs w:val="18"/>
        </w:rPr>
        <w:t>日纳入合并范围。</w:t>
      </w:r>
    </w:p>
    <w:p w14:paraId="046C7786"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39" w:name="_Toc988915"/>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7</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公司报告期内业务、产品或服务发生重大变化或调整有关情况</w:t>
      </w:r>
      <w:bookmarkEnd w:id="39"/>
    </w:p>
    <w:p w14:paraId="503203E7"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29CCA5E9"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40" w:name="_Toc988916"/>
      <w:r w:rsidRPr="00F614F9">
        <w:rPr>
          <w:rFonts w:ascii="Times New Roman" w:eastAsia="宋体" w:hAnsi="Times New Roman" w:cs="宋体"/>
          <w:b/>
          <w:bCs/>
          <w:sz w:val="18"/>
          <w:szCs w:val="18"/>
        </w:rPr>
        <w:lastRenderedPageBreak/>
        <w:t>（</w:t>
      </w:r>
      <w:r w:rsidRPr="00F614F9">
        <w:rPr>
          <w:rFonts w:ascii="Times New Roman" w:eastAsia="宋体" w:hAnsi="Times New Roman" w:cs="宋体"/>
          <w:b/>
          <w:bCs/>
          <w:sz w:val="18"/>
          <w:szCs w:val="18"/>
        </w:rPr>
        <w:t>8</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主要销售客户和主要供应商情况</w:t>
      </w:r>
      <w:bookmarkEnd w:id="40"/>
    </w:p>
    <w:p w14:paraId="2B05B230"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公司主要销售客户情况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1D26E7" w:rsidRPr="00F614F9" w14:paraId="7728DE1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491AD6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前五名客户合计销售金额（元）</w:t>
            </w:r>
          </w:p>
        </w:tc>
        <w:tc>
          <w:tcPr>
            <w:tcW w:w="4820" w:type="dxa"/>
            <w:tcBorders>
              <w:top w:val="single" w:sz="2" w:space="0" w:color="auto"/>
              <w:left w:val="single" w:sz="2" w:space="0" w:color="auto"/>
              <w:bottom w:val="single" w:sz="2" w:space="0" w:color="auto"/>
              <w:right w:val="single" w:sz="2" w:space="0" w:color="auto"/>
            </w:tcBorders>
            <w:vAlign w:val="center"/>
          </w:tcPr>
          <w:p w14:paraId="33B6640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1,025,959,132.00</w:t>
            </w:r>
          </w:p>
        </w:tc>
      </w:tr>
      <w:tr w:rsidR="001D26E7" w:rsidRPr="00F614F9" w14:paraId="74B45A80"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5DD58B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前五名客户合计销售金额占年度销售总额比例</w:t>
            </w:r>
          </w:p>
        </w:tc>
        <w:tc>
          <w:tcPr>
            <w:tcW w:w="4820" w:type="dxa"/>
            <w:tcBorders>
              <w:top w:val="single" w:sz="2" w:space="0" w:color="auto"/>
              <w:left w:val="single" w:sz="2" w:space="0" w:color="auto"/>
              <w:bottom w:val="single" w:sz="2" w:space="0" w:color="auto"/>
              <w:right w:val="single" w:sz="2" w:space="0" w:color="auto"/>
            </w:tcBorders>
            <w:vAlign w:val="center"/>
          </w:tcPr>
          <w:p w14:paraId="47A088F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7.70%</w:t>
            </w:r>
          </w:p>
        </w:tc>
      </w:tr>
      <w:tr w:rsidR="001D26E7" w:rsidRPr="00F614F9" w14:paraId="7929549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600E5B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前五名客户销售额中关联方销售额占年度销售总额比例</w:t>
            </w:r>
          </w:p>
        </w:tc>
        <w:tc>
          <w:tcPr>
            <w:tcW w:w="4820" w:type="dxa"/>
            <w:tcBorders>
              <w:top w:val="single" w:sz="2" w:space="0" w:color="auto"/>
              <w:left w:val="single" w:sz="2" w:space="0" w:color="auto"/>
              <w:bottom w:val="single" w:sz="2" w:space="0" w:color="auto"/>
              <w:right w:val="single" w:sz="2" w:space="0" w:color="auto"/>
            </w:tcBorders>
            <w:vAlign w:val="center"/>
          </w:tcPr>
          <w:p w14:paraId="2B79C28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bl>
    <w:p w14:paraId="41A0107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公司前</w:t>
      </w:r>
      <w:r w:rsidRPr="00F614F9">
        <w:rPr>
          <w:rFonts w:ascii="Times New Roman" w:eastAsia="宋体" w:hAnsi="Times New Roman" w:cs="宋体"/>
          <w:sz w:val="18"/>
          <w:szCs w:val="18"/>
        </w:rPr>
        <w:t>5</w:t>
      </w:r>
      <w:r w:rsidRPr="00F614F9">
        <w:rPr>
          <w:rFonts w:ascii="Times New Roman" w:eastAsia="宋体" w:hAnsi="Times New Roman" w:cs="宋体"/>
          <w:sz w:val="18"/>
          <w:szCs w:val="18"/>
        </w:rPr>
        <w:t>大客户资料</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1D26E7" w:rsidRPr="00F614F9" w14:paraId="19D44B4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4A52BD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序号</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F903CF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客户名称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B8073E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销售额（元）</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9EA3A8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占年度销售总额比例</w:t>
            </w:r>
          </w:p>
        </w:tc>
      </w:tr>
      <w:tr w:rsidR="001D26E7" w:rsidRPr="00F614F9" w14:paraId="57384DF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0597EE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2410" w:type="dxa"/>
            <w:tcBorders>
              <w:top w:val="single" w:sz="2" w:space="0" w:color="auto"/>
              <w:left w:val="single" w:sz="2" w:space="0" w:color="auto"/>
              <w:bottom w:val="single" w:sz="2" w:space="0" w:color="auto"/>
              <w:right w:val="single" w:sz="2" w:space="0" w:color="auto"/>
            </w:tcBorders>
            <w:vAlign w:val="center"/>
          </w:tcPr>
          <w:p w14:paraId="0466F52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w:t>
            </w:r>
            <w:r w:rsidRPr="00F614F9">
              <w:rPr>
                <w:rFonts w:ascii="Times New Roman" w:eastAsia="宋体" w:hAnsi="Times New Roman" w:cs="宋体"/>
                <w:sz w:val="18"/>
                <w:szCs w:val="18"/>
              </w:rPr>
              <w:t xml:space="preserve"> A</w:t>
            </w:r>
          </w:p>
        </w:tc>
        <w:tc>
          <w:tcPr>
            <w:tcW w:w="2410" w:type="dxa"/>
            <w:tcBorders>
              <w:top w:val="single" w:sz="2" w:space="0" w:color="auto"/>
              <w:left w:val="single" w:sz="2" w:space="0" w:color="auto"/>
              <w:bottom w:val="single" w:sz="2" w:space="0" w:color="auto"/>
              <w:right w:val="single" w:sz="2" w:space="0" w:color="auto"/>
            </w:tcBorders>
            <w:vAlign w:val="center"/>
          </w:tcPr>
          <w:p w14:paraId="7CD8D08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336,952,770.56</w:t>
            </w:r>
          </w:p>
        </w:tc>
        <w:tc>
          <w:tcPr>
            <w:tcW w:w="2410" w:type="dxa"/>
            <w:tcBorders>
              <w:top w:val="single" w:sz="2" w:space="0" w:color="auto"/>
              <w:left w:val="single" w:sz="2" w:space="0" w:color="auto"/>
              <w:bottom w:val="single" w:sz="2" w:space="0" w:color="auto"/>
              <w:right w:val="single" w:sz="2" w:space="0" w:color="auto"/>
            </w:tcBorders>
            <w:vAlign w:val="center"/>
          </w:tcPr>
          <w:p w14:paraId="24C5E6E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2.53%</w:t>
            </w:r>
          </w:p>
        </w:tc>
      </w:tr>
      <w:tr w:rsidR="001D26E7" w:rsidRPr="00F614F9" w14:paraId="0D63B36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614B87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w:t>
            </w:r>
          </w:p>
        </w:tc>
        <w:tc>
          <w:tcPr>
            <w:tcW w:w="2410" w:type="dxa"/>
            <w:tcBorders>
              <w:top w:val="single" w:sz="2" w:space="0" w:color="auto"/>
              <w:left w:val="single" w:sz="2" w:space="0" w:color="auto"/>
              <w:bottom w:val="single" w:sz="2" w:space="0" w:color="auto"/>
              <w:right w:val="single" w:sz="2" w:space="0" w:color="auto"/>
            </w:tcBorders>
            <w:vAlign w:val="center"/>
          </w:tcPr>
          <w:p w14:paraId="03F60AC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w:t>
            </w:r>
            <w:r w:rsidRPr="00F614F9">
              <w:rPr>
                <w:rFonts w:ascii="Times New Roman" w:eastAsia="宋体" w:hAnsi="Times New Roman" w:cs="宋体"/>
                <w:sz w:val="18"/>
                <w:szCs w:val="18"/>
              </w:rPr>
              <w:t xml:space="preserve"> B</w:t>
            </w:r>
          </w:p>
        </w:tc>
        <w:tc>
          <w:tcPr>
            <w:tcW w:w="2410" w:type="dxa"/>
            <w:tcBorders>
              <w:top w:val="single" w:sz="2" w:space="0" w:color="auto"/>
              <w:left w:val="single" w:sz="2" w:space="0" w:color="auto"/>
              <w:bottom w:val="single" w:sz="2" w:space="0" w:color="auto"/>
              <w:right w:val="single" w:sz="2" w:space="0" w:color="auto"/>
            </w:tcBorders>
            <w:vAlign w:val="center"/>
          </w:tcPr>
          <w:p w14:paraId="1108EBD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222,547,375.16</w:t>
            </w:r>
          </w:p>
        </w:tc>
        <w:tc>
          <w:tcPr>
            <w:tcW w:w="2410" w:type="dxa"/>
            <w:tcBorders>
              <w:top w:val="single" w:sz="2" w:space="0" w:color="auto"/>
              <w:left w:val="single" w:sz="2" w:space="0" w:color="auto"/>
              <w:bottom w:val="single" w:sz="2" w:space="0" w:color="auto"/>
              <w:right w:val="single" w:sz="2" w:space="0" w:color="auto"/>
            </w:tcBorders>
            <w:vAlign w:val="center"/>
          </w:tcPr>
          <w:p w14:paraId="1E4D0F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1.67%</w:t>
            </w:r>
          </w:p>
        </w:tc>
      </w:tr>
      <w:tr w:rsidR="001D26E7" w:rsidRPr="00F614F9" w14:paraId="069FF75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4E6CD1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w:t>
            </w:r>
          </w:p>
        </w:tc>
        <w:tc>
          <w:tcPr>
            <w:tcW w:w="2410" w:type="dxa"/>
            <w:tcBorders>
              <w:top w:val="single" w:sz="2" w:space="0" w:color="auto"/>
              <w:left w:val="single" w:sz="2" w:space="0" w:color="auto"/>
              <w:bottom w:val="single" w:sz="2" w:space="0" w:color="auto"/>
              <w:right w:val="single" w:sz="2" w:space="0" w:color="auto"/>
            </w:tcBorders>
            <w:vAlign w:val="center"/>
          </w:tcPr>
          <w:p w14:paraId="6556AE3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w:t>
            </w:r>
            <w:r w:rsidRPr="00F614F9">
              <w:rPr>
                <w:rFonts w:ascii="Times New Roman" w:eastAsia="宋体" w:hAnsi="Times New Roman" w:cs="宋体"/>
                <w:sz w:val="18"/>
                <w:szCs w:val="18"/>
              </w:rPr>
              <w:t xml:space="preserve"> C</w:t>
            </w:r>
          </w:p>
        </w:tc>
        <w:tc>
          <w:tcPr>
            <w:tcW w:w="2410" w:type="dxa"/>
            <w:tcBorders>
              <w:top w:val="single" w:sz="2" w:space="0" w:color="auto"/>
              <w:left w:val="single" w:sz="2" w:space="0" w:color="auto"/>
              <w:bottom w:val="single" w:sz="2" w:space="0" w:color="auto"/>
              <w:right w:val="single" w:sz="2" w:space="0" w:color="auto"/>
            </w:tcBorders>
            <w:vAlign w:val="center"/>
          </w:tcPr>
          <w:p w14:paraId="4965688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178,834,513.29</w:t>
            </w:r>
          </w:p>
        </w:tc>
        <w:tc>
          <w:tcPr>
            <w:tcW w:w="2410" w:type="dxa"/>
            <w:tcBorders>
              <w:top w:val="single" w:sz="2" w:space="0" w:color="auto"/>
              <w:left w:val="single" w:sz="2" w:space="0" w:color="auto"/>
              <w:bottom w:val="single" w:sz="2" w:space="0" w:color="auto"/>
              <w:right w:val="single" w:sz="2" w:space="0" w:color="auto"/>
            </w:tcBorders>
            <w:vAlign w:val="center"/>
          </w:tcPr>
          <w:p w14:paraId="52684EB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1.34%</w:t>
            </w:r>
          </w:p>
        </w:tc>
      </w:tr>
      <w:tr w:rsidR="001D26E7" w:rsidRPr="00F614F9" w14:paraId="44F964F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1E0243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w:t>
            </w:r>
          </w:p>
        </w:tc>
        <w:tc>
          <w:tcPr>
            <w:tcW w:w="2410" w:type="dxa"/>
            <w:tcBorders>
              <w:top w:val="single" w:sz="2" w:space="0" w:color="auto"/>
              <w:left w:val="single" w:sz="2" w:space="0" w:color="auto"/>
              <w:bottom w:val="single" w:sz="2" w:space="0" w:color="auto"/>
              <w:right w:val="single" w:sz="2" w:space="0" w:color="auto"/>
            </w:tcBorders>
            <w:vAlign w:val="center"/>
          </w:tcPr>
          <w:p w14:paraId="4EDB000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w:t>
            </w:r>
            <w:r w:rsidRPr="00F614F9">
              <w:rPr>
                <w:rFonts w:ascii="Times New Roman" w:eastAsia="宋体" w:hAnsi="Times New Roman" w:cs="宋体"/>
                <w:sz w:val="18"/>
                <w:szCs w:val="18"/>
              </w:rPr>
              <w:t xml:space="preserve"> D</w:t>
            </w:r>
          </w:p>
        </w:tc>
        <w:tc>
          <w:tcPr>
            <w:tcW w:w="2410" w:type="dxa"/>
            <w:tcBorders>
              <w:top w:val="single" w:sz="2" w:space="0" w:color="auto"/>
              <w:left w:val="single" w:sz="2" w:space="0" w:color="auto"/>
              <w:bottom w:val="single" w:sz="2" w:space="0" w:color="auto"/>
              <w:right w:val="single" w:sz="2" w:space="0" w:color="auto"/>
            </w:tcBorders>
            <w:vAlign w:val="center"/>
          </w:tcPr>
          <w:p w14:paraId="429C7A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165,440,171.17</w:t>
            </w:r>
          </w:p>
        </w:tc>
        <w:tc>
          <w:tcPr>
            <w:tcW w:w="2410" w:type="dxa"/>
            <w:tcBorders>
              <w:top w:val="single" w:sz="2" w:space="0" w:color="auto"/>
              <w:left w:val="single" w:sz="2" w:space="0" w:color="auto"/>
              <w:bottom w:val="single" w:sz="2" w:space="0" w:color="auto"/>
              <w:right w:val="single" w:sz="2" w:space="0" w:color="auto"/>
            </w:tcBorders>
            <w:vAlign w:val="center"/>
          </w:tcPr>
          <w:p w14:paraId="081C691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1.24%</w:t>
            </w:r>
          </w:p>
        </w:tc>
      </w:tr>
      <w:tr w:rsidR="001D26E7" w:rsidRPr="00F614F9" w14:paraId="47E9A6F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EA2182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w:t>
            </w:r>
          </w:p>
        </w:tc>
        <w:tc>
          <w:tcPr>
            <w:tcW w:w="2410" w:type="dxa"/>
            <w:tcBorders>
              <w:top w:val="single" w:sz="2" w:space="0" w:color="auto"/>
              <w:left w:val="single" w:sz="2" w:space="0" w:color="auto"/>
              <w:bottom w:val="single" w:sz="2" w:space="0" w:color="auto"/>
              <w:right w:val="single" w:sz="2" w:space="0" w:color="auto"/>
            </w:tcBorders>
            <w:vAlign w:val="center"/>
          </w:tcPr>
          <w:p w14:paraId="1B84E57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w:t>
            </w:r>
            <w:r w:rsidRPr="00F614F9">
              <w:rPr>
                <w:rFonts w:ascii="Times New Roman" w:eastAsia="宋体" w:hAnsi="Times New Roman" w:cs="宋体"/>
                <w:sz w:val="18"/>
                <w:szCs w:val="18"/>
              </w:rPr>
              <w:t xml:space="preserve"> E</w:t>
            </w:r>
          </w:p>
        </w:tc>
        <w:tc>
          <w:tcPr>
            <w:tcW w:w="2410" w:type="dxa"/>
            <w:tcBorders>
              <w:top w:val="single" w:sz="2" w:space="0" w:color="auto"/>
              <w:left w:val="single" w:sz="2" w:space="0" w:color="auto"/>
              <w:bottom w:val="single" w:sz="2" w:space="0" w:color="auto"/>
              <w:right w:val="single" w:sz="2" w:space="0" w:color="auto"/>
            </w:tcBorders>
            <w:vAlign w:val="center"/>
          </w:tcPr>
          <w:p w14:paraId="5463A52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122,184,301.82</w:t>
            </w:r>
          </w:p>
        </w:tc>
        <w:tc>
          <w:tcPr>
            <w:tcW w:w="2410" w:type="dxa"/>
            <w:tcBorders>
              <w:top w:val="single" w:sz="2" w:space="0" w:color="auto"/>
              <w:left w:val="single" w:sz="2" w:space="0" w:color="auto"/>
              <w:bottom w:val="single" w:sz="2" w:space="0" w:color="auto"/>
              <w:right w:val="single" w:sz="2" w:space="0" w:color="auto"/>
            </w:tcBorders>
            <w:vAlign w:val="center"/>
          </w:tcPr>
          <w:p w14:paraId="0DC489D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0.92%</w:t>
            </w:r>
          </w:p>
        </w:tc>
      </w:tr>
      <w:tr w:rsidR="001D26E7" w:rsidRPr="00F614F9" w14:paraId="0D262F5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9B66C9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6703B5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2410" w:type="dxa"/>
            <w:tcBorders>
              <w:top w:val="single" w:sz="2" w:space="0" w:color="auto"/>
              <w:left w:val="single" w:sz="2" w:space="0" w:color="auto"/>
              <w:bottom w:val="single" w:sz="2" w:space="0" w:color="auto"/>
              <w:right w:val="single" w:sz="2" w:space="0" w:color="auto"/>
            </w:tcBorders>
            <w:vAlign w:val="center"/>
          </w:tcPr>
          <w:p w14:paraId="6AA2313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1,025,959,132.00</w:t>
            </w:r>
          </w:p>
        </w:tc>
        <w:tc>
          <w:tcPr>
            <w:tcW w:w="2410" w:type="dxa"/>
            <w:tcBorders>
              <w:top w:val="single" w:sz="2" w:space="0" w:color="auto"/>
              <w:left w:val="single" w:sz="2" w:space="0" w:color="auto"/>
              <w:bottom w:val="single" w:sz="2" w:space="0" w:color="auto"/>
              <w:right w:val="single" w:sz="2" w:space="0" w:color="auto"/>
            </w:tcBorders>
            <w:vAlign w:val="center"/>
          </w:tcPr>
          <w:p w14:paraId="6B46909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7.70%</w:t>
            </w:r>
          </w:p>
        </w:tc>
      </w:tr>
    </w:tbl>
    <w:p w14:paraId="0CF252CE"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主要客户其他情况说明</w:t>
      </w:r>
    </w:p>
    <w:p w14:paraId="475F5F89"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30E0D52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公司主要供应商情况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1D26E7" w:rsidRPr="00F614F9" w14:paraId="125708E1"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C5EE0F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前五名供应商合计采购金额（元）</w:t>
            </w:r>
          </w:p>
        </w:tc>
        <w:tc>
          <w:tcPr>
            <w:tcW w:w="4820" w:type="dxa"/>
            <w:tcBorders>
              <w:top w:val="single" w:sz="2" w:space="0" w:color="auto"/>
              <w:left w:val="single" w:sz="2" w:space="0" w:color="auto"/>
              <w:bottom w:val="single" w:sz="2" w:space="0" w:color="auto"/>
              <w:right w:val="single" w:sz="2" w:space="0" w:color="auto"/>
            </w:tcBorders>
            <w:vAlign w:val="center"/>
          </w:tcPr>
          <w:p w14:paraId="1EEA01E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3,919,918,569.14</w:t>
            </w:r>
          </w:p>
        </w:tc>
      </w:tr>
      <w:tr w:rsidR="001D26E7" w:rsidRPr="00F614F9" w14:paraId="35E17BAA"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FFC680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前五名供应商合计采购金额占年度采购总额比例</w:t>
            </w:r>
          </w:p>
        </w:tc>
        <w:tc>
          <w:tcPr>
            <w:tcW w:w="4820" w:type="dxa"/>
            <w:tcBorders>
              <w:top w:val="single" w:sz="2" w:space="0" w:color="auto"/>
              <w:left w:val="single" w:sz="2" w:space="0" w:color="auto"/>
              <w:bottom w:val="single" w:sz="2" w:space="0" w:color="auto"/>
              <w:right w:val="single" w:sz="2" w:space="0" w:color="auto"/>
            </w:tcBorders>
            <w:vAlign w:val="center"/>
          </w:tcPr>
          <w:p w14:paraId="013052B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29.77%</w:t>
            </w:r>
          </w:p>
        </w:tc>
      </w:tr>
      <w:tr w:rsidR="001D26E7" w:rsidRPr="00F614F9" w14:paraId="3E37D720"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651EC0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前五名供应商采购额中关联方采购额占年度采购总额比例</w:t>
            </w:r>
          </w:p>
        </w:tc>
        <w:tc>
          <w:tcPr>
            <w:tcW w:w="4820" w:type="dxa"/>
            <w:tcBorders>
              <w:top w:val="single" w:sz="2" w:space="0" w:color="auto"/>
              <w:left w:val="single" w:sz="2" w:space="0" w:color="auto"/>
              <w:bottom w:val="single" w:sz="2" w:space="0" w:color="auto"/>
              <w:right w:val="single" w:sz="2" w:space="0" w:color="auto"/>
            </w:tcBorders>
            <w:vAlign w:val="center"/>
          </w:tcPr>
          <w:p w14:paraId="2FD94BA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13.16%</w:t>
            </w:r>
          </w:p>
        </w:tc>
      </w:tr>
    </w:tbl>
    <w:p w14:paraId="7F44CCD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公司前</w:t>
      </w:r>
      <w:r w:rsidRPr="00F614F9">
        <w:rPr>
          <w:rFonts w:ascii="Times New Roman" w:eastAsia="宋体" w:hAnsi="Times New Roman" w:cs="宋体"/>
          <w:sz w:val="18"/>
          <w:szCs w:val="18"/>
        </w:rPr>
        <w:t>5</w:t>
      </w:r>
      <w:r w:rsidRPr="00F614F9">
        <w:rPr>
          <w:rFonts w:ascii="Times New Roman" w:eastAsia="宋体" w:hAnsi="Times New Roman" w:cs="宋体"/>
          <w:sz w:val="18"/>
          <w:szCs w:val="18"/>
        </w:rPr>
        <w:t>名供应商资料</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1D26E7" w:rsidRPr="00F614F9" w14:paraId="6270F6F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D72B19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序号</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412C55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供应商名称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F29874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采购额（元）</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7368AA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占年度采购总额比例</w:t>
            </w:r>
          </w:p>
        </w:tc>
      </w:tr>
      <w:tr w:rsidR="001D26E7" w:rsidRPr="00F614F9" w14:paraId="06A7546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2BE34B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2410" w:type="dxa"/>
            <w:tcBorders>
              <w:top w:val="single" w:sz="2" w:space="0" w:color="auto"/>
              <w:left w:val="single" w:sz="2" w:space="0" w:color="auto"/>
              <w:bottom w:val="single" w:sz="2" w:space="0" w:color="auto"/>
              <w:right w:val="single" w:sz="2" w:space="0" w:color="auto"/>
            </w:tcBorders>
            <w:vAlign w:val="center"/>
          </w:tcPr>
          <w:p w14:paraId="75F9676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供应商</w:t>
            </w:r>
            <w:r w:rsidRPr="00F614F9">
              <w:rPr>
                <w:rFonts w:ascii="Times New Roman" w:eastAsia="宋体" w:hAnsi="Times New Roman" w:cs="宋体"/>
                <w:sz w:val="18"/>
                <w:szCs w:val="18"/>
              </w:rPr>
              <w:t>A</w:t>
            </w:r>
          </w:p>
        </w:tc>
        <w:tc>
          <w:tcPr>
            <w:tcW w:w="2410" w:type="dxa"/>
            <w:tcBorders>
              <w:top w:val="single" w:sz="2" w:space="0" w:color="auto"/>
              <w:left w:val="single" w:sz="2" w:space="0" w:color="auto"/>
              <w:bottom w:val="single" w:sz="2" w:space="0" w:color="auto"/>
              <w:right w:val="single" w:sz="2" w:space="0" w:color="auto"/>
            </w:tcBorders>
            <w:vAlign w:val="center"/>
          </w:tcPr>
          <w:p w14:paraId="7C00140F" w14:textId="77777777" w:rsidR="001D26E7" w:rsidRPr="00F614F9" w:rsidRDefault="00F7290B">
            <w:pPr>
              <w:spacing w:line="240" w:lineRule="exact"/>
              <w:jc w:val="right"/>
              <w:rPr>
                <w:rFonts w:ascii="Times New Roman" w:eastAsia="宋体" w:hAnsi="Times New Roman" w:cs="宋体"/>
                <w:sz w:val="18"/>
                <w:szCs w:val="18"/>
              </w:rPr>
            </w:pPr>
            <w:r w:rsidRPr="00F7290B">
              <w:rPr>
                <w:rFonts w:ascii="Times New Roman" w:eastAsia="宋体" w:hAnsi="Times New Roman" w:cs="宋体"/>
                <w:sz w:val="18"/>
                <w:szCs w:val="18"/>
              </w:rPr>
              <w:t>1,735,126,351.84</w:t>
            </w:r>
          </w:p>
        </w:tc>
        <w:tc>
          <w:tcPr>
            <w:tcW w:w="2410" w:type="dxa"/>
            <w:tcBorders>
              <w:top w:val="single" w:sz="2" w:space="0" w:color="auto"/>
              <w:left w:val="single" w:sz="2" w:space="0" w:color="auto"/>
              <w:bottom w:val="single" w:sz="2" w:space="0" w:color="auto"/>
              <w:right w:val="single" w:sz="2" w:space="0" w:color="auto"/>
            </w:tcBorders>
            <w:vAlign w:val="center"/>
          </w:tcPr>
          <w:p w14:paraId="2A0E6E3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13.16%</w:t>
            </w:r>
          </w:p>
        </w:tc>
      </w:tr>
      <w:tr w:rsidR="001D26E7" w:rsidRPr="00F614F9" w14:paraId="53302A4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C5DC92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w:t>
            </w:r>
          </w:p>
        </w:tc>
        <w:tc>
          <w:tcPr>
            <w:tcW w:w="2410" w:type="dxa"/>
            <w:tcBorders>
              <w:top w:val="single" w:sz="2" w:space="0" w:color="auto"/>
              <w:left w:val="single" w:sz="2" w:space="0" w:color="auto"/>
              <w:bottom w:val="single" w:sz="2" w:space="0" w:color="auto"/>
              <w:right w:val="single" w:sz="2" w:space="0" w:color="auto"/>
            </w:tcBorders>
            <w:vAlign w:val="center"/>
          </w:tcPr>
          <w:p w14:paraId="14FA15C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供应商</w:t>
            </w:r>
            <w:r w:rsidRPr="00F614F9">
              <w:rPr>
                <w:rFonts w:ascii="Times New Roman" w:eastAsia="宋体" w:hAnsi="Times New Roman" w:cs="宋体"/>
                <w:sz w:val="18"/>
                <w:szCs w:val="18"/>
              </w:rPr>
              <w:t>B</w:t>
            </w:r>
          </w:p>
        </w:tc>
        <w:tc>
          <w:tcPr>
            <w:tcW w:w="2410" w:type="dxa"/>
            <w:tcBorders>
              <w:top w:val="single" w:sz="2" w:space="0" w:color="auto"/>
              <w:left w:val="single" w:sz="2" w:space="0" w:color="auto"/>
              <w:bottom w:val="single" w:sz="2" w:space="0" w:color="auto"/>
              <w:right w:val="single" w:sz="2" w:space="0" w:color="auto"/>
            </w:tcBorders>
            <w:vAlign w:val="center"/>
          </w:tcPr>
          <w:p w14:paraId="5921AF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1,010,988,847.56</w:t>
            </w:r>
          </w:p>
        </w:tc>
        <w:tc>
          <w:tcPr>
            <w:tcW w:w="2410" w:type="dxa"/>
            <w:tcBorders>
              <w:top w:val="single" w:sz="2" w:space="0" w:color="auto"/>
              <w:left w:val="single" w:sz="2" w:space="0" w:color="auto"/>
              <w:bottom w:val="single" w:sz="2" w:space="0" w:color="auto"/>
              <w:right w:val="single" w:sz="2" w:space="0" w:color="auto"/>
            </w:tcBorders>
            <w:vAlign w:val="center"/>
          </w:tcPr>
          <w:p w14:paraId="7C5E92B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7.69%</w:t>
            </w:r>
          </w:p>
        </w:tc>
      </w:tr>
      <w:tr w:rsidR="001D26E7" w:rsidRPr="00F614F9" w14:paraId="1774A3B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9D3134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w:t>
            </w:r>
          </w:p>
        </w:tc>
        <w:tc>
          <w:tcPr>
            <w:tcW w:w="2410" w:type="dxa"/>
            <w:tcBorders>
              <w:top w:val="single" w:sz="2" w:space="0" w:color="auto"/>
              <w:left w:val="single" w:sz="2" w:space="0" w:color="auto"/>
              <w:bottom w:val="single" w:sz="2" w:space="0" w:color="auto"/>
              <w:right w:val="single" w:sz="2" w:space="0" w:color="auto"/>
            </w:tcBorders>
            <w:vAlign w:val="center"/>
          </w:tcPr>
          <w:p w14:paraId="31966B3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供应商</w:t>
            </w:r>
            <w:r w:rsidRPr="00F614F9">
              <w:rPr>
                <w:rFonts w:ascii="Times New Roman" w:eastAsia="宋体" w:hAnsi="Times New Roman" w:cs="宋体"/>
                <w:sz w:val="18"/>
                <w:szCs w:val="18"/>
              </w:rPr>
              <w:t>C</w:t>
            </w:r>
          </w:p>
        </w:tc>
        <w:tc>
          <w:tcPr>
            <w:tcW w:w="2410" w:type="dxa"/>
            <w:tcBorders>
              <w:top w:val="single" w:sz="2" w:space="0" w:color="auto"/>
              <w:left w:val="single" w:sz="2" w:space="0" w:color="auto"/>
              <w:bottom w:val="single" w:sz="2" w:space="0" w:color="auto"/>
              <w:right w:val="single" w:sz="2" w:space="0" w:color="auto"/>
            </w:tcBorders>
            <w:vAlign w:val="center"/>
          </w:tcPr>
          <w:p w14:paraId="729B3B3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563,288,080.03</w:t>
            </w:r>
          </w:p>
        </w:tc>
        <w:tc>
          <w:tcPr>
            <w:tcW w:w="2410" w:type="dxa"/>
            <w:tcBorders>
              <w:top w:val="single" w:sz="2" w:space="0" w:color="auto"/>
              <w:left w:val="single" w:sz="2" w:space="0" w:color="auto"/>
              <w:bottom w:val="single" w:sz="2" w:space="0" w:color="auto"/>
              <w:right w:val="single" w:sz="2" w:space="0" w:color="auto"/>
            </w:tcBorders>
            <w:vAlign w:val="center"/>
          </w:tcPr>
          <w:p w14:paraId="483AEB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4.29%</w:t>
            </w:r>
          </w:p>
        </w:tc>
      </w:tr>
      <w:tr w:rsidR="001D26E7" w:rsidRPr="00F614F9" w14:paraId="3AA8A2D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0B861B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w:t>
            </w:r>
          </w:p>
        </w:tc>
        <w:tc>
          <w:tcPr>
            <w:tcW w:w="2410" w:type="dxa"/>
            <w:tcBorders>
              <w:top w:val="single" w:sz="2" w:space="0" w:color="auto"/>
              <w:left w:val="single" w:sz="2" w:space="0" w:color="auto"/>
              <w:bottom w:val="single" w:sz="2" w:space="0" w:color="auto"/>
              <w:right w:val="single" w:sz="2" w:space="0" w:color="auto"/>
            </w:tcBorders>
            <w:vAlign w:val="center"/>
          </w:tcPr>
          <w:p w14:paraId="6C898DF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供应商</w:t>
            </w:r>
            <w:r w:rsidRPr="00F614F9">
              <w:rPr>
                <w:rFonts w:ascii="Times New Roman" w:eastAsia="宋体" w:hAnsi="Times New Roman" w:cs="宋体"/>
                <w:sz w:val="18"/>
                <w:szCs w:val="18"/>
              </w:rPr>
              <w:t>D</w:t>
            </w:r>
          </w:p>
        </w:tc>
        <w:tc>
          <w:tcPr>
            <w:tcW w:w="2410" w:type="dxa"/>
            <w:tcBorders>
              <w:top w:val="single" w:sz="2" w:space="0" w:color="auto"/>
              <w:left w:val="single" w:sz="2" w:space="0" w:color="auto"/>
              <w:bottom w:val="single" w:sz="2" w:space="0" w:color="auto"/>
              <w:right w:val="single" w:sz="2" w:space="0" w:color="auto"/>
            </w:tcBorders>
            <w:vAlign w:val="center"/>
          </w:tcPr>
          <w:p w14:paraId="7417E02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351,445,727.01</w:t>
            </w:r>
          </w:p>
        </w:tc>
        <w:tc>
          <w:tcPr>
            <w:tcW w:w="2410" w:type="dxa"/>
            <w:tcBorders>
              <w:top w:val="single" w:sz="2" w:space="0" w:color="auto"/>
              <w:left w:val="single" w:sz="2" w:space="0" w:color="auto"/>
              <w:bottom w:val="single" w:sz="2" w:space="0" w:color="auto"/>
              <w:right w:val="single" w:sz="2" w:space="0" w:color="auto"/>
            </w:tcBorders>
            <w:vAlign w:val="center"/>
          </w:tcPr>
          <w:p w14:paraId="52FFCEA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2.66%</w:t>
            </w:r>
          </w:p>
        </w:tc>
      </w:tr>
      <w:tr w:rsidR="001D26E7" w:rsidRPr="00F614F9" w14:paraId="4D2E1C2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27B930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w:t>
            </w:r>
          </w:p>
        </w:tc>
        <w:tc>
          <w:tcPr>
            <w:tcW w:w="2410" w:type="dxa"/>
            <w:tcBorders>
              <w:top w:val="single" w:sz="2" w:space="0" w:color="auto"/>
              <w:left w:val="single" w:sz="2" w:space="0" w:color="auto"/>
              <w:bottom w:val="single" w:sz="2" w:space="0" w:color="auto"/>
              <w:right w:val="single" w:sz="2" w:space="0" w:color="auto"/>
            </w:tcBorders>
            <w:vAlign w:val="center"/>
          </w:tcPr>
          <w:p w14:paraId="09C36E1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供应商</w:t>
            </w:r>
            <w:r w:rsidRPr="00F614F9">
              <w:rPr>
                <w:rFonts w:ascii="Times New Roman" w:eastAsia="宋体" w:hAnsi="Times New Roman" w:cs="宋体"/>
                <w:sz w:val="18"/>
                <w:szCs w:val="18"/>
              </w:rPr>
              <w:t>E</w:t>
            </w:r>
          </w:p>
        </w:tc>
        <w:tc>
          <w:tcPr>
            <w:tcW w:w="2410" w:type="dxa"/>
            <w:tcBorders>
              <w:top w:val="single" w:sz="2" w:space="0" w:color="auto"/>
              <w:left w:val="single" w:sz="2" w:space="0" w:color="auto"/>
              <w:bottom w:val="single" w:sz="2" w:space="0" w:color="auto"/>
              <w:right w:val="single" w:sz="2" w:space="0" w:color="auto"/>
            </w:tcBorders>
            <w:vAlign w:val="center"/>
          </w:tcPr>
          <w:p w14:paraId="29637BB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258,773,385.00</w:t>
            </w:r>
          </w:p>
        </w:tc>
        <w:tc>
          <w:tcPr>
            <w:tcW w:w="2410" w:type="dxa"/>
            <w:tcBorders>
              <w:top w:val="single" w:sz="2" w:space="0" w:color="auto"/>
              <w:left w:val="single" w:sz="2" w:space="0" w:color="auto"/>
              <w:bottom w:val="single" w:sz="2" w:space="0" w:color="auto"/>
              <w:right w:val="single" w:sz="2" w:space="0" w:color="auto"/>
            </w:tcBorders>
            <w:vAlign w:val="center"/>
          </w:tcPr>
          <w:p w14:paraId="688EE68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1.97%</w:t>
            </w:r>
          </w:p>
        </w:tc>
      </w:tr>
      <w:tr w:rsidR="001D26E7" w:rsidRPr="00F614F9" w14:paraId="18CF387E"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CFB324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BC592E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2410" w:type="dxa"/>
            <w:tcBorders>
              <w:top w:val="single" w:sz="2" w:space="0" w:color="auto"/>
              <w:left w:val="single" w:sz="2" w:space="0" w:color="auto"/>
              <w:bottom w:val="single" w:sz="2" w:space="0" w:color="auto"/>
              <w:right w:val="single" w:sz="2" w:space="0" w:color="auto"/>
            </w:tcBorders>
            <w:vAlign w:val="center"/>
          </w:tcPr>
          <w:p w14:paraId="75A1AD83" w14:textId="77777777" w:rsidR="001D26E7" w:rsidRPr="00F614F9" w:rsidRDefault="00F7290B">
            <w:pPr>
              <w:spacing w:line="240" w:lineRule="exact"/>
              <w:jc w:val="right"/>
              <w:rPr>
                <w:rFonts w:ascii="Times New Roman" w:eastAsia="宋体" w:hAnsi="Times New Roman" w:cs="宋体"/>
                <w:sz w:val="18"/>
                <w:szCs w:val="18"/>
              </w:rPr>
            </w:pPr>
            <w:r w:rsidRPr="00F7290B">
              <w:rPr>
                <w:rFonts w:ascii="Times New Roman" w:eastAsia="宋体" w:hAnsi="Times New Roman" w:cs="宋体"/>
                <w:sz w:val="18"/>
                <w:szCs w:val="18"/>
              </w:rPr>
              <w:t>3,919,622,391.44</w:t>
            </w:r>
          </w:p>
        </w:tc>
        <w:tc>
          <w:tcPr>
            <w:tcW w:w="2410" w:type="dxa"/>
            <w:tcBorders>
              <w:top w:val="single" w:sz="2" w:space="0" w:color="auto"/>
              <w:left w:val="single" w:sz="2" w:space="0" w:color="auto"/>
              <w:bottom w:val="single" w:sz="2" w:space="0" w:color="auto"/>
              <w:right w:val="single" w:sz="2" w:space="0" w:color="auto"/>
            </w:tcBorders>
            <w:vAlign w:val="center"/>
          </w:tcPr>
          <w:p w14:paraId="568A759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29.77%</w:t>
            </w:r>
          </w:p>
        </w:tc>
      </w:tr>
    </w:tbl>
    <w:p w14:paraId="60B70A8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主要供应</w:t>
      </w:r>
      <w:proofErr w:type="gramStart"/>
      <w:r w:rsidRPr="00F614F9">
        <w:rPr>
          <w:rFonts w:ascii="Times New Roman" w:eastAsia="宋体" w:hAnsi="Times New Roman" w:cs="宋体"/>
          <w:sz w:val="18"/>
          <w:szCs w:val="18"/>
        </w:rPr>
        <w:t>商其他</w:t>
      </w:r>
      <w:proofErr w:type="gramEnd"/>
      <w:r w:rsidRPr="00F614F9">
        <w:rPr>
          <w:rFonts w:ascii="Times New Roman" w:eastAsia="宋体" w:hAnsi="Times New Roman" w:cs="宋体"/>
          <w:sz w:val="18"/>
          <w:szCs w:val="18"/>
        </w:rPr>
        <w:t>情况说明</w:t>
      </w:r>
    </w:p>
    <w:p w14:paraId="691C6F5A"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02E8CF61" w14:textId="77777777" w:rsidR="001D26E7" w:rsidRPr="00F614F9" w:rsidRDefault="00000000">
      <w:pPr>
        <w:pStyle w:val="3"/>
        <w:spacing w:line="280" w:lineRule="exact"/>
        <w:jc w:val="left"/>
        <w:rPr>
          <w:rFonts w:ascii="Times New Roman" w:hAnsi="Times New Roman" w:cs="宋体"/>
          <w:b/>
          <w:bCs/>
        </w:rPr>
      </w:pPr>
      <w:bookmarkStart w:id="41" w:name="_Toc988917"/>
      <w:r w:rsidRPr="00F614F9">
        <w:rPr>
          <w:rFonts w:ascii="Times New Roman" w:hAnsi="Times New Roman" w:cs="宋体"/>
          <w:b/>
          <w:bCs/>
        </w:rPr>
        <w:t>3</w:t>
      </w:r>
      <w:r w:rsidRPr="00F614F9">
        <w:rPr>
          <w:rFonts w:ascii="Times New Roman" w:hAnsi="Times New Roman" w:cs="宋体"/>
          <w:b/>
          <w:bCs/>
        </w:rPr>
        <w:t>、费用</w:t>
      </w:r>
      <w:bookmarkEnd w:id="41"/>
    </w:p>
    <w:p w14:paraId="38685D22"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1D26E7" w:rsidRPr="00F614F9" w14:paraId="1DA5CCB6" w14:textId="77777777" w:rsidTr="008B38D1">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6C9B13B" w14:textId="77777777" w:rsidR="001D26E7" w:rsidRPr="00F614F9" w:rsidRDefault="001D26E7">
            <w:pPr>
              <w:rPr>
                <w:rFonts w:ascii="Times New Roman" w:hAnsi="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2A0E0A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0D8283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F8A7D0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同比增减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EEB22D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重大变动说明</w:t>
            </w:r>
          </w:p>
        </w:tc>
      </w:tr>
      <w:tr w:rsidR="001D26E7" w:rsidRPr="00F614F9" w14:paraId="6DECED5F" w14:textId="77777777" w:rsidTr="008B38D1">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CAB13C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销售费用</w:t>
            </w:r>
          </w:p>
        </w:tc>
        <w:tc>
          <w:tcPr>
            <w:tcW w:w="1928" w:type="dxa"/>
            <w:tcBorders>
              <w:top w:val="single" w:sz="2" w:space="0" w:color="auto"/>
              <w:left w:val="single" w:sz="2" w:space="0" w:color="auto"/>
              <w:bottom w:val="single" w:sz="2" w:space="0" w:color="auto"/>
              <w:right w:val="single" w:sz="2" w:space="0" w:color="auto"/>
            </w:tcBorders>
            <w:vAlign w:val="center"/>
          </w:tcPr>
          <w:p w14:paraId="4A233CF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151,290,525.18</w:t>
            </w:r>
          </w:p>
        </w:tc>
        <w:tc>
          <w:tcPr>
            <w:tcW w:w="1928" w:type="dxa"/>
            <w:tcBorders>
              <w:top w:val="single" w:sz="2" w:space="0" w:color="auto"/>
              <w:left w:val="single" w:sz="2" w:space="0" w:color="auto"/>
              <w:bottom w:val="single" w:sz="2" w:space="0" w:color="auto"/>
              <w:right w:val="single" w:sz="2" w:space="0" w:color="auto"/>
            </w:tcBorders>
            <w:vAlign w:val="center"/>
          </w:tcPr>
          <w:p w14:paraId="44E7CBF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172,414,558.87</w:t>
            </w:r>
          </w:p>
        </w:tc>
        <w:tc>
          <w:tcPr>
            <w:tcW w:w="1928" w:type="dxa"/>
            <w:tcBorders>
              <w:top w:val="single" w:sz="2" w:space="0" w:color="auto"/>
              <w:left w:val="single" w:sz="2" w:space="0" w:color="auto"/>
              <w:bottom w:val="single" w:sz="2" w:space="0" w:color="auto"/>
              <w:right w:val="single" w:sz="2" w:space="0" w:color="auto"/>
            </w:tcBorders>
            <w:vAlign w:val="center"/>
          </w:tcPr>
          <w:p w14:paraId="0B89A27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-12.25%</w:t>
            </w:r>
          </w:p>
        </w:tc>
        <w:tc>
          <w:tcPr>
            <w:tcW w:w="1928" w:type="dxa"/>
            <w:tcBorders>
              <w:top w:val="single" w:sz="2" w:space="0" w:color="auto"/>
              <w:left w:val="single" w:sz="2" w:space="0" w:color="auto"/>
              <w:bottom w:val="single" w:sz="2" w:space="0" w:color="auto"/>
              <w:right w:val="single" w:sz="2" w:space="0" w:color="auto"/>
            </w:tcBorders>
            <w:vAlign w:val="center"/>
          </w:tcPr>
          <w:p w14:paraId="3A29BAB8"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32B88B07" w14:textId="77777777" w:rsidTr="008B38D1">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55B4F1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管理费用</w:t>
            </w:r>
          </w:p>
        </w:tc>
        <w:tc>
          <w:tcPr>
            <w:tcW w:w="1928" w:type="dxa"/>
            <w:tcBorders>
              <w:top w:val="single" w:sz="2" w:space="0" w:color="auto"/>
              <w:left w:val="single" w:sz="2" w:space="0" w:color="auto"/>
              <w:bottom w:val="single" w:sz="2" w:space="0" w:color="auto"/>
              <w:right w:val="single" w:sz="2" w:space="0" w:color="auto"/>
            </w:tcBorders>
            <w:vAlign w:val="center"/>
          </w:tcPr>
          <w:p w14:paraId="0AF72A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289,373,279.33</w:t>
            </w:r>
          </w:p>
        </w:tc>
        <w:tc>
          <w:tcPr>
            <w:tcW w:w="1928" w:type="dxa"/>
            <w:tcBorders>
              <w:top w:val="single" w:sz="2" w:space="0" w:color="auto"/>
              <w:left w:val="single" w:sz="2" w:space="0" w:color="auto"/>
              <w:bottom w:val="single" w:sz="2" w:space="0" w:color="auto"/>
              <w:right w:val="single" w:sz="2" w:space="0" w:color="auto"/>
            </w:tcBorders>
            <w:vAlign w:val="center"/>
          </w:tcPr>
          <w:p w14:paraId="472A6E0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266,503,688.37</w:t>
            </w:r>
          </w:p>
        </w:tc>
        <w:tc>
          <w:tcPr>
            <w:tcW w:w="1928" w:type="dxa"/>
            <w:tcBorders>
              <w:top w:val="single" w:sz="2" w:space="0" w:color="auto"/>
              <w:left w:val="single" w:sz="2" w:space="0" w:color="auto"/>
              <w:bottom w:val="single" w:sz="2" w:space="0" w:color="auto"/>
              <w:right w:val="single" w:sz="2" w:space="0" w:color="auto"/>
            </w:tcBorders>
            <w:vAlign w:val="center"/>
          </w:tcPr>
          <w:p w14:paraId="41CCB83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8.58%</w:t>
            </w:r>
          </w:p>
        </w:tc>
        <w:tc>
          <w:tcPr>
            <w:tcW w:w="1928" w:type="dxa"/>
            <w:tcBorders>
              <w:top w:val="single" w:sz="2" w:space="0" w:color="auto"/>
              <w:left w:val="single" w:sz="2" w:space="0" w:color="auto"/>
              <w:bottom w:val="single" w:sz="2" w:space="0" w:color="auto"/>
              <w:right w:val="single" w:sz="2" w:space="0" w:color="auto"/>
            </w:tcBorders>
            <w:vAlign w:val="center"/>
          </w:tcPr>
          <w:p w14:paraId="65C431D4"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0943112B" w14:textId="77777777" w:rsidTr="008B38D1">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CBA4C6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财务费用</w:t>
            </w:r>
          </w:p>
        </w:tc>
        <w:tc>
          <w:tcPr>
            <w:tcW w:w="1928" w:type="dxa"/>
            <w:tcBorders>
              <w:top w:val="single" w:sz="2" w:space="0" w:color="auto"/>
              <w:left w:val="single" w:sz="2" w:space="0" w:color="auto"/>
              <w:bottom w:val="single" w:sz="2" w:space="0" w:color="auto"/>
              <w:right w:val="single" w:sz="2" w:space="0" w:color="auto"/>
            </w:tcBorders>
            <w:vAlign w:val="center"/>
          </w:tcPr>
          <w:p w14:paraId="4212FD5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74,482,503.87</w:t>
            </w:r>
          </w:p>
        </w:tc>
        <w:tc>
          <w:tcPr>
            <w:tcW w:w="1928" w:type="dxa"/>
            <w:tcBorders>
              <w:top w:val="single" w:sz="2" w:space="0" w:color="auto"/>
              <w:left w:val="single" w:sz="2" w:space="0" w:color="auto"/>
              <w:bottom w:val="single" w:sz="2" w:space="0" w:color="auto"/>
              <w:right w:val="single" w:sz="2" w:space="0" w:color="auto"/>
            </w:tcBorders>
            <w:vAlign w:val="center"/>
          </w:tcPr>
          <w:p w14:paraId="6D8DC34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35,767,284.64</w:t>
            </w:r>
          </w:p>
        </w:tc>
        <w:tc>
          <w:tcPr>
            <w:tcW w:w="1928" w:type="dxa"/>
            <w:tcBorders>
              <w:top w:val="single" w:sz="2" w:space="0" w:color="auto"/>
              <w:left w:val="single" w:sz="2" w:space="0" w:color="auto"/>
              <w:bottom w:val="single" w:sz="2" w:space="0" w:color="auto"/>
              <w:right w:val="single" w:sz="2" w:space="0" w:color="auto"/>
            </w:tcBorders>
            <w:vAlign w:val="center"/>
          </w:tcPr>
          <w:p w14:paraId="728A52D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108.24%</w:t>
            </w:r>
          </w:p>
        </w:tc>
        <w:tc>
          <w:tcPr>
            <w:tcW w:w="1928" w:type="dxa"/>
            <w:tcBorders>
              <w:top w:val="single" w:sz="2" w:space="0" w:color="auto"/>
              <w:left w:val="single" w:sz="2" w:space="0" w:color="auto"/>
              <w:bottom w:val="single" w:sz="2" w:space="0" w:color="auto"/>
              <w:right w:val="single" w:sz="2" w:space="0" w:color="auto"/>
            </w:tcBorders>
            <w:vAlign w:val="center"/>
          </w:tcPr>
          <w:p w14:paraId="3F99C5B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本期利息收入减少</w:t>
            </w:r>
          </w:p>
        </w:tc>
      </w:tr>
      <w:tr w:rsidR="001D26E7" w:rsidRPr="00F614F9" w14:paraId="45C676B2" w14:textId="77777777" w:rsidTr="008B38D1">
        <w:trPr>
          <w:trHeight w:val="240"/>
          <w:jc w:val="center"/>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CF6529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研发费用</w:t>
            </w:r>
          </w:p>
        </w:tc>
        <w:tc>
          <w:tcPr>
            <w:tcW w:w="1928" w:type="dxa"/>
            <w:tcBorders>
              <w:top w:val="single" w:sz="2" w:space="0" w:color="auto"/>
              <w:left w:val="single" w:sz="2" w:space="0" w:color="auto"/>
              <w:bottom w:val="single" w:sz="2" w:space="0" w:color="auto"/>
              <w:right w:val="single" w:sz="2" w:space="0" w:color="auto"/>
            </w:tcBorders>
            <w:vAlign w:val="center"/>
          </w:tcPr>
          <w:p w14:paraId="40CC79D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9,617,710.52</w:t>
            </w:r>
          </w:p>
        </w:tc>
        <w:tc>
          <w:tcPr>
            <w:tcW w:w="1928" w:type="dxa"/>
            <w:tcBorders>
              <w:top w:val="single" w:sz="2" w:space="0" w:color="auto"/>
              <w:left w:val="single" w:sz="2" w:space="0" w:color="auto"/>
              <w:bottom w:val="single" w:sz="2" w:space="0" w:color="auto"/>
              <w:right w:val="single" w:sz="2" w:space="0" w:color="auto"/>
            </w:tcBorders>
            <w:vAlign w:val="center"/>
          </w:tcPr>
          <w:p w14:paraId="7F6B5C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8,002,970.35</w:t>
            </w:r>
          </w:p>
        </w:tc>
        <w:tc>
          <w:tcPr>
            <w:tcW w:w="1928" w:type="dxa"/>
            <w:tcBorders>
              <w:top w:val="single" w:sz="2" w:space="0" w:color="auto"/>
              <w:left w:val="single" w:sz="2" w:space="0" w:color="auto"/>
              <w:bottom w:val="single" w:sz="2" w:space="0" w:color="auto"/>
              <w:right w:val="single" w:sz="2" w:space="0" w:color="auto"/>
            </w:tcBorders>
            <w:vAlign w:val="center"/>
          </w:tcPr>
          <w:p w14:paraId="54D46F6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20.18%</w:t>
            </w:r>
          </w:p>
        </w:tc>
        <w:tc>
          <w:tcPr>
            <w:tcW w:w="1928" w:type="dxa"/>
            <w:tcBorders>
              <w:top w:val="single" w:sz="2" w:space="0" w:color="auto"/>
              <w:left w:val="single" w:sz="2" w:space="0" w:color="auto"/>
              <w:bottom w:val="single" w:sz="2" w:space="0" w:color="auto"/>
              <w:right w:val="single" w:sz="2" w:space="0" w:color="auto"/>
            </w:tcBorders>
            <w:vAlign w:val="center"/>
          </w:tcPr>
          <w:p w14:paraId="74C1B194" w14:textId="77777777" w:rsidR="001D26E7" w:rsidRPr="00F614F9" w:rsidRDefault="001D26E7">
            <w:pPr>
              <w:spacing w:line="240" w:lineRule="exact"/>
              <w:rPr>
                <w:rFonts w:ascii="Times New Roman" w:eastAsia="宋体" w:hAnsi="Times New Roman" w:cs="宋体"/>
                <w:sz w:val="18"/>
                <w:szCs w:val="18"/>
              </w:rPr>
            </w:pPr>
          </w:p>
        </w:tc>
      </w:tr>
    </w:tbl>
    <w:p w14:paraId="69C47549"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公司需遵守《深圳证券交易所上市公司自律监管指引第</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号</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行业信息披露》中食品及酒制造相关业的披露要求</w:t>
      </w:r>
    </w:p>
    <w:p w14:paraId="30D45D91" w14:textId="77777777" w:rsidR="00872599" w:rsidRPr="00F614F9" w:rsidRDefault="00000000">
      <w:pPr>
        <w:pStyle w:val="a3"/>
        <w:divId w:val="776295720"/>
        <w:rPr>
          <w:rFonts w:ascii="Times New Roman" w:hAnsi="Times New Roman"/>
          <w:sz w:val="18"/>
          <w:szCs w:val="18"/>
        </w:rPr>
      </w:pPr>
      <w:r w:rsidRPr="00F614F9">
        <w:rPr>
          <w:rFonts w:ascii="Times New Roman" w:hAnsi="Times New Roman" w:hint="eastAsia"/>
          <w:sz w:val="18"/>
          <w:szCs w:val="18"/>
        </w:rPr>
        <w:t>（</w:t>
      </w:r>
      <w:r w:rsidRPr="00F614F9">
        <w:rPr>
          <w:rFonts w:ascii="Times New Roman" w:hAnsi="Times New Roman" w:hint="eastAsia"/>
          <w:sz w:val="18"/>
          <w:szCs w:val="18"/>
        </w:rPr>
        <w:t>1</w:t>
      </w:r>
      <w:r w:rsidRPr="00F614F9">
        <w:rPr>
          <w:rFonts w:ascii="Times New Roman" w:hAnsi="Times New Roman" w:hint="eastAsia"/>
          <w:sz w:val="18"/>
          <w:szCs w:val="18"/>
        </w:rPr>
        <w:t>）报告期内销售费用明细如下：</w:t>
      </w:r>
    </w:p>
    <w:tbl>
      <w:tblPr>
        <w:tblW w:w="9472" w:type="dxa"/>
        <w:jc w:val="center"/>
        <w:tblCellMar>
          <w:left w:w="0" w:type="dxa"/>
          <w:right w:w="0" w:type="dxa"/>
        </w:tblCellMar>
        <w:tblLook w:val="04A0" w:firstRow="1" w:lastRow="0" w:firstColumn="1" w:lastColumn="0" w:noHBand="0" w:noVBand="1"/>
      </w:tblPr>
      <w:tblGrid>
        <w:gridCol w:w="1182"/>
        <w:gridCol w:w="1559"/>
        <w:gridCol w:w="992"/>
        <w:gridCol w:w="1558"/>
        <w:gridCol w:w="1230"/>
        <w:gridCol w:w="1701"/>
        <w:gridCol w:w="1250"/>
      </w:tblGrid>
      <w:tr w:rsidR="00872599" w:rsidRPr="00F614F9" w14:paraId="2894540C" w14:textId="77777777" w:rsidTr="008B38D1">
        <w:trPr>
          <w:divId w:val="776295720"/>
          <w:trHeight w:val="472"/>
          <w:jc w:val="center"/>
        </w:trPr>
        <w:tc>
          <w:tcPr>
            <w:tcW w:w="1182"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14:paraId="5E165AAB" w14:textId="77777777" w:rsidR="00872599" w:rsidRPr="00F614F9" w:rsidRDefault="00000000" w:rsidP="008B38D1">
            <w:pPr>
              <w:pStyle w:val="a3"/>
              <w:spacing w:before="0" w:beforeAutospacing="0" w:after="0" w:afterAutospacing="0"/>
              <w:jc w:val="center"/>
              <w:rPr>
                <w:rFonts w:ascii="Times New Roman" w:hAnsi="Times New Roman" w:cs="Times New Roman"/>
              </w:rPr>
            </w:pPr>
            <w:r w:rsidRPr="00F614F9">
              <w:rPr>
                <w:rFonts w:ascii="Times New Roman" w:hAnsi="Times New Roman" w:cs="Times New Roman" w:hint="eastAsia"/>
                <w:color w:val="000000"/>
                <w:sz w:val="18"/>
                <w:szCs w:val="18"/>
              </w:rPr>
              <w:lastRenderedPageBreak/>
              <w:t>项目</w:t>
            </w:r>
          </w:p>
        </w:tc>
        <w:tc>
          <w:tcPr>
            <w:tcW w:w="1559"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14:paraId="1AA1278B" w14:textId="77777777" w:rsidR="00872599" w:rsidRPr="00F614F9" w:rsidRDefault="00000000" w:rsidP="008B38D1">
            <w:pPr>
              <w:pStyle w:val="a3"/>
              <w:spacing w:before="0" w:beforeAutospacing="0" w:after="0" w:afterAutospacing="0"/>
              <w:jc w:val="center"/>
              <w:rPr>
                <w:rFonts w:ascii="Times New Roman" w:hAnsi="Times New Roman" w:cs="Times New Roman"/>
              </w:rPr>
            </w:pPr>
            <w:r w:rsidRPr="00F614F9">
              <w:rPr>
                <w:rFonts w:ascii="Times New Roman" w:hAnsi="Times New Roman" w:cs="Times New Roman" w:hint="eastAsia"/>
                <w:color w:val="000000"/>
                <w:sz w:val="18"/>
                <w:szCs w:val="18"/>
              </w:rPr>
              <w:t>本期发生额</w:t>
            </w:r>
          </w:p>
        </w:tc>
        <w:tc>
          <w:tcPr>
            <w:tcW w:w="992"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14:paraId="3376B5AC" w14:textId="77777777" w:rsidR="00872599" w:rsidRPr="00F614F9" w:rsidRDefault="00000000" w:rsidP="008B38D1">
            <w:pPr>
              <w:pStyle w:val="a3"/>
              <w:spacing w:before="0" w:beforeAutospacing="0" w:after="0" w:afterAutospacing="0"/>
              <w:jc w:val="center"/>
              <w:rPr>
                <w:rFonts w:ascii="Times New Roman" w:hAnsi="Times New Roman" w:cs="Times New Roman"/>
              </w:rPr>
            </w:pPr>
            <w:r w:rsidRPr="00F614F9">
              <w:rPr>
                <w:rFonts w:ascii="Times New Roman" w:hAnsi="Times New Roman" w:cs="Times New Roman" w:hint="eastAsia"/>
                <w:color w:val="000000"/>
                <w:sz w:val="18"/>
                <w:szCs w:val="18"/>
              </w:rPr>
              <w:t>占比</w:t>
            </w:r>
          </w:p>
        </w:tc>
        <w:tc>
          <w:tcPr>
            <w:tcW w:w="1558"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14:paraId="6C244779" w14:textId="77777777" w:rsidR="00872599" w:rsidRPr="00F614F9" w:rsidRDefault="00000000" w:rsidP="008B38D1">
            <w:pPr>
              <w:pStyle w:val="a3"/>
              <w:spacing w:before="0" w:beforeAutospacing="0" w:after="0" w:afterAutospacing="0"/>
              <w:jc w:val="center"/>
              <w:rPr>
                <w:rFonts w:ascii="Times New Roman" w:hAnsi="Times New Roman" w:cs="Times New Roman"/>
              </w:rPr>
            </w:pPr>
            <w:r w:rsidRPr="00F614F9">
              <w:rPr>
                <w:rFonts w:ascii="Times New Roman" w:hAnsi="Times New Roman" w:cs="Times New Roman" w:hint="eastAsia"/>
                <w:color w:val="000000"/>
                <w:sz w:val="18"/>
                <w:szCs w:val="18"/>
              </w:rPr>
              <w:t>上期发生额</w:t>
            </w:r>
          </w:p>
        </w:tc>
        <w:tc>
          <w:tcPr>
            <w:tcW w:w="1230"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14:paraId="46D6CB71" w14:textId="77777777" w:rsidR="00872599" w:rsidRPr="00F614F9" w:rsidRDefault="00000000" w:rsidP="008B38D1">
            <w:pPr>
              <w:pStyle w:val="a3"/>
              <w:spacing w:before="0" w:beforeAutospacing="0" w:after="0" w:afterAutospacing="0"/>
              <w:jc w:val="center"/>
              <w:rPr>
                <w:rFonts w:ascii="Times New Roman" w:hAnsi="Times New Roman" w:cs="Times New Roman"/>
              </w:rPr>
            </w:pPr>
            <w:r w:rsidRPr="00F614F9">
              <w:rPr>
                <w:rFonts w:ascii="Times New Roman" w:hAnsi="Times New Roman" w:cs="Times New Roman" w:hint="eastAsia"/>
                <w:color w:val="000000"/>
                <w:sz w:val="18"/>
                <w:szCs w:val="18"/>
              </w:rPr>
              <w:t>占比</w:t>
            </w:r>
          </w:p>
        </w:tc>
        <w:tc>
          <w:tcPr>
            <w:tcW w:w="1701"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14:paraId="394789D7" w14:textId="77777777" w:rsidR="00872599" w:rsidRPr="00F614F9" w:rsidRDefault="00000000" w:rsidP="008B38D1">
            <w:pPr>
              <w:pStyle w:val="a3"/>
              <w:spacing w:before="0" w:beforeAutospacing="0" w:after="0" w:afterAutospacing="0"/>
              <w:jc w:val="center"/>
              <w:rPr>
                <w:rFonts w:ascii="Times New Roman" w:hAnsi="Times New Roman" w:cs="Times New Roman"/>
              </w:rPr>
            </w:pPr>
            <w:r w:rsidRPr="00F614F9">
              <w:rPr>
                <w:rFonts w:ascii="Times New Roman" w:hAnsi="Times New Roman" w:cs="Times New Roman" w:hint="eastAsia"/>
                <w:color w:val="000000"/>
                <w:sz w:val="18"/>
                <w:szCs w:val="18"/>
              </w:rPr>
              <w:t>较上年同期增长</w:t>
            </w:r>
          </w:p>
        </w:tc>
        <w:tc>
          <w:tcPr>
            <w:tcW w:w="1250"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14:paraId="087FC424" w14:textId="77777777" w:rsidR="00872599" w:rsidRPr="00F614F9" w:rsidRDefault="00000000" w:rsidP="008B38D1">
            <w:pPr>
              <w:pStyle w:val="a3"/>
              <w:spacing w:before="0" w:beforeAutospacing="0" w:after="0" w:afterAutospacing="0"/>
              <w:jc w:val="center"/>
              <w:rPr>
                <w:rFonts w:ascii="Times New Roman" w:hAnsi="Times New Roman" w:cs="Times New Roman"/>
              </w:rPr>
            </w:pPr>
            <w:r w:rsidRPr="00F614F9">
              <w:rPr>
                <w:rFonts w:ascii="Times New Roman" w:hAnsi="Times New Roman" w:cs="Times New Roman" w:hint="eastAsia"/>
                <w:color w:val="000000"/>
                <w:sz w:val="18"/>
                <w:szCs w:val="18"/>
              </w:rPr>
              <w:t>变动原因</w:t>
            </w:r>
          </w:p>
        </w:tc>
      </w:tr>
      <w:tr w:rsidR="00872599" w:rsidRPr="00F614F9" w14:paraId="678E7D82" w14:textId="77777777" w:rsidTr="008B38D1">
        <w:trPr>
          <w:divId w:val="776295720"/>
          <w:trHeight w:val="292"/>
          <w:jc w:val="center"/>
        </w:trPr>
        <w:tc>
          <w:tcPr>
            <w:tcW w:w="11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92853" w14:textId="77777777" w:rsidR="00872599" w:rsidRPr="00F614F9" w:rsidRDefault="00000000" w:rsidP="008B38D1">
            <w:pPr>
              <w:pStyle w:val="a3"/>
              <w:spacing w:before="0" w:beforeAutospacing="0" w:after="0" w:afterAutospacing="0"/>
              <w:jc w:val="center"/>
              <w:rPr>
                <w:rFonts w:ascii="Times New Roman" w:hAnsi="Times New Roman" w:cs="Times New Roman"/>
              </w:rPr>
            </w:pPr>
            <w:r w:rsidRPr="00F614F9">
              <w:rPr>
                <w:rFonts w:ascii="Times New Roman" w:hAnsi="Times New Roman" w:cs="Times New Roman" w:hint="eastAsia"/>
                <w:color w:val="000000"/>
                <w:sz w:val="18"/>
                <w:szCs w:val="18"/>
              </w:rPr>
              <w:t>工资</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3CDB6F"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79,173,533.02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AFEA7"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52.33%</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C81187"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80,419,765.14</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553F1C"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46.64%</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62F190"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-1.55%</w:t>
            </w:r>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8D9D35D" w14:textId="77777777" w:rsidR="00872599" w:rsidRPr="00F614F9" w:rsidRDefault="00872599" w:rsidP="008B38D1">
            <w:pPr>
              <w:pStyle w:val="a3"/>
              <w:spacing w:before="0" w:beforeAutospacing="0" w:after="0" w:afterAutospacing="0"/>
              <w:jc w:val="center"/>
              <w:rPr>
                <w:rFonts w:ascii="Times New Roman" w:hAnsi="Times New Roman" w:cs="Times New Roman"/>
              </w:rPr>
            </w:pPr>
          </w:p>
        </w:tc>
      </w:tr>
      <w:tr w:rsidR="00872599" w:rsidRPr="00F614F9" w14:paraId="23B0FE47" w14:textId="77777777" w:rsidTr="008B38D1">
        <w:trPr>
          <w:divId w:val="776295720"/>
          <w:trHeight w:val="292"/>
          <w:jc w:val="center"/>
        </w:trPr>
        <w:tc>
          <w:tcPr>
            <w:tcW w:w="11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1E58D" w14:textId="77777777" w:rsidR="00872599" w:rsidRPr="00F614F9" w:rsidRDefault="00000000" w:rsidP="008B38D1">
            <w:pPr>
              <w:pStyle w:val="a3"/>
              <w:spacing w:before="0" w:beforeAutospacing="0" w:after="0" w:afterAutospacing="0"/>
              <w:jc w:val="center"/>
              <w:rPr>
                <w:rFonts w:ascii="Times New Roman" w:hAnsi="Times New Roman" w:cs="Times New Roman"/>
              </w:rPr>
            </w:pPr>
            <w:r w:rsidRPr="00F614F9">
              <w:rPr>
                <w:rFonts w:ascii="Times New Roman" w:hAnsi="Times New Roman" w:cs="Times New Roman" w:hint="eastAsia"/>
                <w:color w:val="000000"/>
                <w:sz w:val="18"/>
                <w:szCs w:val="18"/>
              </w:rPr>
              <w:t>广告费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803FB2"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266,148.53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18519A"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0.18%</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F54CA"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243,713.65</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64AD0A"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0.14%</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4F2270"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9.21%</w:t>
            </w:r>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E8F94E" w14:textId="77777777" w:rsidR="00872599" w:rsidRPr="00F614F9" w:rsidRDefault="00872599" w:rsidP="008B38D1">
            <w:pPr>
              <w:pStyle w:val="a3"/>
              <w:spacing w:before="0" w:beforeAutospacing="0" w:after="0" w:afterAutospacing="0"/>
              <w:jc w:val="center"/>
              <w:rPr>
                <w:rFonts w:ascii="Times New Roman" w:hAnsi="Times New Roman" w:cs="Times New Roman"/>
              </w:rPr>
            </w:pPr>
          </w:p>
        </w:tc>
      </w:tr>
      <w:tr w:rsidR="00872599" w:rsidRPr="00F614F9" w14:paraId="3CF37227" w14:textId="77777777" w:rsidTr="008B38D1">
        <w:trPr>
          <w:divId w:val="776295720"/>
          <w:trHeight w:val="292"/>
          <w:jc w:val="center"/>
        </w:trPr>
        <w:tc>
          <w:tcPr>
            <w:tcW w:w="11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17B492" w14:textId="77777777" w:rsidR="00872599" w:rsidRPr="00F614F9" w:rsidRDefault="00000000" w:rsidP="008B38D1">
            <w:pPr>
              <w:pStyle w:val="a3"/>
              <w:spacing w:before="0" w:beforeAutospacing="0" w:after="0" w:afterAutospacing="0"/>
              <w:jc w:val="center"/>
              <w:rPr>
                <w:rFonts w:ascii="Times New Roman" w:hAnsi="Times New Roman" w:cs="Times New Roman"/>
              </w:rPr>
            </w:pPr>
            <w:r w:rsidRPr="00F614F9">
              <w:rPr>
                <w:rFonts w:ascii="Times New Roman" w:hAnsi="Times New Roman" w:cs="Times New Roman" w:hint="eastAsia"/>
                <w:color w:val="000000"/>
                <w:sz w:val="18"/>
                <w:szCs w:val="18"/>
              </w:rPr>
              <w:t>差旅费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72985"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3,376,199.21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809D0C"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2.23%</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5A502"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3,885,057.39</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81AC9"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2.25%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881CA"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-13.10%</w:t>
            </w:r>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CF7E406" w14:textId="77777777" w:rsidR="00872599" w:rsidRPr="00F614F9" w:rsidRDefault="00872599" w:rsidP="008B38D1">
            <w:pPr>
              <w:pStyle w:val="a3"/>
              <w:spacing w:before="0" w:beforeAutospacing="0" w:after="0" w:afterAutospacing="0"/>
              <w:jc w:val="center"/>
              <w:rPr>
                <w:rFonts w:ascii="Times New Roman" w:hAnsi="Times New Roman" w:cs="Times New Roman"/>
              </w:rPr>
            </w:pPr>
          </w:p>
        </w:tc>
      </w:tr>
      <w:tr w:rsidR="00872599" w:rsidRPr="00F614F9" w14:paraId="54D656F3" w14:textId="77777777" w:rsidTr="008B38D1">
        <w:trPr>
          <w:divId w:val="776295720"/>
          <w:trHeight w:val="292"/>
          <w:jc w:val="center"/>
        </w:trPr>
        <w:tc>
          <w:tcPr>
            <w:tcW w:w="11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6F0FF1" w14:textId="77777777" w:rsidR="00872599" w:rsidRPr="00F614F9" w:rsidRDefault="00000000" w:rsidP="008B38D1">
            <w:pPr>
              <w:pStyle w:val="a3"/>
              <w:spacing w:before="0" w:beforeAutospacing="0" w:after="0" w:afterAutospacing="0"/>
              <w:jc w:val="center"/>
              <w:rPr>
                <w:rFonts w:ascii="Times New Roman" w:hAnsi="Times New Roman" w:cs="Times New Roman"/>
              </w:rPr>
            </w:pPr>
            <w:r w:rsidRPr="00F614F9">
              <w:rPr>
                <w:rFonts w:ascii="Times New Roman" w:hAnsi="Times New Roman" w:cs="Times New Roman" w:hint="eastAsia"/>
                <w:color w:val="000000"/>
                <w:sz w:val="18"/>
                <w:szCs w:val="18"/>
              </w:rPr>
              <w:t>折旧费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C37F38"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748,634.58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46C0C"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0.50%</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1E6FF"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1,288,441.16</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6787EC"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0.75%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D646EC"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-41.90%</w:t>
            </w:r>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C6B8B93" w14:textId="77777777" w:rsidR="00872599" w:rsidRPr="00F614F9" w:rsidRDefault="00872599" w:rsidP="008B38D1">
            <w:pPr>
              <w:pStyle w:val="a3"/>
              <w:spacing w:before="0" w:beforeAutospacing="0" w:after="0" w:afterAutospacing="0"/>
              <w:jc w:val="center"/>
              <w:rPr>
                <w:rFonts w:ascii="Times New Roman" w:hAnsi="Times New Roman" w:cs="Times New Roman"/>
              </w:rPr>
            </w:pPr>
          </w:p>
        </w:tc>
      </w:tr>
      <w:tr w:rsidR="00872599" w:rsidRPr="00F614F9" w14:paraId="54A32C6E" w14:textId="77777777" w:rsidTr="008B38D1">
        <w:trPr>
          <w:divId w:val="776295720"/>
          <w:trHeight w:val="292"/>
          <w:jc w:val="center"/>
        </w:trPr>
        <w:tc>
          <w:tcPr>
            <w:tcW w:w="11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D28C3B" w14:textId="77777777" w:rsidR="00872599" w:rsidRPr="00F614F9" w:rsidRDefault="00000000" w:rsidP="008B38D1">
            <w:pPr>
              <w:pStyle w:val="a3"/>
              <w:spacing w:before="0" w:beforeAutospacing="0" w:after="0" w:afterAutospacing="0"/>
              <w:jc w:val="center"/>
              <w:rPr>
                <w:rFonts w:ascii="Times New Roman" w:hAnsi="Times New Roman" w:cs="Times New Roman"/>
              </w:rPr>
            </w:pPr>
            <w:r w:rsidRPr="00F614F9">
              <w:rPr>
                <w:rFonts w:ascii="Times New Roman" w:hAnsi="Times New Roman" w:cs="Times New Roman" w:hint="eastAsia"/>
                <w:color w:val="000000"/>
                <w:sz w:val="18"/>
                <w:szCs w:val="18"/>
              </w:rPr>
              <w:t>租赁费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5A991C"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2,574,277.54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0B3AC"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1.70%</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9818F"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3,370,327.30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C2E01"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1.95%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DBB25"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-23.62%</w:t>
            </w:r>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A1721B" w14:textId="77777777" w:rsidR="00872599" w:rsidRPr="00F614F9" w:rsidRDefault="00872599" w:rsidP="008B38D1">
            <w:pPr>
              <w:pStyle w:val="a3"/>
              <w:spacing w:before="0" w:beforeAutospacing="0" w:after="0" w:afterAutospacing="0"/>
              <w:jc w:val="center"/>
              <w:rPr>
                <w:rFonts w:ascii="Times New Roman" w:hAnsi="Times New Roman" w:cs="Times New Roman"/>
              </w:rPr>
            </w:pPr>
          </w:p>
        </w:tc>
      </w:tr>
      <w:tr w:rsidR="00872599" w:rsidRPr="00F614F9" w14:paraId="0768570D" w14:textId="77777777" w:rsidTr="008B38D1">
        <w:trPr>
          <w:divId w:val="776295720"/>
          <w:trHeight w:val="292"/>
          <w:jc w:val="center"/>
        </w:trPr>
        <w:tc>
          <w:tcPr>
            <w:tcW w:w="11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EC61C3" w14:textId="77777777" w:rsidR="00872599" w:rsidRPr="00F614F9" w:rsidRDefault="00000000" w:rsidP="008B38D1">
            <w:pPr>
              <w:pStyle w:val="a3"/>
              <w:spacing w:before="0" w:beforeAutospacing="0" w:after="0" w:afterAutospacing="0"/>
              <w:jc w:val="center"/>
              <w:rPr>
                <w:rFonts w:ascii="Times New Roman" w:hAnsi="Times New Roman" w:cs="Times New Roman"/>
              </w:rPr>
            </w:pPr>
            <w:r w:rsidRPr="00F614F9">
              <w:rPr>
                <w:rFonts w:ascii="Times New Roman" w:hAnsi="Times New Roman" w:cs="Times New Roman" w:hint="eastAsia"/>
                <w:color w:val="000000"/>
                <w:sz w:val="18"/>
                <w:szCs w:val="18"/>
              </w:rPr>
              <w:t>仓储费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6F3B9A"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16,587,132.73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E3A8A"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10.9</w:t>
            </w:r>
            <w:r w:rsidR="00EC352F">
              <w:rPr>
                <w:rFonts w:ascii="Times New Roman" w:hAnsi="Times New Roman" w:cs="Times New Roman" w:hint="eastAsia"/>
                <w:color w:val="000000"/>
                <w:sz w:val="18"/>
                <w:szCs w:val="18"/>
              </w:rPr>
              <w:t>7</w:t>
            </w:r>
            <w:r w:rsidRPr="00F614F9">
              <w:rPr>
                <w:rFonts w:ascii="Times New Roman" w:hAnsi="Times New Roman" w:cs="Times New Roman" w:hint="eastAsia"/>
                <w:color w:val="000000"/>
                <w:sz w:val="18"/>
                <w:szCs w:val="18"/>
              </w:rPr>
              <w:t>%</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28B7CC"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27,606,613.37</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1FC3BC"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16.01%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A4C6BB"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-39.92%</w:t>
            </w:r>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68E00E" w14:textId="77777777" w:rsidR="00872599" w:rsidRPr="00F614F9" w:rsidRDefault="00872599" w:rsidP="008B38D1">
            <w:pPr>
              <w:pStyle w:val="a3"/>
              <w:spacing w:before="0" w:beforeAutospacing="0" w:after="0" w:afterAutospacing="0"/>
              <w:jc w:val="center"/>
              <w:rPr>
                <w:rFonts w:ascii="Times New Roman" w:hAnsi="Times New Roman" w:cs="Times New Roman"/>
              </w:rPr>
            </w:pPr>
          </w:p>
        </w:tc>
      </w:tr>
      <w:tr w:rsidR="00872599" w:rsidRPr="00F614F9" w14:paraId="5FF9425B" w14:textId="77777777" w:rsidTr="008B38D1">
        <w:trPr>
          <w:divId w:val="776295720"/>
          <w:trHeight w:val="292"/>
          <w:jc w:val="center"/>
        </w:trPr>
        <w:tc>
          <w:tcPr>
            <w:tcW w:w="11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E038A8" w14:textId="77777777" w:rsidR="00872599" w:rsidRPr="00F614F9" w:rsidRDefault="00000000" w:rsidP="008B38D1">
            <w:pPr>
              <w:pStyle w:val="a3"/>
              <w:spacing w:before="0" w:beforeAutospacing="0" w:after="0" w:afterAutospacing="0"/>
              <w:jc w:val="center"/>
              <w:rPr>
                <w:rFonts w:ascii="Times New Roman" w:hAnsi="Times New Roman" w:cs="Times New Roman"/>
              </w:rPr>
            </w:pPr>
            <w:r w:rsidRPr="00F614F9">
              <w:rPr>
                <w:rFonts w:ascii="Times New Roman" w:hAnsi="Times New Roman" w:cs="Times New Roman" w:hint="eastAsia"/>
                <w:color w:val="000000"/>
                <w:sz w:val="18"/>
                <w:szCs w:val="18"/>
              </w:rPr>
              <w:t>服务费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A61F1"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26,915,626.75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BC3D62"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17.79%</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8BA27C"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28,566,913.81</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52644"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16.57%</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F9F9E4"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-5.78%</w:t>
            </w:r>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2F4449E" w14:textId="77777777" w:rsidR="00872599" w:rsidRPr="00F614F9" w:rsidRDefault="00872599" w:rsidP="008B38D1">
            <w:pPr>
              <w:pStyle w:val="a3"/>
              <w:spacing w:before="0" w:beforeAutospacing="0" w:after="0" w:afterAutospacing="0"/>
              <w:jc w:val="center"/>
              <w:rPr>
                <w:rFonts w:ascii="Times New Roman" w:hAnsi="Times New Roman" w:cs="Times New Roman"/>
              </w:rPr>
            </w:pPr>
          </w:p>
        </w:tc>
      </w:tr>
      <w:tr w:rsidR="00872599" w:rsidRPr="00F614F9" w14:paraId="6E9B8762" w14:textId="77777777" w:rsidTr="008B38D1">
        <w:trPr>
          <w:divId w:val="776295720"/>
          <w:trHeight w:val="292"/>
          <w:jc w:val="center"/>
        </w:trPr>
        <w:tc>
          <w:tcPr>
            <w:tcW w:w="11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73788B" w14:textId="77777777" w:rsidR="00872599" w:rsidRPr="00F614F9" w:rsidRDefault="00000000" w:rsidP="008B38D1">
            <w:pPr>
              <w:pStyle w:val="a3"/>
              <w:spacing w:before="0" w:beforeAutospacing="0" w:after="0" w:afterAutospacing="0"/>
              <w:jc w:val="center"/>
              <w:rPr>
                <w:rFonts w:ascii="Times New Roman" w:hAnsi="Times New Roman" w:cs="Times New Roman"/>
              </w:rPr>
            </w:pPr>
            <w:r w:rsidRPr="00F614F9">
              <w:rPr>
                <w:rFonts w:ascii="Times New Roman" w:hAnsi="Times New Roman" w:cs="Times New Roman" w:hint="eastAsia"/>
                <w:color w:val="000000"/>
                <w:sz w:val="18"/>
                <w:szCs w:val="18"/>
              </w:rPr>
              <w:t>装卸费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46463"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1,817,992.76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BCF0E"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1.20%</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73228D"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2,184,074.05</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01780D"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1.27%</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677C3E"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-16.76%</w:t>
            </w:r>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16111E" w14:textId="77777777" w:rsidR="00872599" w:rsidRPr="00F614F9" w:rsidRDefault="00872599" w:rsidP="008B38D1">
            <w:pPr>
              <w:pStyle w:val="a3"/>
              <w:spacing w:before="0" w:beforeAutospacing="0" w:after="0" w:afterAutospacing="0"/>
              <w:jc w:val="center"/>
              <w:rPr>
                <w:rFonts w:ascii="Times New Roman" w:hAnsi="Times New Roman" w:cs="Times New Roman"/>
              </w:rPr>
            </w:pPr>
          </w:p>
        </w:tc>
      </w:tr>
      <w:tr w:rsidR="00872599" w:rsidRPr="00F614F9" w14:paraId="3DA3C694" w14:textId="77777777" w:rsidTr="008B38D1">
        <w:trPr>
          <w:divId w:val="776295720"/>
          <w:trHeight w:val="292"/>
          <w:jc w:val="center"/>
        </w:trPr>
        <w:tc>
          <w:tcPr>
            <w:tcW w:w="11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A5B27C" w14:textId="77777777" w:rsidR="00872599" w:rsidRPr="00F614F9" w:rsidRDefault="00000000" w:rsidP="008B38D1">
            <w:pPr>
              <w:pStyle w:val="a3"/>
              <w:spacing w:before="0" w:beforeAutospacing="0" w:after="0" w:afterAutospacing="0"/>
              <w:jc w:val="center"/>
              <w:rPr>
                <w:rFonts w:ascii="Times New Roman" w:hAnsi="Times New Roman" w:cs="Times New Roman"/>
              </w:rPr>
            </w:pPr>
            <w:r w:rsidRPr="00F614F9">
              <w:rPr>
                <w:rFonts w:ascii="Times New Roman" w:hAnsi="Times New Roman" w:cs="Times New Roman" w:hint="eastAsia"/>
                <w:color w:val="000000"/>
                <w:sz w:val="18"/>
                <w:szCs w:val="18"/>
              </w:rPr>
              <w:t>修理费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D30DC"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43,540.89</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0864C0"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0.03%</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0E0B44"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250,024.65</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D310AA"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0.15%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2FEE1"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-82.59%</w:t>
            </w:r>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868F5A1" w14:textId="77777777" w:rsidR="00872599" w:rsidRPr="00F614F9" w:rsidRDefault="00872599" w:rsidP="008B38D1">
            <w:pPr>
              <w:pStyle w:val="a3"/>
              <w:spacing w:before="0" w:beforeAutospacing="0" w:after="0" w:afterAutospacing="0"/>
              <w:jc w:val="center"/>
              <w:rPr>
                <w:rFonts w:ascii="Times New Roman" w:hAnsi="Times New Roman" w:cs="Times New Roman"/>
              </w:rPr>
            </w:pPr>
          </w:p>
        </w:tc>
      </w:tr>
      <w:tr w:rsidR="00872599" w:rsidRPr="00F614F9" w14:paraId="1AF6C295" w14:textId="77777777" w:rsidTr="008B38D1">
        <w:trPr>
          <w:divId w:val="776295720"/>
          <w:trHeight w:val="292"/>
          <w:jc w:val="center"/>
        </w:trPr>
        <w:tc>
          <w:tcPr>
            <w:tcW w:w="11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05F23B" w14:textId="77777777" w:rsidR="00872599" w:rsidRPr="00F614F9" w:rsidRDefault="00000000" w:rsidP="008B38D1">
            <w:pPr>
              <w:pStyle w:val="a3"/>
              <w:spacing w:before="0" w:beforeAutospacing="0" w:after="0" w:afterAutospacing="0"/>
              <w:jc w:val="center"/>
              <w:rPr>
                <w:rFonts w:ascii="Times New Roman" w:hAnsi="Times New Roman" w:cs="Times New Roman"/>
              </w:rPr>
            </w:pPr>
            <w:r w:rsidRPr="00F614F9">
              <w:rPr>
                <w:rFonts w:ascii="Times New Roman" w:hAnsi="Times New Roman" w:cs="Times New Roman" w:hint="eastAsia"/>
                <w:color w:val="000000"/>
                <w:sz w:val="18"/>
                <w:szCs w:val="18"/>
              </w:rPr>
              <w:t>其他</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2AB2CD"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19,787,439.17</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1A357F"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13.08%</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30681"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24,599,628.35</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9D53A2"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14.27%</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9E66B5"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-19.56%</w:t>
            </w:r>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5D72D6F" w14:textId="77777777" w:rsidR="00872599" w:rsidRPr="00F614F9" w:rsidRDefault="00872599" w:rsidP="008B38D1">
            <w:pPr>
              <w:pStyle w:val="a3"/>
              <w:spacing w:before="0" w:beforeAutospacing="0" w:after="0" w:afterAutospacing="0"/>
              <w:jc w:val="center"/>
              <w:rPr>
                <w:rFonts w:ascii="Times New Roman" w:hAnsi="Times New Roman" w:cs="Times New Roman"/>
              </w:rPr>
            </w:pPr>
          </w:p>
        </w:tc>
      </w:tr>
      <w:tr w:rsidR="00872599" w:rsidRPr="00F614F9" w14:paraId="3EBDBCFB" w14:textId="77777777" w:rsidTr="008B38D1">
        <w:trPr>
          <w:divId w:val="776295720"/>
          <w:trHeight w:val="292"/>
          <w:jc w:val="center"/>
        </w:trPr>
        <w:tc>
          <w:tcPr>
            <w:tcW w:w="1182" w:type="dxa"/>
            <w:tcBorders>
              <w:top w:val="nil"/>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14:paraId="07939E02" w14:textId="77777777" w:rsidR="00872599" w:rsidRPr="00F614F9" w:rsidRDefault="00000000" w:rsidP="008B38D1">
            <w:pPr>
              <w:pStyle w:val="a3"/>
              <w:spacing w:before="0" w:beforeAutospacing="0" w:after="0" w:afterAutospacing="0"/>
              <w:jc w:val="center"/>
              <w:rPr>
                <w:rFonts w:ascii="Times New Roman" w:hAnsi="Times New Roman" w:cs="Times New Roman"/>
              </w:rPr>
            </w:pPr>
            <w:r w:rsidRPr="00F614F9">
              <w:rPr>
                <w:rFonts w:ascii="Times New Roman" w:hAnsi="Times New Roman" w:cs="Times New Roman" w:hint="eastAsia"/>
                <w:color w:val="000000"/>
                <w:sz w:val="18"/>
                <w:szCs w:val="18"/>
              </w:rPr>
              <w:t>合计</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2157F7"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151,290,525.18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388323"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100.00%</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B987A"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172,414,558.87</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E55418"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D7D30A" w14:textId="77777777" w:rsidR="00872599" w:rsidRPr="00F614F9" w:rsidRDefault="00000000" w:rsidP="008B38D1">
            <w:pPr>
              <w:pStyle w:val="a3"/>
              <w:spacing w:before="0" w:beforeAutospacing="0" w:after="0" w:afterAutospacing="0"/>
              <w:jc w:val="right"/>
              <w:rPr>
                <w:rFonts w:ascii="Times New Roman" w:hAnsi="Times New Roman" w:cs="Times New Roman"/>
              </w:rPr>
            </w:pPr>
            <w:r w:rsidRPr="00F614F9">
              <w:rPr>
                <w:rFonts w:ascii="Times New Roman" w:hAnsi="Times New Roman" w:cs="Times New Roman" w:hint="eastAsia"/>
                <w:color w:val="000000"/>
                <w:sz w:val="18"/>
                <w:szCs w:val="18"/>
              </w:rPr>
              <w:t>-12.25%</w:t>
            </w:r>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3C81AEC" w14:textId="77777777" w:rsidR="00872599" w:rsidRPr="00F614F9" w:rsidRDefault="00872599" w:rsidP="008B38D1">
            <w:pPr>
              <w:pStyle w:val="a3"/>
              <w:spacing w:before="0" w:beforeAutospacing="0" w:after="0" w:afterAutospacing="0"/>
              <w:jc w:val="center"/>
              <w:rPr>
                <w:rFonts w:ascii="Times New Roman" w:hAnsi="Times New Roman" w:cs="Times New Roman"/>
              </w:rPr>
            </w:pPr>
          </w:p>
        </w:tc>
      </w:tr>
    </w:tbl>
    <w:p w14:paraId="1007BC95" w14:textId="77777777" w:rsidR="00872599" w:rsidRPr="00F614F9" w:rsidRDefault="00000000" w:rsidP="008B38D1">
      <w:pPr>
        <w:pStyle w:val="a3"/>
        <w:spacing w:before="0" w:beforeAutospacing="0" w:after="0" w:afterAutospacing="0" w:line="276" w:lineRule="auto"/>
        <w:jc w:val="both"/>
        <w:divId w:val="776295720"/>
        <w:rPr>
          <w:rFonts w:ascii="Times New Roman" w:hAnsi="Times New Roman" w:cs="Times New Roman"/>
        </w:rPr>
      </w:pPr>
      <w:r w:rsidRPr="00F614F9">
        <w:rPr>
          <w:rFonts w:ascii="Times New Roman" w:hAnsi="Times New Roman" w:cs="Times New Roman" w:hint="eastAsia"/>
          <w:sz w:val="18"/>
          <w:szCs w:val="18"/>
        </w:rPr>
        <w:t>（</w:t>
      </w:r>
      <w:r w:rsidRPr="00F614F9">
        <w:rPr>
          <w:rFonts w:ascii="Times New Roman" w:hAnsi="Times New Roman" w:cs="Times New Roman"/>
          <w:sz w:val="18"/>
          <w:szCs w:val="18"/>
        </w:rPr>
        <w:t>2</w:t>
      </w:r>
      <w:r w:rsidRPr="00F614F9">
        <w:rPr>
          <w:rFonts w:ascii="Times New Roman" w:hAnsi="Times New Roman" w:cs="Times New Roman" w:hint="eastAsia"/>
          <w:sz w:val="18"/>
          <w:szCs w:val="18"/>
        </w:rPr>
        <w:t>）公司投放广告的方式均为线下公告，广告费用约为</w:t>
      </w:r>
      <w:r w:rsidRPr="00F614F9">
        <w:rPr>
          <w:rFonts w:ascii="Times New Roman" w:hAnsi="Times New Roman" w:cs="Times New Roman"/>
          <w:sz w:val="18"/>
          <w:szCs w:val="18"/>
        </w:rPr>
        <w:t>26.61</w:t>
      </w:r>
      <w:r w:rsidRPr="00F614F9">
        <w:rPr>
          <w:rFonts w:ascii="Times New Roman" w:hAnsi="Times New Roman" w:cs="Times New Roman" w:hint="eastAsia"/>
          <w:sz w:val="18"/>
          <w:szCs w:val="18"/>
        </w:rPr>
        <w:t>万元。</w:t>
      </w:r>
    </w:p>
    <w:p w14:paraId="13DA59FA" w14:textId="77777777" w:rsidR="001D26E7" w:rsidRPr="00F614F9" w:rsidRDefault="00000000">
      <w:pPr>
        <w:pStyle w:val="3"/>
        <w:spacing w:line="280" w:lineRule="exact"/>
        <w:jc w:val="left"/>
        <w:rPr>
          <w:rFonts w:ascii="Times New Roman" w:hAnsi="Times New Roman" w:cs="宋体"/>
          <w:b/>
          <w:bCs/>
        </w:rPr>
      </w:pPr>
      <w:bookmarkStart w:id="42" w:name="_Toc988918"/>
      <w:r w:rsidRPr="00F614F9">
        <w:rPr>
          <w:rFonts w:ascii="Times New Roman" w:hAnsi="Times New Roman" w:cs="宋体"/>
          <w:b/>
          <w:bCs/>
        </w:rPr>
        <w:t>4</w:t>
      </w:r>
      <w:r w:rsidRPr="00F614F9">
        <w:rPr>
          <w:rFonts w:ascii="Times New Roman" w:hAnsi="Times New Roman" w:cs="宋体"/>
          <w:b/>
          <w:bCs/>
        </w:rPr>
        <w:t>、研发投入</w:t>
      </w:r>
      <w:bookmarkEnd w:id="42"/>
    </w:p>
    <w:p w14:paraId="3ABA87FD"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1D26E7" w:rsidRPr="00F614F9" w14:paraId="675A489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0FFC94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主要研发项目名称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FD996D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项目目的</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97D6F9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项目进展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C2F668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拟达到的目标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17DEF8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预计对公司未来发展的影响</w:t>
            </w:r>
          </w:p>
        </w:tc>
      </w:tr>
      <w:tr w:rsidR="001D26E7" w:rsidRPr="00F614F9" w14:paraId="0A3184F2"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D9F6DB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预制菜类产品开发</w:t>
            </w:r>
          </w:p>
        </w:tc>
        <w:tc>
          <w:tcPr>
            <w:tcW w:w="1928" w:type="dxa"/>
            <w:tcBorders>
              <w:top w:val="single" w:sz="2" w:space="0" w:color="auto"/>
              <w:left w:val="single" w:sz="2" w:space="0" w:color="auto"/>
              <w:bottom w:val="single" w:sz="2" w:space="0" w:color="auto"/>
              <w:right w:val="single" w:sz="2" w:space="0" w:color="auto"/>
            </w:tcBorders>
            <w:vAlign w:val="center"/>
          </w:tcPr>
          <w:p w14:paraId="384113C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通过研究消费客群的生活方式和餐饮企业降本提效的强烈诉求，遵循高性价比、方便加工的方向，独立创新与模仿学习相结合，为公司的打开新的蓝海项目。</w:t>
            </w:r>
          </w:p>
        </w:tc>
        <w:tc>
          <w:tcPr>
            <w:tcW w:w="1928" w:type="dxa"/>
            <w:tcBorders>
              <w:top w:val="single" w:sz="2" w:space="0" w:color="auto"/>
              <w:left w:val="single" w:sz="2" w:space="0" w:color="auto"/>
              <w:bottom w:val="single" w:sz="2" w:space="0" w:color="auto"/>
              <w:right w:val="single" w:sz="2" w:space="0" w:color="auto"/>
            </w:tcBorders>
            <w:vAlign w:val="center"/>
          </w:tcPr>
          <w:p w14:paraId="33A043E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已开发上市火锅</w:t>
            </w:r>
            <w:proofErr w:type="gramStart"/>
            <w:r w:rsidRPr="00F614F9">
              <w:rPr>
                <w:rFonts w:ascii="Times New Roman" w:eastAsia="宋体" w:hAnsi="Times New Roman" w:cs="宋体"/>
                <w:sz w:val="18"/>
                <w:szCs w:val="18"/>
              </w:rPr>
              <w:t>食材类</w:t>
            </w:r>
            <w:proofErr w:type="gramEnd"/>
            <w:r w:rsidRPr="00F614F9">
              <w:rPr>
                <w:rFonts w:ascii="Times New Roman" w:eastAsia="宋体" w:hAnsi="Times New Roman" w:cs="宋体"/>
                <w:sz w:val="18"/>
                <w:szCs w:val="18"/>
              </w:rPr>
              <w:t>（</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t>猪肚鸡、调理猪肚条、</w:t>
            </w:r>
            <w:proofErr w:type="gramStart"/>
            <w:r w:rsidRPr="00F614F9">
              <w:rPr>
                <w:rFonts w:ascii="Times New Roman" w:eastAsia="宋体" w:hAnsi="Times New Roman" w:cs="宋体"/>
                <w:sz w:val="18"/>
                <w:szCs w:val="18"/>
              </w:rPr>
              <w:t>红油肝片</w:t>
            </w:r>
            <w:proofErr w:type="gramEnd"/>
            <w:r w:rsidRPr="00F614F9">
              <w:rPr>
                <w:rFonts w:ascii="Times New Roman" w:eastAsia="宋体" w:hAnsi="Times New Roman" w:cs="宋体"/>
                <w:sz w:val="18"/>
                <w:szCs w:val="18"/>
              </w:rPr>
              <w:t>等）、水煮丸子类（猪肉马蹄丸、猪肉荠菜丸和葱香猪肉丸等）、预制食材（黄喉片、带皮五花肉块和肋排块等）、预制半成品（萝卜丝肉丸、</w:t>
            </w:r>
            <w:proofErr w:type="gramStart"/>
            <w:r w:rsidRPr="00F614F9">
              <w:rPr>
                <w:rFonts w:ascii="Times New Roman" w:eastAsia="宋体" w:hAnsi="Times New Roman" w:cs="宋体"/>
                <w:sz w:val="18"/>
                <w:szCs w:val="18"/>
              </w:rPr>
              <w:t>椒</w:t>
            </w:r>
            <w:proofErr w:type="gramEnd"/>
            <w:r w:rsidRPr="00F614F9">
              <w:rPr>
                <w:rFonts w:ascii="Times New Roman" w:eastAsia="宋体" w:hAnsi="Times New Roman" w:cs="宋体"/>
                <w:sz w:val="18"/>
                <w:szCs w:val="18"/>
              </w:rPr>
              <w:t>香酥肉和和麻辣金钱骨等）、预制成品菜（肥肠鸡、肥肠爱上鱼和酸菜肥肠等）等多种产品。</w:t>
            </w:r>
          </w:p>
        </w:tc>
        <w:tc>
          <w:tcPr>
            <w:tcW w:w="1928" w:type="dxa"/>
            <w:tcBorders>
              <w:top w:val="single" w:sz="2" w:space="0" w:color="auto"/>
              <w:left w:val="single" w:sz="2" w:space="0" w:color="auto"/>
              <w:bottom w:val="single" w:sz="2" w:space="0" w:color="auto"/>
              <w:right w:val="single" w:sz="2" w:space="0" w:color="auto"/>
            </w:tcBorders>
            <w:vAlign w:val="center"/>
          </w:tcPr>
          <w:p w14:paraId="265AF9B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开拓预制食材、预制半成品菜、预制成品菜的市场。</w:t>
            </w:r>
          </w:p>
        </w:tc>
        <w:tc>
          <w:tcPr>
            <w:tcW w:w="1928" w:type="dxa"/>
            <w:tcBorders>
              <w:top w:val="single" w:sz="2" w:space="0" w:color="auto"/>
              <w:left w:val="single" w:sz="2" w:space="0" w:color="auto"/>
              <w:bottom w:val="single" w:sz="2" w:space="0" w:color="auto"/>
              <w:right w:val="single" w:sz="2" w:space="0" w:color="auto"/>
            </w:tcBorders>
            <w:vAlign w:val="center"/>
          </w:tcPr>
          <w:p w14:paraId="0B2AF62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借助公司多年的预制菜和肉制品的研发生产经验，打开新的生产加工方向和销售渠道。</w:t>
            </w:r>
          </w:p>
        </w:tc>
      </w:tr>
      <w:tr w:rsidR="001D26E7" w:rsidRPr="00F614F9" w14:paraId="6A5119C4"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8C5DE6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高端低温火腿类的开发</w:t>
            </w:r>
          </w:p>
        </w:tc>
        <w:tc>
          <w:tcPr>
            <w:tcW w:w="1928" w:type="dxa"/>
            <w:tcBorders>
              <w:top w:val="single" w:sz="2" w:space="0" w:color="auto"/>
              <w:left w:val="single" w:sz="2" w:space="0" w:color="auto"/>
              <w:bottom w:val="single" w:sz="2" w:space="0" w:color="auto"/>
              <w:right w:val="single" w:sz="2" w:space="0" w:color="auto"/>
            </w:tcBorders>
            <w:vAlign w:val="center"/>
          </w:tcPr>
          <w:p w14:paraId="49F2E36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重点围绕着高端低温市场开发产品，打造无淀粉、</w:t>
            </w:r>
            <w:r w:rsidRPr="00F614F9">
              <w:rPr>
                <w:rFonts w:ascii="Times New Roman" w:eastAsia="宋体" w:hAnsi="Times New Roman" w:cs="宋体"/>
                <w:sz w:val="18"/>
                <w:szCs w:val="18"/>
              </w:rPr>
              <w:t>0</w:t>
            </w:r>
            <w:r w:rsidRPr="00F614F9">
              <w:rPr>
                <w:rFonts w:ascii="Times New Roman" w:eastAsia="宋体" w:hAnsi="Times New Roman" w:cs="宋体"/>
                <w:sz w:val="18"/>
                <w:szCs w:val="18"/>
              </w:rPr>
              <w:t>添加的产品概念，助力市场开拓，树立龙大火腿的高端形象。</w:t>
            </w:r>
          </w:p>
        </w:tc>
        <w:tc>
          <w:tcPr>
            <w:tcW w:w="1928" w:type="dxa"/>
            <w:tcBorders>
              <w:top w:val="single" w:sz="2" w:space="0" w:color="auto"/>
              <w:left w:val="single" w:sz="2" w:space="0" w:color="auto"/>
              <w:bottom w:val="single" w:sz="2" w:space="0" w:color="auto"/>
              <w:right w:val="single" w:sz="2" w:space="0" w:color="auto"/>
            </w:tcBorders>
            <w:vAlign w:val="center"/>
          </w:tcPr>
          <w:p w14:paraId="0609A34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上市老式火腿，主打无淀粉、</w:t>
            </w:r>
            <w:r w:rsidRPr="00F614F9">
              <w:rPr>
                <w:rFonts w:ascii="Times New Roman" w:eastAsia="宋体" w:hAnsi="Times New Roman" w:cs="宋体"/>
                <w:sz w:val="18"/>
                <w:szCs w:val="18"/>
              </w:rPr>
              <w:t>0</w:t>
            </w:r>
            <w:r w:rsidRPr="00F614F9">
              <w:rPr>
                <w:rFonts w:ascii="Times New Roman" w:eastAsia="宋体" w:hAnsi="Times New Roman" w:cs="宋体"/>
                <w:sz w:val="18"/>
                <w:szCs w:val="18"/>
              </w:rPr>
              <w:t>色素等产品概念，工艺上更是沿袭传统，选用玻璃纸材质，人工系线绳，采用土法烟熏，外表棕红发亮，视觉冲击力强。丰富无淀粉产品线，开发上市无淀粉烤肉排（香辣味），香辣口味，满足消费者口味。</w:t>
            </w:r>
          </w:p>
        </w:tc>
        <w:tc>
          <w:tcPr>
            <w:tcW w:w="1928" w:type="dxa"/>
            <w:tcBorders>
              <w:top w:val="single" w:sz="2" w:space="0" w:color="auto"/>
              <w:left w:val="single" w:sz="2" w:space="0" w:color="auto"/>
              <w:bottom w:val="single" w:sz="2" w:space="0" w:color="auto"/>
              <w:right w:val="single" w:sz="2" w:space="0" w:color="auto"/>
            </w:tcBorders>
            <w:vAlign w:val="center"/>
          </w:tcPr>
          <w:p w14:paraId="3ACAC17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满足市场对高品质火腿需求，主打</w:t>
            </w:r>
            <w:r w:rsidRPr="00F614F9">
              <w:rPr>
                <w:rFonts w:ascii="Times New Roman" w:eastAsia="宋体" w:hAnsi="Times New Roman" w:cs="宋体"/>
                <w:sz w:val="18"/>
                <w:szCs w:val="18"/>
              </w:rPr>
              <w:t>0</w:t>
            </w:r>
            <w:r w:rsidRPr="00F614F9">
              <w:rPr>
                <w:rFonts w:ascii="Times New Roman" w:eastAsia="宋体" w:hAnsi="Times New Roman" w:cs="宋体"/>
                <w:sz w:val="18"/>
                <w:szCs w:val="18"/>
              </w:rPr>
              <w:t>添加健康概念（无色素、无味精、无蔗糖），提升品牌形象。</w:t>
            </w:r>
          </w:p>
        </w:tc>
        <w:tc>
          <w:tcPr>
            <w:tcW w:w="1928" w:type="dxa"/>
            <w:tcBorders>
              <w:top w:val="single" w:sz="2" w:space="0" w:color="auto"/>
              <w:left w:val="single" w:sz="2" w:space="0" w:color="auto"/>
              <w:bottom w:val="single" w:sz="2" w:space="0" w:color="auto"/>
              <w:right w:val="single" w:sz="2" w:space="0" w:color="auto"/>
            </w:tcBorders>
            <w:vAlign w:val="center"/>
          </w:tcPr>
          <w:p w14:paraId="0F6D2C8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通过对开发高端健康类的产品，垂直细分市场，能够提高品牌知名度、美誉度。</w:t>
            </w:r>
          </w:p>
        </w:tc>
      </w:tr>
      <w:tr w:rsidR="001D26E7" w:rsidRPr="00F614F9" w14:paraId="08EF918E"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4566A4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油炸裹粉类产品口感的研究</w:t>
            </w:r>
          </w:p>
        </w:tc>
        <w:tc>
          <w:tcPr>
            <w:tcW w:w="1928" w:type="dxa"/>
            <w:tcBorders>
              <w:top w:val="single" w:sz="2" w:space="0" w:color="auto"/>
              <w:left w:val="single" w:sz="2" w:space="0" w:color="auto"/>
              <w:bottom w:val="single" w:sz="2" w:space="0" w:color="auto"/>
              <w:right w:val="single" w:sz="2" w:space="0" w:color="auto"/>
            </w:tcBorders>
            <w:vAlign w:val="center"/>
          </w:tcPr>
          <w:p w14:paraId="42387CE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针对不同食用场景，研究不同原料、不同工艺流程搭配不同外浆粉，开发适用各类消费场景的新产品。</w:t>
            </w:r>
          </w:p>
        </w:tc>
        <w:tc>
          <w:tcPr>
            <w:tcW w:w="1928" w:type="dxa"/>
            <w:tcBorders>
              <w:top w:val="single" w:sz="2" w:space="0" w:color="auto"/>
              <w:left w:val="single" w:sz="2" w:space="0" w:color="auto"/>
              <w:bottom w:val="single" w:sz="2" w:space="0" w:color="auto"/>
              <w:right w:val="single" w:sz="2" w:space="0" w:color="auto"/>
            </w:tcBorders>
            <w:vAlign w:val="center"/>
          </w:tcPr>
          <w:p w14:paraId="0C1CE34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酥脆型产品开发。开发上市了外观、香味独特的茴香酥肉；海底捞</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梅花酥肉等；配汁炒制型产品。开发</w:t>
            </w:r>
            <w:r w:rsidRPr="00F614F9">
              <w:rPr>
                <w:rFonts w:ascii="Times New Roman" w:eastAsia="宋体" w:hAnsi="Times New Roman" w:cs="宋体"/>
                <w:sz w:val="18"/>
                <w:szCs w:val="18"/>
              </w:rPr>
              <w:lastRenderedPageBreak/>
              <w:t>的</w:t>
            </w:r>
            <w:r w:rsidRPr="00F614F9">
              <w:rPr>
                <w:rFonts w:ascii="Times New Roman" w:eastAsia="宋体" w:hAnsi="Times New Roman" w:cs="宋体"/>
                <w:sz w:val="18"/>
                <w:szCs w:val="18"/>
              </w:rPr>
              <w:t>AB</w:t>
            </w:r>
            <w:r w:rsidRPr="00F614F9">
              <w:rPr>
                <w:rFonts w:ascii="Times New Roman" w:eastAsia="宋体" w:hAnsi="Times New Roman" w:cs="宋体"/>
                <w:sz w:val="18"/>
                <w:szCs w:val="18"/>
              </w:rPr>
              <w:t>包类锅包肉、糖醋里脊、菠萝咕咾肉打下基础。</w:t>
            </w:r>
          </w:p>
          <w:p w14:paraId="4B487642"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涮煮型</w:t>
            </w:r>
            <w:proofErr w:type="gramEnd"/>
            <w:r w:rsidRPr="00F614F9">
              <w:rPr>
                <w:rFonts w:ascii="Times New Roman" w:eastAsia="宋体" w:hAnsi="Times New Roman" w:cs="宋体"/>
                <w:sz w:val="18"/>
                <w:szCs w:val="18"/>
              </w:rPr>
              <w:t>产品。针对火锅、</w:t>
            </w:r>
            <w:proofErr w:type="gramStart"/>
            <w:r w:rsidRPr="00F614F9">
              <w:rPr>
                <w:rFonts w:ascii="Times New Roman" w:eastAsia="宋体" w:hAnsi="Times New Roman" w:cs="宋体"/>
                <w:sz w:val="18"/>
                <w:szCs w:val="18"/>
              </w:rPr>
              <w:t>麻辣烫等消费</w:t>
            </w:r>
            <w:proofErr w:type="gramEnd"/>
            <w:r w:rsidRPr="00F614F9">
              <w:rPr>
                <w:rFonts w:ascii="Times New Roman" w:eastAsia="宋体" w:hAnsi="Times New Roman" w:cs="宋体"/>
                <w:sz w:val="18"/>
                <w:szCs w:val="18"/>
              </w:rPr>
              <w:t>场景，开发半天妖</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水滑肉，目前该产品已基本定型。</w:t>
            </w:r>
          </w:p>
        </w:tc>
        <w:tc>
          <w:tcPr>
            <w:tcW w:w="1928" w:type="dxa"/>
            <w:tcBorders>
              <w:top w:val="single" w:sz="2" w:space="0" w:color="auto"/>
              <w:left w:val="single" w:sz="2" w:space="0" w:color="auto"/>
              <w:bottom w:val="single" w:sz="2" w:space="0" w:color="auto"/>
              <w:right w:val="single" w:sz="2" w:space="0" w:color="auto"/>
            </w:tcBorders>
            <w:vAlign w:val="center"/>
          </w:tcPr>
          <w:p w14:paraId="35ED9CC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利用现引进酥肉流水线，生产各类油炸裹粉类产品，提高设备生产效率，提升利润空间。</w:t>
            </w:r>
          </w:p>
        </w:tc>
        <w:tc>
          <w:tcPr>
            <w:tcW w:w="1928" w:type="dxa"/>
            <w:tcBorders>
              <w:top w:val="single" w:sz="2" w:space="0" w:color="auto"/>
              <w:left w:val="single" w:sz="2" w:space="0" w:color="auto"/>
              <w:bottom w:val="single" w:sz="2" w:space="0" w:color="auto"/>
              <w:right w:val="single" w:sz="2" w:space="0" w:color="auto"/>
            </w:tcBorders>
            <w:vAlign w:val="center"/>
          </w:tcPr>
          <w:p w14:paraId="77A4D0E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开发多种类适合多场景的产品，满足</w:t>
            </w:r>
            <w:r w:rsidRPr="00F614F9">
              <w:rPr>
                <w:rFonts w:ascii="Times New Roman" w:eastAsia="宋体" w:hAnsi="Times New Roman" w:cs="宋体"/>
                <w:sz w:val="18"/>
                <w:szCs w:val="18"/>
              </w:rPr>
              <w:t>B</w:t>
            </w:r>
            <w:r w:rsidRPr="00F614F9">
              <w:rPr>
                <w:rFonts w:ascii="Times New Roman" w:eastAsia="宋体" w:hAnsi="Times New Roman" w:cs="宋体"/>
                <w:sz w:val="18"/>
                <w:szCs w:val="18"/>
              </w:rPr>
              <w:t>端、</w:t>
            </w:r>
            <w:r w:rsidRPr="00F614F9">
              <w:rPr>
                <w:rFonts w:ascii="Times New Roman" w:eastAsia="宋体" w:hAnsi="Times New Roman" w:cs="宋体"/>
                <w:sz w:val="18"/>
                <w:szCs w:val="18"/>
              </w:rPr>
              <w:t>C</w:t>
            </w:r>
            <w:proofErr w:type="gramStart"/>
            <w:r w:rsidRPr="00F614F9">
              <w:rPr>
                <w:rFonts w:ascii="Times New Roman" w:eastAsia="宋体" w:hAnsi="Times New Roman" w:cs="宋体"/>
                <w:sz w:val="18"/>
                <w:szCs w:val="18"/>
              </w:rPr>
              <w:t>端各类</w:t>
            </w:r>
            <w:proofErr w:type="gramEnd"/>
            <w:r w:rsidRPr="00F614F9">
              <w:rPr>
                <w:rFonts w:ascii="Times New Roman" w:eastAsia="宋体" w:hAnsi="Times New Roman" w:cs="宋体"/>
                <w:sz w:val="18"/>
                <w:szCs w:val="18"/>
              </w:rPr>
              <w:t>客户需求，助力公司发展。</w:t>
            </w:r>
          </w:p>
        </w:tc>
      </w:tr>
    </w:tbl>
    <w:p w14:paraId="69AFA17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公司研发人员情况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1D26E7" w:rsidRPr="00F614F9" w14:paraId="1C1F4C0E"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1D24ADE" w14:textId="77777777" w:rsidR="001D26E7" w:rsidRPr="00F614F9" w:rsidRDefault="001D26E7">
            <w:pPr>
              <w:rPr>
                <w:rFonts w:ascii="Times New Roman" w:hAnsi="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B8EEB0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4DC721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810EB4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变动比例</w:t>
            </w:r>
          </w:p>
        </w:tc>
      </w:tr>
      <w:tr w:rsidR="001D26E7" w:rsidRPr="00F614F9" w14:paraId="320FD0D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7B5643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研发人员数量（人）</w:t>
            </w:r>
          </w:p>
        </w:tc>
        <w:tc>
          <w:tcPr>
            <w:tcW w:w="2410" w:type="dxa"/>
            <w:tcBorders>
              <w:top w:val="single" w:sz="2" w:space="0" w:color="auto"/>
              <w:left w:val="single" w:sz="2" w:space="0" w:color="auto"/>
              <w:bottom w:val="single" w:sz="2" w:space="0" w:color="auto"/>
              <w:right w:val="single" w:sz="2" w:space="0" w:color="auto"/>
            </w:tcBorders>
            <w:vAlign w:val="center"/>
          </w:tcPr>
          <w:p w14:paraId="04D2757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67</w:t>
            </w:r>
          </w:p>
        </w:tc>
        <w:tc>
          <w:tcPr>
            <w:tcW w:w="2410" w:type="dxa"/>
            <w:tcBorders>
              <w:top w:val="single" w:sz="2" w:space="0" w:color="auto"/>
              <w:left w:val="single" w:sz="2" w:space="0" w:color="auto"/>
              <w:bottom w:val="single" w:sz="2" w:space="0" w:color="auto"/>
              <w:right w:val="single" w:sz="2" w:space="0" w:color="auto"/>
            </w:tcBorders>
            <w:vAlign w:val="center"/>
          </w:tcPr>
          <w:p w14:paraId="18F1F84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65</w:t>
            </w:r>
          </w:p>
        </w:tc>
        <w:tc>
          <w:tcPr>
            <w:tcW w:w="2410" w:type="dxa"/>
            <w:tcBorders>
              <w:top w:val="single" w:sz="2" w:space="0" w:color="auto"/>
              <w:left w:val="single" w:sz="2" w:space="0" w:color="auto"/>
              <w:bottom w:val="single" w:sz="2" w:space="0" w:color="auto"/>
              <w:right w:val="single" w:sz="2" w:space="0" w:color="auto"/>
            </w:tcBorders>
            <w:vAlign w:val="center"/>
          </w:tcPr>
          <w:p w14:paraId="15CE9AA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3.08%</w:t>
            </w:r>
          </w:p>
        </w:tc>
      </w:tr>
      <w:tr w:rsidR="001D26E7" w:rsidRPr="00F614F9" w14:paraId="32314F3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3CC59B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研发人员数量占比</w:t>
            </w:r>
          </w:p>
        </w:tc>
        <w:tc>
          <w:tcPr>
            <w:tcW w:w="2410" w:type="dxa"/>
            <w:tcBorders>
              <w:top w:val="single" w:sz="2" w:space="0" w:color="auto"/>
              <w:left w:val="single" w:sz="2" w:space="0" w:color="auto"/>
              <w:bottom w:val="single" w:sz="2" w:space="0" w:color="auto"/>
              <w:right w:val="single" w:sz="2" w:space="0" w:color="auto"/>
            </w:tcBorders>
            <w:vAlign w:val="center"/>
          </w:tcPr>
          <w:p w14:paraId="719BB55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1.06%</w:t>
            </w:r>
          </w:p>
        </w:tc>
        <w:tc>
          <w:tcPr>
            <w:tcW w:w="2410" w:type="dxa"/>
            <w:tcBorders>
              <w:top w:val="single" w:sz="2" w:space="0" w:color="auto"/>
              <w:left w:val="single" w:sz="2" w:space="0" w:color="auto"/>
              <w:bottom w:val="single" w:sz="2" w:space="0" w:color="auto"/>
              <w:right w:val="single" w:sz="2" w:space="0" w:color="auto"/>
            </w:tcBorders>
            <w:vAlign w:val="center"/>
          </w:tcPr>
          <w:p w14:paraId="7D8903A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1.03%</w:t>
            </w:r>
          </w:p>
        </w:tc>
        <w:tc>
          <w:tcPr>
            <w:tcW w:w="2410" w:type="dxa"/>
            <w:tcBorders>
              <w:top w:val="single" w:sz="2" w:space="0" w:color="auto"/>
              <w:left w:val="single" w:sz="2" w:space="0" w:color="auto"/>
              <w:bottom w:val="single" w:sz="2" w:space="0" w:color="auto"/>
              <w:right w:val="single" w:sz="2" w:space="0" w:color="auto"/>
            </w:tcBorders>
            <w:vAlign w:val="center"/>
          </w:tcPr>
          <w:p w14:paraId="0C5EF6D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0.03%</w:t>
            </w:r>
          </w:p>
        </w:tc>
      </w:tr>
      <w:tr w:rsidR="001D26E7" w:rsidRPr="00F614F9" w14:paraId="6BB8BE0E" w14:textId="77777777">
        <w:trPr>
          <w:trHeight w:val="240"/>
        </w:trPr>
        <w:tc>
          <w:tcPr>
            <w:tcW w:w="963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28B9673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研发人员学历结构</w:t>
            </w:r>
          </w:p>
        </w:tc>
      </w:tr>
      <w:tr w:rsidR="001D26E7" w:rsidRPr="00F614F9" w14:paraId="67EDF91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960179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本科</w:t>
            </w:r>
          </w:p>
        </w:tc>
        <w:tc>
          <w:tcPr>
            <w:tcW w:w="2410" w:type="dxa"/>
            <w:tcBorders>
              <w:top w:val="single" w:sz="2" w:space="0" w:color="auto"/>
              <w:left w:val="single" w:sz="2" w:space="0" w:color="auto"/>
              <w:bottom w:val="single" w:sz="2" w:space="0" w:color="auto"/>
              <w:right w:val="single" w:sz="2" w:space="0" w:color="auto"/>
            </w:tcBorders>
            <w:vAlign w:val="center"/>
          </w:tcPr>
          <w:p w14:paraId="667518E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w:t>
            </w:r>
          </w:p>
        </w:tc>
        <w:tc>
          <w:tcPr>
            <w:tcW w:w="2410" w:type="dxa"/>
            <w:tcBorders>
              <w:top w:val="single" w:sz="2" w:space="0" w:color="auto"/>
              <w:left w:val="single" w:sz="2" w:space="0" w:color="auto"/>
              <w:bottom w:val="single" w:sz="2" w:space="0" w:color="auto"/>
              <w:right w:val="single" w:sz="2" w:space="0" w:color="auto"/>
            </w:tcBorders>
            <w:vAlign w:val="center"/>
          </w:tcPr>
          <w:p w14:paraId="354825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w:t>
            </w:r>
          </w:p>
        </w:tc>
        <w:tc>
          <w:tcPr>
            <w:tcW w:w="2410" w:type="dxa"/>
            <w:tcBorders>
              <w:top w:val="single" w:sz="2" w:space="0" w:color="auto"/>
              <w:left w:val="single" w:sz="2" w:space="0" w:color="auto"/>
              <w:bottom w:val="single" w:sz="2" w:space="0" w:color="auto"/>
              <w:right w:val="single" w:sz="2" w:space="0" w:color="auto"/>
            </w:tcBorders>
            <w:vAlign w:val="center"/>
          </w:tcPr>
          <w:p w14:paraId="2BC9632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4.00%</w:t>
            </w:r>
          </w:p>
        </w:tc>
      </w:tr>
      <w:tr w:rsidR="001D26E7" w:rsidRPr="00F614F9" w14:paraId="50E046D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F7A592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硕士</w:t>
            </w:r>
          </w:p>
        </w:tc>
        <w:tc>
          <w:tcPr>
            <w:tcW w:w="2410" w:type="dxa"/>
            <w:tcBorders>
              <w:top w:val="single" w:sz="2" w:space="0" w:color="auto"/>
              <w:left w:val="single" w:sz="2" w:space="0" w:color="auto"/>
              <w:bottom w:val="single" w:sz="2" w:space="0" w:color="auto"/>
              <w:right w:val="single" w:sz="2" w:space="0" w:color="auto"/>
            </w:tcBorders>
            <w:vAlign w:val="center"/>
          </w:tcPr>
          <w:p w14:paraId="03BAE69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w:t>
            </w:r>
          </w:p>
        </w:tc>
        <w:tc>
          <w:tcPr>
            <w:tcW w:w="2410" w:type="dxa"/>
            <w:tcBorders>
              <w:top w:val="single" w:sz="2" w:space="0" w:color="auto"/>
              <w:left w:val="single" w:sz="2" w:space="0" w:color="auto"/>
              <w:bottom w:val="single" w:sz="2" w:space="0" w:color="auto"/>
              <w:right w:val="single" w:sz="2" w:space="0" w:color="auto"/>
            </w:tcBorders>
            <w:vAlign w:val="center"/>
          </w:tcPr>
          <w:p w14:paraId="342C016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w:t>
            </w:r>
          </w:p>
        </w:tc>
        <w:tc>
          <w:tcPr>
            <w:tcW w:w="2410" w:type="dxa"/>
            <w:tcBorders>
              <w:top w:val="single" w:sz="2" w:space="0" w:color="auto"/>
              <w:left w:val="single" w:sz="2" w:space="0" w:color="auto"/>
              <w:bottom w:val="single" w:sz="2" w:space="0" w:color="auto"/>
              <w:right w:val="single" w:sz="2" w:space="0" w:color="auto"/>
            </w:tcBorders>
            <w:vAlign w:val="center"/>
          </w:tcPr>
          <w:p w14:paraId="173E6CC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w:t>
            </w:r>
          </w:p>
        </w:tc>
      </w:tr>
      <w:tr w:rsidR="001D26E7" w:rsidRPr="00F614F9" w14:paraId="7B0BBF5D" w14:textId="77777777">
        <w:trPr>
          <w:trHeight w:val="240"/>
        </w:trPr>
        <w:tc>
          <w:tcPr>
            <w:tcW w:w="963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470A8E8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研发人员年龄构成</w:t>
            </w:r>
          </w:p>
        </w:tc>
      </w:tr>
      <w:tr w:rsidR="001D26E7" w:rsidRPr="00F614F9" w14:paraId="3556850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CB9549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30</w:t>
            </w:r>
            <w:r w:rsidRPr="00F614F9">
              <w:rPr>
                <w:rFonts w:ascii="Times New Roman" w:eastAsia="宋体" w:hAnsi="Times New Roman" w:cs="宋体"/>
                <w:sz w:val="18"/>
                <w:szCs w:val="18"/>
              </w:rPr>
              <w:t>岁以下</w:t>
            </w:r>
          </w:p>
        </w:tc>
        <w:tc>
          <w:tcPr>
            <w:tcW w:w="2410" w:type="dxa"/>
            <w:tcBorders>
              <w:top w:val="single" w:sz="2" w:space="0" w:color="auto"/>
              <w:left w:val="single" w:sz="2" w:space="0" w:color="auto"/>
              <w:bottom w:val="single" w:sz="2" w:space="0" w:color="auto"/>
              <w:right w:val="single" w:sz="2" w:space="0" w:color="auto"/>
            </w:tcBorders>
            <w:vAlign w:val="center"/>
          </w:tcPr>
          <w:p w14:paraId="3CEDE2D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w:t>
            </w:r>
          </w:p>
        </w:tc>
        <w:tc>
          <w:tcPr>
            <w:tcW w:w="2410" w:type="dxa"/>
            <w:tcBorders>
              <w:top w:val="single" w:sz="2" w:space="0" w:color="auto"/>
              <w:left w:val="single" w:sz="2" w:space="0" w:color="auto"/>
              <w:bottom w:val="single" w:sz="2" w:space="0" w:color="auto"/>
              <w:right w:val="single" w:sz="2" w:space="0" w:color="auto"/>
            </w:tcBorders>
            <w:vAlign w:val="center"/>
          </w:tcPr>
          <w:p w14:paraId="0D252E3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w:t>
            </w:r>
          </w:p>
        </w:tc>
        <w:tc>
          <w:tcPr>
            <w:tcW w:w="2410" w:type="dxa"/>
            <w:tcBorders>
              <w:top w:val="single" w:sz="2" w:space="0" w:color="auto"/>
              <w:left w:val="single" w:sz="2" w:space="0" w:color="auto"/>
              <w:bottom w:val="single" w:sz="2" w:space="0" w:color="auto"/>
              <w:right w:val="single" w:sz="2" w:space="0" w:color="auto"/>
            </w:tcBorders>
            <w:vAlign w:val="center"/>
          </w:tcPr>
          <w:p w14:paraId="666B16C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5.56%</w:t>
            </w:r>
          </w:p>
        </w:tc>
      </w:tr>
      <w:tr w:rsidR="001D26E7" w:rsidRPr="00F614F9" w14:paraId="0288D83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339124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30~40</w:t>
            </w:r>
            <w:r w:rsidRPr="00F614F9">
              <w:rPr>
                <w:rFonts w:ascii="Times New Roman" w:eastAsia="宋体" w:hAnsi="Times New Roman" w:cs="宋体"/>
                <w:sz w:val="18"/>
                <w:szCs w:val="18"/>
              </w:rPr>
              <w:t>岁</w:t>
            </w:r>
          </w:p>
        </w:tc>
        <w:tc>
          <w:tcPr>
            <w:tcW w:w="2410" w:type="dxa"/>
            <w:tcBorders>
              <w:top w:val="single" w:sz="2" w:space="0" w:color="auto"/>
              <w:left w:val="single" w:sz="2" w:space="0" w:color="auto"/>
              <w:bottom w:val="single" w:sz="2" w:space="0" w:color="auto"/>
              <w:right w:val="single" w:sz="2" w:space="0" w:color="auto"/>
            </w:tcBorders>
            <w:vAlign w:val="center"/>
          </w:tcPr>
          <w:p w14:paraId="4F7E763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w:t>
            </w:r>
          </w:p>
        </w:tc>
        <w:tc>
          <w:tcPr>
            <w:tcW w:w="2410" w:type="dxa"/>
            <w:tcBorders>
              <w:top w:val="single" w:sz="2" w:space="0" w:color="auto"/>
              <w:left w:val="single" w:sz="2" w:space="0" w:color="auto"/>
              <w:bottom w:val="single" w:sz="2" w:space="0" w:color="auto"/>
              <w:right w:val="single" w:sz="2" w:space="0" w:color="auto"/>
            </w:tcBorders>
            <w:vAlign w:val="center"/>
          </w:tcPr>
          <w:p w14:paraId="41893E8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w:t>
            </w:r>
          </w:p>
        </w:tc>
        <w:tc>
          <w:tcPr>
            <w:tcW w:w="2410" w:type="dxa"/>
            <w:tcBorders>
              <w:top w:val="single" w:sz="2" w:space="0" w:color="auto"/>
              <w:left w:val="single" w:sz="2" w:space="0" w:color="auto"/>
              <w:bottom w:val="single" w:sz="2" w:space="0" w:color="auto"/>
              <w:right w:val="single" w:sz="2" w:space="0" w:color="auto"/>
            </w:tcBorders>
            <w:vAlign w:val="center"/>
          </w:tcPr>
          <w:p w14:paraId="4931474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3.03%</w:t>
            </w:r>
          </w:p>
        </w:tc>
      </w:tr>
    </w:tbl>
    <w:p w14:paraId="56DAC8B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公司研发投入情况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1D26E7" w:rsidRPr="00F614F9" w14:paraId="1E2224A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253B496" w14:textId="77777777" w:rsidR="001D26E7" w:rsidRPr="00F614F9" w:rsidRDefault="001D26E7">
            <w:pPr>
              <w:rPr>
                <w:rFonts w:ascii="Times New Roman" w:hAnsi="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043924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B4F284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6C7E82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变动比例</w:t>
            </w:r>
          </w:p>
        </w:tc>
      </w:tr>
      <w:tr w:rsidR="001D26E7" w:rsidRPr="00F614F9" w14:paraId="111096A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EE486D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研发投入金额（元）</w:t>
            </w:r>
          </w:p>
        </w:tc>
        <w:tc>
          <w:tcPr>
            <w:tcW w:w="2410" w:type="dxa"/>
            <w:tcBorders>
              <w:top w:val="single" w:sz="2" w:space="0" w:color="auto"/>
              <w:left w:val="single" w:sz="2" w:space="0" w:color="auto"/>
              <w:bottom w:val="single" w:sz="2" w:space="0" w:color="auto"/>
              <w:right w:val="single" w:sz="2" w:space="0" w:color="auto"/>
            </w:tcBorders>
            <w:vAlign w:val="center"/>
          </w:tcPr>
          <w:p w14:paraId="4014AE3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9,617,710.52</w:t>
            </w:r>
          </w:p>
        </w:tc>
        <w:tc>
          <w:tcPr>
            <w:tcW w:w="2410" w:type="dxa"/>
            <w:tcBorders>
              <w:top w:val="single" w:sz="2" w:space="0" w:color="auto"/>
              <w:left w:val="single" w:sz="2" w:space="0" w:color="auto"/>
              <w:bottom w:val="single" w:sz="2" w:space="0" w:color="auto"/>
              <w:right w:val="single" w:sz="2" w:space="0" w:color="auto"/>
            </w:tcBorders>
            <w:vAlign w:val="center"/>
          </w:tcPr>
          <w:p w14:paraId="746CF10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8,002,970.35</w:t>
            </w:r>
          </w:p>
        </w:tc>
        <w:tc>
          <w:tcPr>
            <w:tcW w:w="2410" w:type="dxa"/>
            <w:tcBorders>
              <w:top w:val="single" w:sz="2" w:space="0" w:color="auto"/>
              <w:left w:val="single" w:sz="2" w:space="0" w:color="auto"/>
              <w:bottom w:val="single" w:sz="2" w:space="0" w:color="auto"/>
              <w:right w:val="single" w:sz="2" w:space="0" w:color="auto"/>
            </w:tcBorders>
            <w:vAlign w:val="center"/>
          </w:tcPr>
          <w:p w14:paraId="1266E94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20.18%</w:t>
            </w:r>
          </w:p>
        </w:tc>
      </w:tr>
      <w:tr w:rsidR="001D26E7" w:rsidRPr="00F614F9" w14:paraId="7933902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46F2A5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研发投入占营业收入比例</w:t>
            </w:r>
          </w:p>
        </w:tc>
        <w:tc>
          <w:tcPr>
            <w:tcW w:w="2410" w:type="dxa"/>
            <w:tcBorders>
              <w:top w:val="single" w:sz="2" w:space="0" w:color="auto"/>
              <w:left w:val="single" w:sz="2" w:space="0" w:color="auto"/>
              <w:bottom w:val="single" w:sz="2" w:space="0" w:color="auto"/>
              <w:right w:val="single" w:sz="2" w:space="0" w:color="auto"/>
            </w:tcBorders>
            <w:vAlign w:val="center"/>
          </w:tcPr>
          <w:p w14:paraId="77B7A6D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0.07%</w:t>
            </w:r>
          </w:p>
        </w:tc>
        <w:tc>
          <w:tcPr>
            <w:tcW w:w="2410" w:type="dxa"/>
            <w:tcBorders>
              <w:top w:val="single" w:sz="2" w:space="0" w:color="auto"/>
              <w:left w:val="single" w:sz="2" w:space="0" w:color="auto"/>
              <w:bottom w:val="single" w:sz="2" w:space="0" w:color="auto"/>
              <w:right w:val="single" w:sz="2" w:space="0" w:color="auto"/>
            </w:tcBorders>
            <w:vAlign w:val="center"/>
          </w:tcPr>
          <w:p w14:paraId="5B8772A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0.05%</w:t>
            </w:r>
          </w:p>
        </w:tc>
        <w:tc>
          <w:tcPr>
            <w:tcW w:w="2410" w:type="dxa"/>
            <w:tcBorders>
              <w:top w:val="single" w:sz="2" w:space="0" w:color="auto"/>
              <w:left w:val="single" w:sz="2" w:space="0" w:color="auto"/>
              <w:bottom w:val="single" w:sz="2" w:space="0" w:color="auto"/>
              <w:right w:val="single" w:sz="2" w:space="0" w:color="auto"/>
            </w:tcBorders>
            <w:vAlign w:val="center"/>
          </w:tcPr>
          <w:p w14:paraId="7646122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0.02%</w:t>
            </w:r>
          </w:p>
        </w:tc>
      </w:tr>
      <w:tr w:rsidR="001D26E7" w:rsidRPr="00F614F9" w14:paraId="265D79B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A2DF95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研发投入资本化的金额（元）</w:t>
            </w:r>
          </w:p>
        </w:tc>
        <w:tc>
          <w:tcPr>
            <w:tcW w:w="2410" w:type="dxa"/>
            <w:tcBorders>
              <w:top w:val="single" w:sz="2" w:space="0" w:color="auto"/>
              <w:left w:val="single" w:sz="2" w:space="0" w:color="auto"/>
              <w:bottom w:val="single" w:sz="2" w:space="0" w:color="auto"/>
              <w:right w:val="single" w:sz="2" w:space="0" w:color="auto"/>
            </w:tcBorders>
            <w:vAlign w:val="center"/>
          </w:tcPr>
          <w:p w14:paraId="60C2677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14:paraId="1D087F0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14:paraId="69FCE80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76B0720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B13CF1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资本化研发投入占研发投入的比例</w:t>
            </w:r>
          </w:p>
        </w:tc>
        <w:tc>
          <w:tcPr>
            <w:tcW w:w="2410" w:type="dxa"/>
            <w:tcBorders>
              <w:top w:val="single" w:sz="2" w:space="0" w:color="auto"/>
              <w:left w:val="single" w:sz="2" w:space="0" w:color="auto"/>
              <w:bottom w:val="single" w:sz="2" w:space="0" w:color="auto"/>
              <w:right w:val="single" w:sz="2" w:space="0" w:color="auto"/>
            </w:tcBorders>
            <w:vAlign w:val="center"/>
          </w:tcPr>
          <w:p w14:paraId="71FC0B6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14:paraId="6D4F5A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14:paraId="185B03E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bl>
    <w:p w14:paraId="6A13659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公司研发人员构成发生重大变化的原因及影响</w:t>
      </w:r>
    </w:p>
    <w:p w14:paraId="052D0CD4"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2C51D29F"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研发投入总额占营业收入的比重较上年发生显著变化的原因</w:t>
      </w:r>
    </w:p>
    <w:p w14:paraId="5A09DAAD"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7171289"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研发投入资本化率大幅变动的原因及其合理性说明</w:t>
      </w:r>
    </w:p>
    <w:p w14:paraId="5B2EFCFE"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34AC7357" w14:textId="77777777" w:rsidR="001D26E7" w:rsidRPr="00F614F9" w:rsidRDefault="00000000">
      <w:pPr>
        <w:pStyle w:val="3"/>
        <w:spacing w:line="280" w:lineRule="exact"/>
        <w:jc w:val="left"/>
        <w:rPr>
          <w:rFonts w:ascii="Times New Roman" w:hAnsi="Times New Roman" w:cs="宋体"/>
          <w:b/>
          <w:bCs/>
        </w:rPr>
      </w:pPr>
      <w:bookmarkStart w:id="43" w:name="_Toc988919"/>
      <w:r w:rsidRPr="00F614F9">
        <w:rPr>
          <w:rFonts w:ascii="Times New Roman" w:hAnsi="Times New Roman" w:cs="宋体"/>
          <w:b/>
          <w:bCs/>
        </w:rPr>
        <w:t>5</w:t>
      </w:r>
      <w:r w:rsidRPr="00F614F9">
        <w:rPr>
          <w:rFonts w:ascii="Times New Roman" w:hAnsi="Times New Roman" w:cs="宋体"/>
          <w:b/>
          <w:bCs/>
        </w:rPr>
        <w:t>、现金流</w:t>
      </w:r>
      <w:bookmarkEnd w:id="43"/>
    </w:p>
    <w:p w14:paraId="56D1ACFE"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694"/>
        <w:gridCol w:w="2409"/>
        <w:gridCol w:w="2552"/>
        <w:gridCol w:w="1984"/>
      </w:tblGrid>
      <w:tr w:rsidR="001D26E7" w:rsidRPr="00F614F9" w14:paraId="1FB35B5D" w14:textId="77777777" w:rsidTr="008B38D1">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44E664B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55B19AA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198746B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14:paraId="75B0EE5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同比增减</w:t>
            </w:r>
          </w:p>
        </w:tc>
      </w:tr>
      <w:tr w:rsidR="001D26E7" w:rsidRPr="00F614F9" w14:paraId="63EE3BCD" w14:textId="77777777" w:rsidTr="008B38D1">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3EC4D2A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经营活动现金流入小计</w:t>
            </w:r>
          </w:p>
        </w:tc>
        <w:tc>
          <w:tcPr>
            <w:tcW w:w="2409" w:type="dxa"/>
            <w:tcBorders>
              <w:top w:val="single" w:sz="2" w:space="0" w:color="auto"/>
              <w:left w:val="single" w:sz="2" w:space="0" w:color="auto"/>
              <w:bottom w:val="single" w:sz="2" w:space="0" w:color="auto"/>
              <w:right w:val="single" w:sz="2" w:space="0" w:color="auto"/>
            </w:tcBorders>
            <w:vAlign w:val="center"/>
          </w:tcPr>
          <w:p w14:paraId="1FD14E25"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14,556,320,307.38</w:t>
            </w:r>
          </w:p>
        </w:tc>
        <w:tc>
          <w:tcPr>
            <w:tcW w:w="2552" w:type="dxa"/>
            <w:tcBorders>
              <w:top w:val="single" w:sz="2" w:space="0" w:color="auto"/>
              <w:left w:val="single" w:sz="2" w:space="0" w:color="auto"/>
              <w:bottom w:val="single" w:sz="2" w:space="0" w:color="auto"/>
              <w:right w:val="single" w:sz="2" w:space="0" w:color="auto"/>
            </w:tcBorders>
            <w:vAlign w:val="center"/>
          </w:tcPr>
          <w:p w14:paraId="3BAFAB3F"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15,754,334,078.65</w:t>
            </w:r>
          </w:p>
        </w:tc>
        <w:tc>
          <w:tcPr>
            <w:tcW w:w="1984" w:type="dxa"/>
            <w:tcBorders>
              <w:top w:val="single" w:sz="2" w:space="0" w:color="auto"/>
              <w:left w:val="single" w:sz="2" w:space="0" w:color="auto"/>
              <w:bottom w:val="single" w:sz="2" w:space="0" w:color="auto"/>
              <w:right w:val="single" w:sz="2" w:space="0" w:color="auto"/>
            </w:tcBorders>
            <w:vAlign w:val="center"/>
          </w:tcPr>
          <w:p w14:paraId="5D496681"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-7.60%</w:t>
            </w:r>
          </w:p>
        </w:tc>
      </w:tr>
      <w:tr w:rsidR="001D26E7" w:rsidRPr="00F614F9" w14:paraId="670B34C4" w14:textId="77777777" w:rsidTr="008B38D1">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4579189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经营活动现金流出小计</w:t>
            </w:r>
          </w:p>
        </w:tc>
        <w:tc>
          <w:tcPr>
            <w:tcW w:w="2409" w:type="dxa"/>
            <w:tcBorders>
              <w:top w:val="single" w:sz="2" w:space="0" w:color="auto"/>
              <w:left w:val="single" w:sz="2" w:space="0" w:color="auto"/>
              <w:bottom w:val="single" w:sz="2" w:space="0" w:color="auto"/>
              <w:right w:val="single" w:sz="2" w:space="0" w:color="auto"/>
            </w:tcBorders>
            <w:vAlign w:val="center"/>
          </w:tcPr>
          <w:p w14:paraId="51B22383"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15,145,038,786.07</w:t>
            </w:r>
          </w:p>
        </w:tc>
        <w:tc>
          <w:tcPr>
            <w:tcW w:w="2552" w:type="dxa"/>
            <w:tcBorders>
              <w:top w:val="single" w:sz="2" w:space="0" w:color="auto"/>
              <w:left w:val="single" w:sz="2" w:space="0" w:color="auto"/>
              <w:bottom w:val="single" w:sz="2" w:space="0" w:color="auto"/>
              <w:right w:val="single" w:sz="2" w:space="0" w:color="auto"/>
            </w:tcBorders>
            <w:vAlign w:val="center"/>
          </w:tcPr>
          <w:p w14:paraId="3A0948AF"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14,813,231,616.49</w:t>
            </w:r>
          </w:p>
        </w:tc>
        <w:tc>
          <w:tcPr>
            <w:tcW w:w="1984" w:type="dxa"/>
            <w:tcBorders>
              <w:top w:val="single" w:sz="2" w:space="0" w:color="auto"/>
              <w:left w:val="single" w:sz="2" w:space="0" w:color="auto"/>
              <w:bottom w:val="single" w:sz="2" w:space="0" w:color="auto"/>
              <w:right w:val="single" w:sz="2" w:space="0" w:color="auto"/>
            </w:tcBorders>
            <w:vAlign w:val="center"/>
          </w:tcPr>
          <w:p w14:paraId="1136313A"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2.24%</w:t>
            </w:r>
          </w:p>
        </w:tc>
      </w:tr>
      <w:tr w:rsidR="001D26E7" w:rsidRPr="00F614F9" w14:paraId="5D70E097" w14:textId="77777777" w:rsidTr="008B38D1">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33F433F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经营活动产生的现金流量净额</w:t>
            </w:r>
          </w:p>
        </w:tc>
        <w:tc>
          <w:tcPr>
            <w:tcW w:w="2409" w:type="dxa"/>
            <w:tcBorders>
              <w:top w:val="single" w:sz="2" w:space="0" w:color="auto"/>
              <w:left w:val="single" w:sz="2" w:space="0" w:color="auto"/>
              <w:bottom w:val="single" w:sz="2" w:space="0" w:color="auto"/>
              <w:right w:val="single" w:sz="2" w:space="0" w:color="auto"/>
            </w:tcBorders>
            <w:vAlign w:val="center"/>
          </w:tcPr>
          <w:p w14:paraId="3A7A9918"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-588,718,478.69</w:t>
            </w:r>
          </w:p>
        </w:tc>
        <w:tc>
          <w:tcPr>
            <w:tcW w:w="2552" w:type="dxa"/>
            <w:tcBorders>
              <w:top w:val="single" w:sz="2" w:space="0" w:color="auto"/>
              <w:left w:val="single" w:sz="2" w:space="0" w:color="auto"/>
              <w:bottom w:val="single" w:sz="2" w:space="0" w:color="auto"/>
              <w:right w:val="single" w:sz="2" w:space="0" w:color="auto"/>
            </w:tcBorders>
            <w:vAlign w:val="center"/>
          </w:tcPr>
          <w:p w14:paraId="0C500C0F"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941,102,462.16</w:t>
            </w:r>
          </w:p>
        </w:tc>
        <w:tc>
          <w:tcPr>
            <w:tcW w:w="1984" w:type="dxa"/>
            <w:tcBorders>
              <w:top w:val="single" w:sz="2" w:space="0" w:color="auto"/>
              <w:left w:val="single" w:sz="2" w:space="0" w:color="auto"/>
              <w:bottom w:val="single" w:sz="2" w:space="0" w:color="auto"/>
              <w:right w:val="single" w:sz="2" w:space="0" w:color="auto"/>
            </w:tcBorders>
            <w:vAlign w:val="center"/>
          </w:tcPr>
          <w:p w14:paraId="75EB42DC"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-162.56%</w:t>
            </w:r>
          </w:p>
        </w:tc>
      </w:tr>
      <w:tr w:rsidR="001D26E7" w:rsidRPr="00F614F9" w14:paraId="5BA34BE4" w14:textId="77777777" w:rsidTr="008B38D1">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4E64E5A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投资活动现金流入小计</w:t>
            </w:r>
          </w:p>
        </w:tc>
        <w:tc>
          <w:tcPr>
            <w:tcW w:w="2409" w:type="dxa"/>
            <w:tcBorders>
              <w:top w:val="single" w:sz="2" w:space="0" w:color="auto"/>
              <w:left w:val="single" w:sz="2" w:space="0" w:color="auto"/>
              <w:bottom w:val="single" w:sz="2" w:space="0" w:color="auto"/>
              <w:right w:val="single" w:sz="2" w:space="0" w:color="auto"/>
            </w:tcBorders>
            <w:vAlign w:val="center"/>
          </w:tcPr>
          <w:p w14:paraId="0FCA5D75"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1,342,872,222.49</w:t>
            </w:r>
          </w:p>
        </w:tc>
        <w:tc>
          <w:tcPr>
            <w:tcW w:w="2552" w:type="dxa"/>
            <w:tcBorders>
              <w:top w:val="single" w:sz="2" w:space="0" w:color="auto"/>
              <w:left w:val="single" w:sz="2" w:space="0" w:color="auto"/>
              <w:bottom w:val="single" w:sz="2" w:space="0" w:color="auto"/>
              <w:right w:val="single" w:sz="2" w:space="0" w:color="auto"/>
            </w:tcBorders>
            <w:vAlign w:val="center"/>
          </w:tcPr>
          <w:p w14:paraId="617010AB"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897,444,983.93</w:t>
            </w:r>
          </w:p>
        </w:tc>
        <w:tc>
          <w:tcPr>
            <w:tcW w:w="1984" w:type="dxa"/>
            <w:tcBorders>
              <w:top w:val="single" w:sz="2" w:space="0" w:color="auto"/>
              <w:left w:val="single" w:sz="2" w:space="0" w:color="auto"/>
              <w:bottom w:val="single" w:sz="2" w:space="0" w:color="auto"/>
              <w:right w:val="single" w:sz="2" w:space="0" w:color="auto"/>
            </w:tcBorders>
            <w:vAlign w:val="center"/>
          </w:tcPr>
          <w:p w14:paraId="233C4EAF"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49.63%</w:t>
            </w:r>
          </w:p>
        </w:tc>
      </w:tr>
      <w:tr w:rsidR="001D26E7" w:rsidRPr="00F614F9" w14:paraId="57BD2ABD" w14:textId="77777777" w:rsidTr="008B38D1">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22A34C2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投资活动现金流出小计</w:t>
            </w:r>
          </w:p>
        </w:tc>
        <w:tc>
          <w:tcPr>
            <w:tcW w:w="2409" w:type="dxa"/>
            <w:tcBorders>
              <w:top w:val="single" w:sz="2" w:space="0" w:color="auto"/>
              <w:left w:val="single" w:sz="2" w:space="0" w:color="auto"/>
              <w:bottom w:val="single" w:sz="2" w:space="0" w:color="auto"/>
              <w:right w:val="single" w:sz="2" w:space="0" w:color="auto"/>
            </w:tcBorders>
            <w:vAlign w:val="center"/>
          </w:tcPr>
          <w:p w14:paraId="6DAC9A2D"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1,047,906,230.18</w:t>
            </w:r>
          </w:p>
        </w:tc>
        <w:tc>
          <w:tcPr>
            <w:tcW w:w="2552" w:type="dxa"/>
            <w:tcBorders>
              <w:top w:val="single" w:sz="2" w:space="0" w:color="auto"/>
              <w:left w:val="single" w:sz="2" w:space="0" w:color="auto"/>
              <w:bottom w:val="single" w:sz="2" w:space="0" w:color="auto"/>
              <w:right w:val="single" w:sz="2" w:space="0" w:color="auto"/>
            </w:tcBorders>
            <w:vAlign w:val="center"/>
          </w:tcPr>
          <w:p w14:paraId="11A3AAC9"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2,099,058,334.22</w:t>
            </w:r>
          </w:p>
        </w:tc>
        <w:tc>
          <w:tcPr>
            <w:tcW w:w="1984" w:type="dxa"/>
            <w:tcBorders>
              <w:top w:val="single" w:sz="2" w:space="0" w:color="auto"/>
              <w:left w:val="single" w:sz="2" w:space="0" w:color="auto"/>
              <w:bottom w:val="single" w:sz="2" w:space="0" w:color="auto"/>
              <w:right w:val="single" w:sz="2" w:space="0" w:color="auto"/>
            </w:tcBorders>
            <w:vAlign w:val="center"/>
          </w:tcPr>
          <w:p w14:paraId="4EDB8D00"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-50.08%</w:t>
            </w:r>
          </w:p>
        </w:tc>
      </w:tr>
      <w:tr w:rsidR="001D26E7" w:rsidRPr="00F614F9" w14:paraId="0DCE8927" w14:textId="77777777" w:rsidTr="008B38D1">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0F1D8A8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投资活动产生的现金流量净额</w:t>
            </w:r>
          </w:p>
        </w:tc>
        <w:tc>
          <w:tcPr>
            <w:tcW w:w="2409" w:type="dxa"/>
            <w:tcBorders>
              <w:top w:val="single" w:sz="2" w:space="0" w:color="auto"/>
              <w:left w:val="single" w:sz="2" w:space="0" w:color="auto"/>
              <w:bottom w:val="single" w:sz="2" w:space="0" w:color="auto"/>
              <w:right w:val="single" w:sz="2" w:space="0" w:color="auto"/>
            </w:tcBorders>
            <w:vAlign w:val="center"/>
          </w:tcPr>
          <w:p w14:paraId="7B5805CD"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294,965,992.31</w:t>
            </w:r>
          </w:p>
        </w:tc>
        <w:tc>
          <w:tcPr>
            <w:tcW w:w="2552" w:type="dxa"/>
            <w:tcBorders>
              <w:top w:val="single" w:sz="2" w:space="0" w:color="auto"/>
              <w:left w:val="single" w:sz="2" w:space="0" w:color="auto"/>
              <w:bottom w:val="single" w:sz="2" w:space="0" w:color="auto"/>
              <w:right w:val="single" w:sz="2" w:space="0" w:color="auto"/>
            </w:tcBorders>
            <w:vAlign w:val="center"/>
          </w:tcPr>
          <w:p w14:paraId="7AE3827B"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-1,201,613,350.29</w:t>
            </w:r>
          </w:p>
        </w:tc>
        <w:tc>
          <w:tcPr>
            <w:tcW w:w="1984" w:type="dxa"/>
            <w:tcBorders>
              <w:top w:val="single" w:sz="2" w:space="0" w:color="auto"/>
              <w:left w:val="single" w:sz="2" w:space="0" w:color="auto"/>
              <w:bottom w:val="single" w:sz="2" w:space="0" w:color="auto"/>
              <w:right w:val="single" w:sz="2" w:space="0" w:color="auto"/>
            </w:tcBorders>
            <w:vAlign w:val="center"/>
          </w:tcPr>
          <w:p w14:paraId="05119003"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124.55%</w:t>
            </w:r>
          </w:p>
        </w:tc>
      </w:tr>
      <w:tr w:rsidR="001D26E7" w:rsidRPr="00F614F9" w14:paraId="4F31060A" w14:textId="77777777" w:rsidTr="008B38D1">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47704A4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筹资活动现金流入小计</w:t>
            </w:r>
          </w:p>
        </w:tc>
        <w:tc>
          <w:tcPr>
            <w:tcW w:w="2409" w:type="dxa"/>
            <w:tcBorders>
              <w:top w:val="single" w:sz="2" w:space="0" w:color="auto"/>
              <w:left w:val="single" w:sz="2" w:space="0" w:color="auto"/>
              <w:bottom w:val="single" w:sz="2" w:space="0" w:color="auto"/>
              <w:right w:val="single" w:sz="2" w:space="0" w:color="auto"/>
            </w:tcBorders>
            <w:vAlign w:val="center"/>
          </w:tcPr>
          <w:p w14:paraId="39DE469B"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3,410,880,849.61</w:t>
            </w:r>
          </w:p>
        </w:tc>
        <w:tc>
          <w:tcPr>
            <w:tcW w:w="2552" w:type="dxa"/>
            <w:tcBorders>
              <w:top w:val="single" w:sz="2" w:space="0" w:color="auto"/>
              <w:left w:val="single" w:sz="2" w:space="0" w:color="auto"/>
              <w:bottom w:val="single" w:sz="2" w:space="0" w:color="auto"/>
              <w:right w:val="single" w:sz="2" w:space="0" w:color="auto"/>
            </w:tcBorders>
            <w:vAlign w:val="center"/>
          </w:tcPr>
          <w:p w14:paraId="1F4786B8"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2,135,471,312.93</w:t>
            </w:r>
          </w:p>
        </w:tc>
        <w:tc>
          <w:tcPr>
            <w:tcW w:w="1984" w:type="dxa"/>
            <w:tcBorders>
              <w:top w:val="single" w:sz="2" w:space="0" w:color="auto"/>
              <w:left w:val="single" w:sz="2" w:space="0" w:color="auto"/>
              <w:bottom w:val="single" w:sz="2" w:space="0" w:color="auto"/>
              <w:right w:val="single" w:sz="2" w:space="0" w:color="auto"/>
            </w:tcBorders>
            <w:vAlign w:val="center"/>
          </w:tcPr>
          <w:p w14:paraId="16081597"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59.72%</w:t>
            </w:r>
          </w:p>
        </w:tc>
      </w:tr>
      <w:tr w:rsidR="001D26E7" w:rsidRPr="00F614F9" w14:paraId="07B6A8B5" w14:textId="77777777" w:rsidTr="008B38D1">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26C192B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筹资活动现金流出小计</w:t>
            </w:r>
          </w:p>
        </w:tc>
        <w:tc>
          <w:tcPr>
            <w:tcW w:w="2409" w:type="dxa"/>
            <w:tcBorders>
              <w:top w:val="single" w:sz="2" w:space="0" w:color="auto"/>
              <w:left w:val="single" w:sz="2" w:space="0" w:color="auto"/>
              <w:bottom w:val="single" w:sz="2" w:space="0" w:color="auto"/>
              <w:right w:val="single" w:sz="2" w:space="0" w:color="auto"/>
            </w:tcBorders>
            <w:vAlign w:val="center"/>
          </w:tcPr>
          <w:p w14:paraId="6B262B3A"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2,962,996,214.23</w:t>
            </w:r>
          </w:p>
        </w:tc>
        <w:tc>
          <w:tcPr>
            <w:tcW w:w="2552" w:type="dxa"/>
            <w:tcBorders>
              <w:top w:val="single" w:sz="2" w:space="0" w:color="auto"/>
              <w:left w:val="single" w:sz="2" w:space="0" w:color="auto"/>
              <w:bottom w:val="single" w:sz="2" w:space="0" w:color="auto"/>
              <w:right w:val="single" w:sz="2" w:space="0" w:color="auto"/>
            </w:tcBorders>
            <w:vAlign w:val="center"/>
          </w:tcPr>
          <w:p w14:paraId="32554B7A"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2,870,957,851.74</w:t>
            </w:r>
          </w:p>
        </w:tc>
        <w:tc>
          <w:tcPr>
            <w:tcW w:w="1984" w:type="dxa"/>
            <w:tcBorders>
              <w:top w:val="single" w:sz="2" w:space="0" w:color="auto"/>
              <w:left w:val="single" w:sz="2" w:space="0" w:color="auto"/>
              <w:bottom w:val="single" w:sz="2" w:space="0" w:color="auto"/>
              <w:right w:val="single" w:sz="2" w:space="0" w:color="auto"/>
            </w:tcBorders>
            <w:vAlign w:val="center"/>
          </w:tcPr>
          <w:p w14:paraId="0D3D6775"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3.21%</w:t>
            </w:r>
          </w:p>
        </w:tc>
      </w:tr>
      <w:tr w:rsidR="001D26E7" w:rsidRPr="00F614F9" w14:paraId="5EDEE239" w14:textId="77777777" w:rsidTr="008B38D1">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0572D9E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筹资活动产生的现金流量净额</w:t>
            </w:r>
          </w:p>
        </w:tc>
        <w:tc>
          <w:tcPr>
            <w:tcW w:w="2409" w:type="dxa"/>
            <w:tcBorders>
              <w:top w:val="single" w:sz="2" w:space="0" w:color="auto"/>
              <w:left w:val="single" w:sz="2" w:space="0" w:color="auto"/>
              <w:bottom w:val="single" w:sz="2" w:space="0" w:color="auto"/>
              <w:right w:val="single" w:sz="2" w:space="0" w:color="auto"/>
            </w:tcBorders>
            <w:vAlign w:val="center"/>
          </w:tcPr>
          <w:p w14:paraId="221D7A6F"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447,884,635.38</w:t>
            </w:r>
          </w:p>
        </w:tc>
        <w:tc>
          <w:tcPr>
            <w:tcW w:w="2552" w:type="dxa"/>
            <w:tcBorders>
              <w:top w:val="single" w:sz="2" w:space="0" w:color="auto"/>
              <w:left w:val="single" w:sz="2" w:space="0" w:color="auto"/>
              <w:bottom w:val="single" w:sz="2" w:space="0" w:color="auto"/>
              <w:right w:val="single" w:sz="2" w:space="0" w:color="auto"/>
            </w:tcBorders>
            <w:vAlign w:val="center"/>
          </w:tcPr>
          <w:p w14:paraId="5FEECB2A"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-735,486,538.81</w:t>
            </w:r>
          </w:p>
        </w:tc>
        <w:tc>
          <w:tcPr>
            <w:tcW w:w="1984" w:type="dxa"/>
            <w:tcBorders>
              <w:top w:val="single" w:sz="2" w:space="0" w:color="auto"/>
              <w:left w:val="single" w:sz="2" w:space="0" w:color="auto"/>
              <w:bottom w:val="single" w:sz="2" w:space="0" w:color="auto"/>
              <w:right w:val="single" w:sz="2" w:space="0" w:color="auto"/>
            </w:tcBorders>
            <w:vAlign w:val="center"/>
          </w:tcPr>
          <w:p w14:paraId="66F4F81A"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160.90%</w:t>
            </w:r>
          </w:p>
        </w:tc>
      </w:tr>
      <w:tr w:rsidR="001D26E7" w:rsidRPr="00F614F9" w14:paraId="7EB307EC" w14:textId="77777777" w:rsidTr="008B38D1">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27998A5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现金及现金等价物净增加额</w:t>
            </w:r>
          </w:p>
        </w:tc>
        <w:tc>
          <w:tcPr>
            <w:tcW w:w="2409" w:type="dxa"/>
            <w:tcBorders>
              <w:top w:val="single" w:sz="2" w:space="0" w:color="auto"/>
              <w:left w:val="single" w:sz="2" w:space="0" w:color="auto"/>
              <w:bottom w:val="single" w:sz="2" w:space="0" w:color="auto"/>
              <w:right w:val="single" w:sz="2" w:space="0" w:color="auto"/>
            </w:tcBorders>
            <w:vAlign w:val="center"/>
          </w:tcPr>
          <w:p w14:paraId="485BDE3A"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154,196,220.20</w:t>
            </w:r>
          </w:p>
        </w:tc>
        <w:tc>
          <w:tcPr>
            <w:tcW w:w="2552" w:type="dxa"/>
            <w:tcBorders>
              <w:top w:val="single" w:sz="2" w:space="0" w:color="auto"/>
              <w:left w:val="single" w:sz="2" w:space="0" w:color="auto"/>
              <w:bottom w:val="single" w:sz="2" w:space="0" w:color="auto"/>
              <w:right w:val="single" w:sz="2" w:space="0" w:color="auto"/>
            </w:tcBorders>
            <w:vAlign w:val="center"/>
          </w:tcPr>
          <w:p w14:paraId="076935A2"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-997,103,636.88</w:t>
            </w:r>
          </w:p>
        </w:tc>
        <w:tc>
          <w:tcPr>
            <w:tcW w:w="1984" w:type="dxa"/>
            <w:tcBorders>
              <w:top w:val="single" w:sz="2" w:space="0" w:color="auto"/>
              <w:left w:val="single" w:sz="2" w:space="0" w:color="auto"/>
              <w:bottom w:val="single" w:sz="2" w:space="0" w:color="auto"/>
              <w:right w:val="single" w:sz="2" w:space="0" w:color="auto"/>
            </w:tcBorders>
            <w:vAlign w:val="center"/>
          </w:tcPr>
          <w:p w14:paraId="6A3B442B" w14:textId="77777777" w:rsidR="001D26E7" w:rsidRPr="00F614F9" w:rsidRDefault="00000000" w:rsidP="008B38D1">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115.46%</w:t>
            </w:r>
          </w:p>
        </w:tc>
      </w:tr>
    </w:tbl>
    <w:p w14:paraId="3543F4ED"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相关数据同比发生重大变动的主要影响因素说明</w:t>
      </w:r>
    </w:p>
    <w:p w14:paraId="0B17FC3F"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3234AFB0" w14:textId="77777777" w:rsidR="008B38D1" w:rsidRPr="00F614F9" w:rsidRDefault="00000000" w:rsidP="008B38D1">
      <w:pPr>
        <w:spacing w:line="276" w:lineRule="auto"/>
        <w:ind w:firstLineChars="200" w:firstLine="360"/>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1</w:t>
      </w:r>
      <w:r w:rsidRPr="00F614F9">
        <w:rPr>
          <w:rFonts w:ascii="Times New Roman" w:eastAsia="宋体" w:hAnsi="Times New Roman" w:cs="Times New Roman"/>
          <w:sz w:val="18"/>
          <w:szCs w:val="18"/>
        </w:rPr>
        <w:t>、经营活动产生的现金流量净额减少</w:t>
      </w:r>
      <w:r w:rsidRPr="00F614F9">
        <w:rPr>
          <w:rFonts w:ascii="Times New Roman" w:eastAsia="宋体" w:hAnsi="Times New Roman" w:cs="Times New Roman"/>
          <w:sz w:val="18"/>
          <w:szCs w:val="18"/>
        </w:rPr>
        <w:t xml:space="preserve">1,529,820,940.85 </w:t>
      </w:r>
      <w:r w:rsidRPr="00F614F9">
        <w:rPr>
          <w:rFonts w:ascii="Times New Roman" w:eastAsia="宋体" w:hAnsi="Times New Roman" w:cs="Times New Roman"/>
          <w:sz w:val="18"/>
          <w:szCs w:val="18"/>
        </w:rPr>
        <w:t>元，减少率</w:t>
      </w:r>
      <w:r w:rsidRPr="00F614F9">
        <w:rPr>
          <w:rFonts w:ascii="Times New Roman" w:eastAsia="宋体" w:hAnsi="Times New Roman" w:cs="Times New Roman"/>
          <w:sz w:val="18"/>
          <w:szCs w:val="18"/>
        </w:rPr>
        <w:t>162.56%</w:t>
      </w:r>
      <w:r w:rsidRPr="00F614F9">
        <w:rPr>
          <w:rFonts w:ascii="Times New Roman" w:eastAsia="宋体" w:hAnsi="Times New Roman" w:cs="Times New Roman"/>
          <w:sz w:val="18"/>
          <w:szCs w:val="18"/>
        </w:rPr>
        <w:t>，主要原因系上期部分货款</w:t>
      </w:r>
      <w:proofErr w:type="gramStart"/>
      <w:r w:rsidRPr="00F614F9">
        <w:rPr>
          <w:rFonts w:ascii="Times New Roman" w:eastAsia="宋体" w:hAnsi="Times New Roman" w:cs="Times New Roman"/>
          <w:sz w:val="18"/>
          <w:szCs w:val="18"/>
        </w:rPr>
        <w:t>根据账期需</w:t>
      </w:r>
      <w:proofErr w:type="gramEnd"/>
      <w:r w:rsidRPr="00F614F9">
        <w:rPr>
          <w:rFonts w:ascii="Times New Roman" w:eastAsia="宋体" w:hAnsi="Times New Roman" w:cs="Times New Roman"/>
          <w:sz w:val="18"/>
          <w:szCs w:val="18"/>
        </w:rPr>
        <w:t>在本期支付，叠加本期毛利亏损所致。</w:t>
      </w:r>
    </w:p>
    <w:p w14:paraId="2A44D29F" w14:textId="77777777" w:rsidR="008B38D1" w:rsidRPr="00F614F9" w:rsidRDefault="00000000" w:rsidP="008B38D1">
      <w:pPr>
        <w:spacing w:line="276" w:lineRule="auto"/>
        <w:ind w:firstLineChars="200" w:firstLine="360"/>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2</w:t>
      </w:r>
      <w:r w:rsidRPr="00F614F9">
        <w:rPr>
          <w:rFonts w:ascii="Times New Roman" w:eastAsia="宋体" w:hAnsi="Times New Roman" w:cs="Times New Roman"/>
          <w:sz w:val="18"/>
          <w:szCs w:val="18"/>
        </w:rPr>
        <w:t>、投资活动产生的现金流量净额增加</w:t>
      </w:r>
      <w:r w:rsidRPr="00F614F9">
        <w:rPr>
          <w:rFonts w:ascii="Times New Roman" w:eastAsia="宋体" w:hAnsi="Times New Roman" w:cs="Times New Roman"/>
          <w:sz w:val="18"/>
          <w:szCs w:val="18"/>
        </w:rPr>
        <w:t>1,496,579,342.6</w:t>
      </w:r>
      <w:r w:rsidRPr="00F614F9">
        <w:rPr>
          <w:rFonts w:ascii="Times New Roman" w:eastAsia="宋体" w:hAnsi="Times New Roman" w:cs="Times New Roman"/>
          <w:sz w:val="18"/>
          <w:szCs w:val="18"/>
        </w:rPr>
        <w:t>元，增加率</w:t>
      </w:r>
      <w:r w:rsidRPr="00F614F9">
        <w:rPr>
          <w:rFonts w:ascii="Times New Roman" w:eastAsia="宋体" w:hAnsi="Times New Roman" w:cs="Times New Roman"/>
          <w:sz w:val="18"/>
          <w:szCs w:val="18"/>
        </w:rPr>
        <w:t>124.55%</w:t>
      </w:r>
      <w:r w:rsidRPr="00F614F9">
        <w:rPr>
          <w:rFonts w:ascii="Times New Roman" w:eastAsia="宋体" w:hAnsi="Times New Roman" w:cs="Times New Roman"/>
          <w:sz w:val="18"/>
          <w:szCs w:val="18"/>
        </w:rPr>
        <w:t>，主要原因系上期投资性活动中定期存款在本期部分收回，加之构建长期资产支付的现金有所减少所致。</w:t>
      </w:r>
    </w:p>
    <w:p w14:paraId="2D50F5E1" w14:textId="77777777" w:rsidR="00872599" w:rsidRPr="00F614F9" w:rsidRDefault="00000000" w:rsidP="008B38D1">
      <w:pPr>
        <w:spacing w:line="276" w:lineRule="auto"/>
        <w:ind w:firstLineChars="200" w:firstLine="360"/>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3</w:t>
      </w:r>
      <w:r w:rsidRPr="00F614F9">
        <w:rPr>
          <w:rFonts w:ascii="Times New Roman" w:eastAsia="宋体" w:hAnsi="Times New Roman" w:cs="Times New Roman"/>
          <w:sz w:val="18"/>
          <w:szCs w:val="18"/>
        </w:rPr>
        <w:t>、筹资活动产生的现金流量净额增加</w:t>
      </w:r>
      <w:r w:rsidRPr="00F614F9">
        <w:rPr>
          <w:rFonts w:ascii="Times New Roman" w:eastAsia="宋体" w:hAnsi="Times New Roman" w:cs="Times New Roman"/>
          <w:sz w:val="18"/>
          <w:szCs w:val="18"/>
        </w:rPr>
        <w:t>1,183,371,174.19</w:t>
      </w:r>
      <w:r w:rsidRPr="00F614F9">
        <w:rPr>
          <w:rFonts w:ascii="Times New Roman" w:eastAsia="宋体" w:hAnsi="Times New Roman" w:cs="Times New Roman"/>
          <w:sz w:val="18"/>
          <w:szCs w:val="18"/>
        </w:rPr>
        <w:t>元，增加率</w:t>
      </w:r>
      <w:r w:rsidRPr="00F614F9">
        <w:rPr>
          <w:rFonts w:ascii="Times New Roman" w:eastAsia="宋体" w:hAnsi="Times New Roman" w:cs="Times New Roman"/>
          <w:sz w:val="18"/>
          <w:szCs w:val="18"/>
        </w:rPr>
        <w:t>115.46%</w:t>
      </w:r>
      <w:r w:rsidRPr="00F614F9">
        <w:rPr>
          <w:rFonts w:ascii="Times New Roman" w:eastAsia="宋体" w:hAnsi="Times New Roman" w:cs="Times New Roman"/>
          <w:sz w:val="18"/>
          <w:szCs w:val="18"/>
        </w:rPr>
        <w:t>，主要原因系上期主动降低融资规模，而本期略有增加所致。</w:t>
      </w:r>
    </w:p>
    <w:p w14:paraId="15F58398"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报告期内公司经营活动产生的现金净流量与本年度净利润存在重大差异的原因说明</w:t>
      </w:r>
    </w:p>
    <w:p w14:paraId="06C6234E"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7A452CF1"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44" w:name="_Toc988920"/>
      <w:bookmarkStart w:id="45" w:name="_Toc164024759"/>
      <w:r w:rsidRPr="00F614F9">
        <w:rPr>
          <w:rFonts w:ascii="Times New Roman" w:eastAsia="宋体" w:hAnsi="Times New Roman" w:cs="宋体"/>
          <w:b/>
          <w:bCs/>
          <w:sz w:val="24"/>
          <w:szCs w:val="24"/>
        </w:rPr>
        <w:t>五、非主营业务分析</w:t>
      </w:r>
      <w:bookmarkEnd w:id="44"/>
      <w:bookmarkEnd w:id="45"/>
    </w:p>
    <w:p w14:paraId="4ADA0FF0"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2AA243BA"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46" w:name="_Toc988921"/>
      <w:bookmarkStart w:id="47" w:name="_Toc164024760"/>
      <w:r w:rsidRPr="00F614F9">
        <w:rPr>
          <w:rFonts w:ascii="Times New Roman" w:eastAsia="宋体" w:hAnsi="Times New Roman" w:cs="宋体"/>
          <w:b/>
          <w:bCs/>
          <w:sz w:val="24"/>
          <w:szCs w:val="24"/>
        </w:rPr>
        <w:t>六、资产及负债状况分析</w:t>
      </w:r>
      <w:bookmarkEnd w:id="46"/>
      <w:bookmarkEnd w:id="47"/>
    </w:p>
    <w:p w14:paraId="2E0D12BC" w14:textId="77777777" w:rsidR="001D26E7" w:rsidRPr="00F614F9" w:rsidRDefault="00000000">
      <w:pPr>
        <w:pStyle w:val="3"/>
        <w:spacing w:line="280" w:lineRule="exact"/>
        <w:jc w:val="left"/>
        <w:rPr>
          <w:rFonts w:ascii="Times New Roman" w:hAnsi="Times New Roman" w:cs="宋体"/>
          <w:b/>
          <w:bCs/>
        </w:rPr>
      </w:pPr>
      <w:bookmarkStart w:id="48" w:name="_Toc988922"/>
      <w:r w:rsidRPr="00F614F9">
        <w:rPr>
          <w:rFonts w:ascii="Times New Roman" w:hAnsi="Times New Roman" w:cs="宋体"/>
          <w:b/>
          <w:bCs/>
        </w:rPr>
        <w:t>1</w:t>
      </w:r>
      <w:r w:rsidRPr="00F614F9">
        <w:rPr>
          <w:rFonts w:ascii="Times New Roman" w:hAnsi="Times New Roman" w:cs="宋体"/>
          <w:b/>
          <w:bCs/>
        </w:rPr>
        <w:t>、资产构成重大变动情况</w:t>
      </w:r>
      <w:bookmarkEnd w:id="48"/>
    </w:p>
    <w:p w14:paraId="469479CF"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781"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600"/>
        <w:gridCol w:w="1418"/>
        <w:gridCol w:w="1559"/>
        <w:gridCol w:w="992"/>
        <w:gridCol w:w="1316"/>
        <w:gridCol w:w="1519"/>
      </w:tblGrid>
      <w:tr w:rsidR="001D26E7" w:rsidRPr="00F614F9" w14:paraId="4578DDA3" w14:textId="77777777" w:rsidTr="008B38D1">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911C6ED" w14:textId="77777777" w:rsidR="001D26E7" w:rsidRPr="00F614F9" w:rsidRDefault="001D26E7">
            <w:pPr>
              <w:rPr>
                <w:rFonts w:ascii="Times New Roman" w:hAnsi="Times New Roman"/>
              </w:rPr>
            </w:pPr>
          </w:p>
        </w:tc>
        <w:tc>
          <w:tcPr>
            <w:tcW w:w="301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A094BF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年末</w:t>
            </w:r>
          </w:p>
        </w:tc>
        <w:tc>
          <w:tcPr>
            <w:tcW w:w="255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1B307D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年初</w:t>
            </w:r>
          </w:p>
        </w:tc>
        <w:tc>
          <w:tcPr>
            <w:tcW w:w="131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C415C5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比重增减</w:t>
            </w:r>
          </w:p>
        </w:tc>
        <w:tc>
          <w:tcPr>
            <w:tcW w:w="151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27F374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重大变动说明</w:t>
            </w:r>
          </w:p>
        </w:tc>
      </w:tr>
      <w:tr w:rsidR="001D26E7" w:rsidRPr="00F614F9" w14:paraId="1C136549" w14:textId="77777777" w:rsidTr="008B38D1">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8DB8231" w14:textId="77777777" w:rsidR="001D26E7" w:rsidRPr="00F614F9" w:rsidRDefault="001D26E7">
            <w:pPr>
              <w:rPr>
                <w:rFonts w:ascii="Times New Roman" w:hAnsi="Times New Roman"/>
              </w:rPr>
            </w:pPr>
          </w:p>
        </w:tc>
        <w:tc>
          <w:tcPr>
            <w:tcW w:w="1600" w:type="dxa"/>
            <w:tcBorders>
              <w:top w:val="single" w:sz="2" w:space="0" w:color="auto"/>
              <w:left w:val="single" w:sz="2" w:space="0" w:color="auto"/>
              <w:bottom w:val="single" w:sz="2" w:space="0" w:color="auto"/>
              <w:right w:val="single" w:sz="2" w:space="0" w:color="auto"/>
            </w:tcBorders>
            <w:shd w:val="clear" w:color="auto" w:fill="D3D3D3"/>
            <w:vAlign w:val="center"/>
          </w:tcPr>
          <w:p w14:paraId="281E72A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3322781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占总资产比例</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4C66065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010EE8D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占总资产比例</w:t>
            </w:r>
          </w:p>
        </w:tc>
        <w:tc>
          <w:tcPr>
            <w:tcW w:w="131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4084046" w14:textId="77777777" w:rsidR="001D26E7" w:rsidRPr="00F614F9" w:rsidRDefault="001D26E7">
            <w:pPr>
              <w:rPr>
                <w:rFonts w:ascii="Times New Roman" w:hAnsi="Times New Roman"/>
              </w:rPr>
            </w:pPr>
          </w:p>
        </w:tc>
        <w:tc>
          <w:tcPr>
            <w:tcW w:w="151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B969D0A" w14:textId="77777777" w:rsidR="001D26E7" w:rsidRPr="00F614F9" w:rsidRDefault="001D26E7">
            <w:pPr>
              <w:rPr>
                <w:rFonts w:ascii="Times New Roman" w:hAnsi="Times New Roman"/>
              </w:rPr>
            </w:pPr>
          </w:p>
        </w:tc>
      </w:tr>
      <w:tr w:rsidR="001D26E7" w:rsidRPr="00F614F9" w14:paraId="28131E2F" w14:textId="77777777" w:rsidTr="008B38D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F2158D1" w14:textId="77777777" w:rsidR="001D26E7" w:rsidRPr="00F614F9" w:rsidRDefault="00000000" w:rsidP="008B38D1">
            <w:pPr>
              <w:spacing w:before="40" w:after="40" w:line="240" w:lineRule="exact"/>
              <w:jc w:val="both"/>
              <w:rPr>
                <w:rFonts w:ascii="Times New Roman" w:eastAsia="宋体" w:hAnsi="Times New Roman" w:cs="宋体"/>
                <w:sz w:val="18"/>
                <w:szCs w:val="18"/>
              </w:rPr>
            </w:pPr>
            <w:r w:rsidRPr="00F614F9">
              <w:rPr>
                <w:rFonts w:ascii="Times New Roman" w:eastAsia="宋体" w:hAnsi="Times New Roman" w:cs="宋体"/>
                <w:sz w:val="18"/>
                <w:szCs w:val="18"/>
              </w:rPr>
              <w:t>货币资金</w:t>
            </w:r>
          </w:p>
        </w:tc>
        <w:tc>
          <w:tcPr>
            <w:tcW w:w="1600" w:type="dxa"/>
            <w:tcBorders>
              <w:top w:val="single" w:sz="2" w:space="0" w:color="auto"/>
              <w:left w:val="single" w:sz="2" w:space="0" w:color="auto"/>
              <w:bottom w:val="single" w:sz="2" w:space="0" w:color="auto"/>
              <w:right w:val="single" w:sz="2" w:space="0" w:color="auto"/>
            </w:tcBorders>
            <w:vAlign w:val="center"/>
          </w:tcPr>
          <w:p w14:paraId="2D5925B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1,392,572,096.51</w:t>
            </w:r>
          </w:p>
        </w:tc>
        <w:tc>
          <w:tcPr>
            <w:tcW w:w="1418" w:type="dxa"/>
            <w:tcBorders>
              <w:top w:val="single" w:sz="2" w:space="0" w:color="auto"/>
              <w:left w:val="single" w:sz="2" w:space="0" w:color="auto"/>
              <w:bottom w:val="single" w:sz="2" w:space="0" w:color="auto"/>
              <w:right w:val="single" w:sz="2" w:space="0" w:color="auto"/>
            </w:tcBorders>
            <w:vAlign w:val="center"/>
          </w:tcPr>
          <w:p w14:paraId="5008A48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22.04%</w:t>
            </w:r>
          </w:p>
        </w:tc>
        <w:tc>
          <w:tcPr>
            <w:tcW w:w="1559" w:type="dxa"/>
            <w:tcBorders>
              <w:top w:val="single" w:sz="2" w:space="0" w:color="auto"/>
              <w:left w:val="single" w:sz="2" w:space="0" w:color="auto"/>
              <w:bottom w:val="single" w:sz="2" w:space="0" w:color="auto"/>
              <w:right w:val="single" w:sz="2" w:space="0" w:color="auto"/>
            </w:tcBorders>
            <w:vAlign w:val="center"/>
          </w:tcPr>
          <w:p w14:paraId="769C16E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1,855,921,035.70</w:t>
            </w:r>
          </w:p>
        </w:tc>
        <w:tc>
          <w:tcPr>
            <w:tcW w:w="992" w:type="dxa"/>
            <w:tcBorders>
              <w:top w:val="single" w:sz="2" w:space="0" w:color="auto"/>
              <w:left w:val="single" w:sz="2" w:space="0" w:color="auto"/>
              <w:bottom w:val="single" w:sz="2" w:space="0" w:color="auto"/>
              <w:right w:val="single" w:sz="2" w:space="0" w:color="auto"/>
            </w:tcBorders>
            <w:vAlign w:val="center"/>
          </w:tcPr>
          <w:p w14:paraId="5D2833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23.27%</w:t>
            </w:r>
          </w:p>
        </w:tc>
        <w:tc>
          <w:tcPr>
            <w:tcW w:w="1316" w:type="dxa"/>
            <w:tcBorders>
              <w:top w:val="single" w:sz="2" w:space="0" w:color="auto"/>
              <w:left w:val="single" w:sz="2" w:space="0" w:color="auto"/>
              <w:bottom w:val="single" w:sz="2" w:space="0" w:color="auto"/>
              <w:right w:val="single" w:sz="2" w:space="0" w:color="auto"/>
            </w:tcBorders>
            <w:vAlign w:val="center"/>
          </w:tcPr>
          <w:p w14:paraId="6A543D7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-1.23%</w:t>
            </w:r>
          </w:p>
        </w:tc>
        <w:tc>
          <w:tcPr>
            <w:tcW w:w="1519" w:type="dxa"/>
            <w:tcBorders>
              <w:top w:val="single" w:sz="2" w:space="0" w:color="auto"/>
              <w:left w:val="single" w:sz="2" w:space="0" w:color="auto"/>
              <w:bottom w:val="single" w:sz="2" w:space="0" w:color="auto"/>
              <w:right w:val="single" w:sz="2" w:space="0" w:color="auto"/>
            </w:tcBorders>
            <w:vAlign w:val="center"/>
          </w:tcPr>
          <w:p w14:paraId="3CC68CC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主要系本年经营亏损所致</w:t>
            </w:r>
          </w:p>
        </w:tc>
      </w:tr>
      <w:tr w:rsidR="001D26E7" w:rsidRPr="00F614F9" w14:paraId="7A9E2389" w14:textId="77777777" w:rsidTr="008B38D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079C8E5" w14:textId="77777777" w:rsidR="001D26E7" w:rsidRPr="00F614F9" w:rsidRDefault="00000000" w:rsidP="008B38D1">
            <w:pPr>
              <w:spacing w:before="40" w:after="40" w:line="240" w:lineRule="exact"/>
              <w:jc w:val="both"/>
              <w:rPr>
                <w:rFonts w:ascii="Times New Roman" w:eastAsia="宋体" w:hAnsi="Times New Roman" w:cs="宋体"/>
                <w:sz w:val="18"/>
                <w:szCs w:val="18"/>
              </w:rPr>
            </w:pPr>
            <w:r w:rsidRPr="00F614F9">
              <w:rPr>
                <w:rFonts w:ascii="Times New Roman" w:eastAsia="宋体" w:hAnsi="Times New Roman" w:cs="宋体"/>
                <w:sz w:val="18"/>
                <w:szCs w:val="18"/>
              </w:rPr>
              <w:t>应收账款</w:t>
            </w:r>
          </w:p>
        </w:tc>
        <w:tc>
          <w:tcPr>
            <w:tcW w:w="1600" w:type="dxa"/>
            <w:tcBorders>
              <w:top w:val="single" w:sz="2" w:space="0" w:color="auto"/>
              <w:left w:val="single" w:sz="2" w:space="0" w:color="auto"/>
              <w:bottom w:val="single" w:sz="2" w:space="0" w:color="auto"/>
              <w:right w:val="single" w:sz="2" w:space="0" w:color="auto"/>
            </w:tcBorders>
            <w:vAlign w:val="center"/>
          </w:tcPr>
          <w:p w14:paraId="5B1CA82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444,427,112.07</w:t>
            </w:r>
          </w:p>
        </w:tc>
        <w:tc>
          <w:tcPr>
            <w:tcW w:w="1418" w:type="dxa"/>
            <w:tcBorders>
              <w:top w:val="single" w:sz="2" w:space="0" w:color="auto"/>
              <w:left w:val="single" w:sz="2" w:space="0" w:color="auto"/>
              <w:bottom w:val="single" w:sz="2" w:space="0" w:color="auto"/>
              <w:right w:val="single" w:sz="2" w:space="0" w:color="auto"/>
            </w:tcBorders>
            <w:vAlign w:val="center"/>
          </w:tcPr>
          <w:p w14:paraId="756C758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7.03%</w:t>
            </w:r>
          </w:p>
        </w:tc>
        <w:tc>
          <w:tcPr>
            <w:tcW w:w="1559" w:type="dxa"/>
            <w:tcBorders>
              <w:top w:val="single" w:sz="2" w:space="0" w:color="auto"/>
              <w:left w:val="single" w:sz="2" w:space="0" w:color="auto"/>
              <w:bottom w:val="single" w:sz="2" w:space="0" w:color="auto"/>
              <w:right w:val="single" w:sz="2" w:space="0" w:color="auto"/>
            </w:tcBorders>
            <w:vAlign w:val="center"/>
          </w:tcPr>
          <w:p w14:paraId="5CE6982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621,530,615.03</w:t>
            </w:r>
          </w:p>
        </w:tc>
        <w:tc>
          <w:tcPr>
            <w:tcW w:w="992" w:type="dxa"/>
            <w:tcBorders>
              <w:top w:val="single" w:sz="2" w:space="0" w:color="auto"/>
              <w:left w:val="single" w:sz="2" w:space="0" w:color="auto"/>
              <w:bottom w:val="single" w:sz="2" w:space="0" w:color="auto"/>
              <w:right w:val="single" w:sz="2" w:space="0" w:color="auto"/>
            </w:tcBorders>
            <w:vAlign w:val="center"/>
          </w:tcPr>
          <w:p w14:paraId="1568332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7.79%</w:t>
            </w:r>
          </w:p>
        </w:tc>
        <w:tc>
          <w:tcPr>
            <w:tcW w:w="1316" w:type="dxa"/>
            <w:tcBorders>
              <w:top w:val="single" w:sz="2" w:space="0" w:color="auto"/>
              <w:left w:val="single" w:sz="2" w:space="0" w:color="auto"/>
              <w:bottom w:val="single" w:sz="2" w:space="0" w:color="auto"/>
              <w:right w:val="single" w:sz="2" w:space="0" w:color="auto"/>
            </w:tcBorders>
            <w:vAlign w:val="center"/>
          </w:tcPr>
          <w:p w14:paraId="597EA22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-0.76%</w:t>
            </w:r>
          </w:p>
        </w:tc>
        <w:tc>
          <w:tcPr>
            <w:tcW w:w="1519" w:type="dxa"/>
            <w:tcBorders>
              <w:top w:val="single" w:sz="2" w:space="0" w:color="auto"/>
              <w:left w:val="single" w:sz="2" w:space="0" w:color="auto"/>
              <w:bottom w:val="single" w:sz="2" w:space="0" w:color="auto"/>
              <w:right w:val="single" w:sz="2" w:space="0" w:color="auto"/>
            </w:tcBorders>
            <w:vAlign w:val="center"/>
          </w:tcPr>
          <w:p w14:paraId="6A2077B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主要系本年强化了账期管理所致</w:t>
            </w:r>
          </w:p>
        </w:tc>
      </w:tr>
      <w:tr w:rsidR="001D26E7" w:rsidRPr="00F614F9" w14:paraId="58707172" w14:textId="77777777" w:rsidTr="008B38D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FC64079" w14:textId="77777777" w:rsidR="001D26E7" w:rsidRPr="00F614F9" w:rsidRDefault="00000000" w:rsidP="008B38D1">
            <w:pPr>
              <w:spacing w:before="40" w:after="40" w:line="240" w:lineRule="exact"/>
              <w:jc w:val="both"/>
              <w:rPr>
                <w:rFonts w:ascii="Times New Roman" w:eastAsia="宋体" w:hAnsi="Times New Roman" w:cs="宋体"/>
                <w:sz w:val="18"/>
                <w:szCs w:val="18"/>
              </w:rPr>
            </w:pPr>
            <w:r w:rsidRPr="00F614F9">
              <w:rPr>
                <w:rFonts w:ascii="Times New Roman" w:eastAsia="宋体" w:hAnsi="Times New Roman" w:cs="宋体"/>
                <w:sz w:val="18"/>
                <w:szCs w:val="18"/>
              </w:rPr>
              <w:t>存货</w:t>
            </w:r>
          </w:p>
        </w:tc>
        <w:tc>
          <w:tcPr>
            <w:tcW w:w="1600" w:type="dxa"/>
            <w:tcBorders>
              <w:top w:val="single" w:sz="2" w:space="0" w:color="auto"/>
              <w:left w:val="single" w:sz="2" w:space="0" w:color="auto"/>
              <w:bottom w:val="single" w:sz="2" w:space="0" w:color="auto"/>
              <w:right w:val="single" w:sz="2" w:space="0" w:color="auto"/>
            </w:tcBorders>
            <w:vAlign w:val="center"/>
          </w:tcPr>
          <w:p w14:paraId="13A4259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991,835,506.20</w:t>
            </w:r>
          </w:p>
        </w:tc>
        <w:tc>
          <w:tcPr>
            <w:tcW w:w="1418" w:type="dxa"/>
            <w:tcBorders>
              <w:top w:val="single" w:sz="2" w:space="0" w:color="auto"/>
              <w:left w:val="single" w:sz="2" w:space="0" w:color="auto"/>
              <w:bottom w:val="single" w:sz="2" w:space="0" w:color="auto"/>
              <w:right w:val="single" w:sz="2" w:space="0" w:color="auto"/>
            </w:tcBorders>
            <w:vAlign w:val="center"/>
          </w:tcPr>
          <w:p w14:paraId="1B43F91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15.70%</w:t>
            </w:r>
          </w:p>
        </w:tc>
        <w:tc>
          <w:tcPr>
            <w:tcW w:w="1559" w:type="dxa"/>
            <w:tcBorders>
              <w:top w:val="single" w:sz="2" w:space="0" w:color="auto"/>
              <w:left w:val="single" w:sz="2" w:space="0" w:color="auto"/>
              <w:bottom w:val="single" w:sz="2" w:space="0" w:color="auto"/>
              <w:right w:val="single" w:sz="2" w:space="0" w:color="auto"/>
            </w:tcBorders>
            <w:vAlign w:val="center"/>
          </w:tcPr>
          <w:p w14:paraId="19B6AC6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1,715,516,935.36</w:t>
            </w:r>
          </w:p>
        </w:tc>
        <w:tc>
          <w:tcPr>
            <w:tcW w:w="992" w:type="dxa"/>
            <w:tcBorders>
              <w:top w:val="single" w:sz="2" w:space="0" w:color="auto"/>
              <w:left w:val="single" w:sz="2" w:space="0" w:color="auto"/>
              <w:bottom w:val="single" w:sz="2" w:space="0" w:color="auto"/>
              <w:right w:val="single" w:sz="2" w:space="0" w:color="auto"/>
            </w:tcBorders>
            <w:vAlign w:val="center"/>
          </w:tcPr>
          <w:p w14:paraId="10010A9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21.51%</w:t>
            </w:r>
          </w:p>
        </w:tc>
        <w:tc>
          <w:tcPr>
            <w:tcW w:w="1316" w:type="dxa"/>
            <w:tcBorders>
              <w:top w:val="single" w:sz="2" w:space="0" w:color="auto"/>
              <w:left w:val="single" w:sz="2" w:space="0" w:color="auto"/>
              <w:bottom w:val="single" w:sz="2" w:space="0" w:color="auto"/>
              <w:right w:val="single" w:sz="2" w:space="0" w:color="auto"/>
            </w:tcBorders>
            <w:vAlign w:val="center"/>
          </w:tcPr>
          <w:p w14:paraId="12FF2F0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-5.81%</w:t>
            </w:r>
          </w:p>
        </w:tc>
        <w:tc>
          <w:tcPr>
            <w:tcW w:w="1519" w:type="dxa"/>
            <w:tcBorders>
              <w:top w:val="single" w:sz="2" w:space="0" w:color="auto"/>
              <w:left w:val="single" w:sz="2" w:space="0" w:color="auto"/>
              <w:bottom w:val="single" w:sz="2" w:space="0" w:color="auto"/>
              <w:right w:val="single" w:sz="2" w:space="0" w:color="auto"/>
            </w:tcBorders>
            <w:vAlign w:val="center"/>
          </w:tcPr>
          <w:p w14:paraId="62BBC48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主要系年末存栏消耗性生物减少及价格下跌计提减值所致</w:t>
            </w:r>
          </w:p>
        </w:tc>
      </w:tr>
      <w:tr w:rsidR="001D26E7" w:rsidRPr="00F614F9" w14:paraId="1AC77146" w14:textId="77777777" w:rsidTr="008B38D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CBD17E6" w14:textId="77777777" w:rsidR="001D26E7" w:rsidRPr="00F614F9" w:rsidRDefault="00000000" w:rsidP="008B38D1">
            <w:pPr>
              <w:spacing w:before="40" w:after="40" w:line="240" w:lineRule="exact"/>
              <w:jc w:val="both"/>
              <w:rPr>
                <w:rFonts w:ascii="Times New Roman" w:eastAsia="宋体" w:hAnsi="Times New Roman" w:cs="宋体"/>
                <w:sz w:val="18"/>
                <w:szCs w:val="18"/>
              </w:rPr>
            </w:pPr>
            <w:r w:rsidRPr="00F614F9">
              <w:rPr>
                <w:rFonts w:ascii="Times New Roman" w:eastAsia="宋体" w:hAnsi="Times New Roman" w:cs="宋体"/>
                <w:sz w:val="18"/>
                <w:szCs w:val="18"/>
              </w:rPr>
              <w:t>固定资产</w:t>
            </w:r>
          </w:p>
        </w:tc>
        <w:tc>
          <w:tcPr>
            <w:tcW w:w="1600" w:type="dxa"/>
            <w:tcBorders>
              <w:top w:val="single" w:sz="2" w:space="0" w:color="auto"/>
              <w:left w:val="single" w:sz="2" w:space="0" w:color="auto"/>
              <w:bottom w:val="single" w:sz="2" w:space="0" w:color="auto"/>
              <w:right w:val="single" w:sz="2" w:space="0" w:color="auto"/>
            </w:tcBorders>
            <w:vAlign w:val="center"/>
          </w:tcPr>
          <w:p w14:paraId="2D4ACB9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1,692,939,156.89</w:t>
            </w:r>
          </w:p>
        </w:tc>
        <w:tc>
          <w:tcPr>
            <w:tcW w:w="1418" w:type="dxa"/>
            <w:tcBorders>
              <w:top w:val="single" w:sz="2" w:space="0" w:color="auto"/>
              <w:left w:val="single" w:sz="2" w:space="0" w:color="auto"/>
              <w:bottom w:val="single" w:sz="2" w:space="0" w:color="auto"/>
              <w:right w:val="single" w:sz="2" w:space="0" w:color="auto"/>
            </w:tcBorders>
            <w:vAlign w:val="center"/>
          </w:tcPr>
          <w:p w14:paraId="29703AA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26.80%</w:t>
            </w:r>
          </w:p>
        </w:tc>
        <w:tc>
          <w:tcPr>
            <w:tcW w:w="1559" w:type="dxa"/>
            <w:tcBorders>
              <w:top w:val="single" w:sz="2" w:space="0" w:color="auto"/>
              <w:left w:val="single" w:sz="2" w:space="0" w:color="auto"/>
              <w:bottom w:val="single" w:sz="2" w:space="0" w:color="auto"/>
              <w:right w:val="single" w:sz="2" w:space="0" w:color="auto"/>
            </w:tcBorders>
            <w:vAlign w:val="center"/>
          </w:tcPr>
          <w:p w14:paraId="51866B8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1,791,086,868.21</w:t>
            </w:r>
          </w:p>
        </w:tc>
        <w:tc>
          <w:tcPr>
            <w:tcW w:w="992" w:type="dxa"/>
            <w:tcBorders>
              <w:top w:val="single" w:sz="2" w:space="0" w:color="auto"/>
              <w:left w:val="single" w:sz="2" w:space="0" w:color="auto"/>
              <w:bottom w:val="single" w:sz="2" w:space="0" w:color="auto"/>
              <w:right w:val="single" w:sz="2" w:space="0" w:color="auto"/>
            </w:tcBorders>
            <w:vAlign w:val="center"/>
          </w:tcPr>
          <w:p w14:paraId="2CD93FD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22.45%</w:t>
            </w:r>
          </w:p>
        </w:tc>
        <w:tc>
          <w:tcPr>
            <w:tcW w:w="1316" w:type="dxa"/>
            <w:tcBorders>
              <w:top w:val="single" w:sz="2" w:space="0" w:color="auto"/>
              <w:left w:val="single" w:sz="2" w:space="0" w:color="auto"/>
              <w:bottom w:val="single" w:sz="2" w:space="0" w:color="auto"/>
              <w:right w:val="single" w:sz="2" w:space="0" w:color="auto"/>
            </w:tcBorders>
            <w:vAlign w:val="center"/>
          </w:tcPr>
          <w:p w14:paraId="2571F9D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4.35%</w:t>
            </w:r>
          </w:p>
        </w:tc>
        <w:tc>
          <w:tcPr>
            <w:tcW w:w="1519" w:type="dxa"/>
            <w:tcBorders>
              <w:top w:val="single" w:sz="2" w:space="0" w:color="auto"/>
              <w:left w:val="single" w:sz="2" w:space="0" w:color="auto"/>
              <w:bottom w:val="single" w:sz="2" w:space="0" w:color="auto"/>
              <w:right w:val="single" w:sz="2" w:space="0" w:color="auto"/>
            </w:tcBorders>
            <w:vAlign w:val="center"/>
          </w:tcPr>
          <w:p w14:paraId="208B4AF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主要系屠宰及养殖项目建设进度增加所致</w:t>
            </w:r>
          </w:p>
        </w:tc>
      </w:tr>
      <w:tr w:rsidR="001D26E7" w:rsidRPr="00F614F9" w14:paraId="2A7A3BE2" w14:textId="77777777" w:rsidTr="008B38D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0513CDB" w14:textId="77777777" w:rsidR="001D26E7" w:rsidRPr="00F614F9" w:rsidRDefault="00000000" w:rsidP="008B38D1">
            <w:pPr>
              <w:spacing w:before="40" w:after="40" w:line="240" w:lineRule="exact"/>
              <w:jc w:val="both"/>
              <w:rPr>
                <w:rFonts w:ascii="Times New Roman" w:eastAsia="宋体" w:hAnsi="Times New Roman" w:cs="宋体"/>
                <w:sz w:val="18"/>
                <w:szCs w:val="18"/>
              </w:rPr>
            </w:pPr>
            <w:r w:rsidRPr="00F614F9">
              <w:rPr>
                <w:rFonts w:ascii="Times New Roman" w:eastAsia="宋体" w:hAnsi="Times New Roman" w:cs="宋体"/>
                <w:sz w:val="18"/>
                <w:szCs w:val="18"/>
              </w:rPr>
              <w:t>在建工程</w:t>
            </w:r>
          </w:p>
        </w:tc>
        <w:tc>
          <w:tcPr>
            <w:tcW w:w="1600" w:type="dxa"/>
            <w:tcBorders>
              <w:top w:val="single" w:sz="2" w:space="0" w:color="auto"/>
              <w:left w:val="single" w:sz="2" w:space="0" w:color="auto"/>
              <w:bottom w:val="single" w:sz="2" w:space="0" w:color="auto"/>
              <w:right w:val="single" w:sz="2" w:space="0" w:color="auto"/>
            </w:tcBorders>
            <w:vAlign w:val="center"/>
          </w:tcPr>
          <w:p w14:paraId="779880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919,386,014.19</w:t>
            </w:r>
          </w:p>
        </w:tc>
        <w:tc>
          <w:tcPr>
            <w:tcW w:w="1418" w:type="dxa"/>
            <w:tcBorders>
              <w:top w:val="single" w:sz="2" w:space="0" w:color="auto"/>
              <w:left w:val="single" w:sz="2" w:space="0" w:color="auto"/>
              <w:bottom w:val="single" w:sz="2" w:space="0" w:color="auto"/>
              <w:right w:val="single" w:sz="2" w:space="0" w:color="auto"/>
            </w:tcBorders>
            <w:vAlign w:val="center"/>
          </w:tcPr>
          <w:p w14:paraId="3090A59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14.55%</w:t>
            </w:r>
          </w:p>
        </w:tc>
        <w:tc>
          <w:tcPr>
            <w:tcW w:w="1559" w:type="dxa"/>
            <w:tcBorders>
              <w:top w:val="single" w:sz="2" w:space="0" w:color="auto"/>
              <w:left w:val="single" w:sz="2" w:space="0" w:color="auto"/>
              <w:bottom w:val="single" w:sz="2" w:space="0" w:color="auto"/>
              <w:right w:val="single" w:sz="2" w:space="0" w:color="auto"/>
            </w:tcBorders>
            <w:vAlign w:val="center"/>
          </w:tcPr>
          <w:p w14:paraId="382C4E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627,981,907.00</w:t>
            </w:r>
          </w:p>
        </w:tc>
        <w:tc>
          <w:tcPr>
            <w:tcW w:w="992" w:type="dxa"/>
            <w:tcBorders>
              <w:top w:val="single" w:sz="2" w:space="0" w:color="auto"/>
              <w:left w:val="single" w:sz="2" w:space="0" w:color="auto"/>
              <w:bottom w:val="single" w:sz="2" w:space="0" w:color="auto"/>
              <w:right w:val="single" w:sz="2" w:space="0" w:color="auto"/>
            </w:tcBorders>
            <w:vAlign w:val="center"/>
          </w:tcPr>
          <w:p w14:paraId="16C749D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7.87%</w:t>
            </w:r>
          </w:p>
        </w:tc>
        <w:tc>
          <w:tcPr>
            <w:tcW w:w="1316" w:type="dxa"/>
            <w:tcBorders>
              <w:top w:val="single" w:sz="2" w:space="0" w:color="auto"/>
              <w:left w:val="single" w:sz="2" w:space="0" w:color="auto"/>
              <w:bottom w:val="single" w:sz="2" w:space="0" w:color="auto"/>
              <w:right w:val="single" w:sz="2" w:space="0" w:color="auto"/>
            </w:tcBorders>
            <w:vAlign w:val="center"/>
          </w:tcPr>
          <w:p w14:paraId="766765F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6.68%</w:t>
            </w:r>
          </w:p>
        </w:tc>
        <w:tc>
          <w:tcPr>
            <w:tcW w:w="1519" w:type="dxa"/>
            <w:tcBorders>
              <w:top w:val="single" w:sz="2" w:space="0" w:color="auto"/>
              <w:left w:val="single" w:sz="2" w:space="0" w:color="auto"/>
              <w:bottom w:val="single" w:sz="2" w:space="0" w:color="auto"/>
              <w:right w:val="single" w:sz="2" w:space="0" w:color="auto"/>
            </w:tcBorders>
            <w:vAlign w:val="center"/>
          </w:tcPr>
          <w:p w14:paraId="77C061F0"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63378805" w14:textId="77777777" w:rsidTr="008B38D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E582525" w14:textId="77777777" w:rsidR="001D26E7" w:rsidRPr="00F614F9" w:rsidRDefault="00000000" w:rsidP="008B38D1">
            <w:pPr>
              <w:spacing w:before="40" w:after="40" w:line="240" w:lineRule="exact"/>
              <w:jc w:val="both"/>
              <w:rPr>
                <w:rFonts w:ascii="Times New Roman" w:eastAsia="宋体" w:hAnsi="Times New Roman" w:cs="宋体"/>
                <w:sz w:val="18"/>
                <w:szCs w:val="18"/>
              </w:rPr>
            </w:pPr>
            <w:r w:rsidRPr="00F614F9">
              <w:rPr>
                <w:rFonts w:ascii="Times New Roman" w:eastAsia="宋体" w:hAnsi="Times New Roman" w:cs="宋体"/>
                <w:sz w:val="18"/>
                <w:szCs w:val="18"/>
              </w:rPr>
              <w:t>使用权资产</w:t>
            </w:r>
          </w:p>
        </w:tc>
        <w:tc>
          <w:tcPr>
            <w:tcW w:w="1600" w:type="dxa"/>
            <w:tcBorders>
              <w:top w:val="single" w:sz="2" w:space="0" w:color="auto"/>
              <w:left w:val="single" w:sz="2" w:space="0" w:color="auto"/>
              <w:bottom w:val="single" w:sz="2" w:space="0" w:color="auto"/>
              <w:right w:val="single" w:sz="2" w:space="0" w:color="auto"/>
            </w:tcBorders>
            <w:vAlign w:val="center"/>
          </w:tcPr>
          <w:p w14:paraId="0695C05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56,681,295.48</w:t>
            </w:r>
          </w:p>
        </w:tc>
        <w:tc>
          <w:tcPr>
            <w:tcW w:w="1418" w:type="dxa"/>
            <w:tcBorders>
              <w:top w:val="single" w:sz="2" w:space="0" w:color="auto"/>
              <w:left w:val="single" w:sz="2" w:space="0" w:color="auto"/>
              <w:bottom w:val="single" w:sz="2" w:space="0" w:color="auto"/>
              <w:right w:val="single" w:sz="2" w:space="0" w:color="auto"/>
            </w:tcBorders>
            <w:vAlign w:val="center"/>
          </w:tcPr>
          <w:p w14:paraId="3A001FB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0.90%</w:t>
            </w:r>
          </w:p>
        </w:tc>
        <w:tc>
          <w:tcPr>
            <w:tcW w:w="1559" w:type="dxa"/>
            <w:tcBorders>
              <w:top w:val="single" w:sz="2" w:space="0" w:color="auto"/>
              <w:left w:val="single" w:sz="2" w:space="0" w:color="auto"/>
              <w:bottom w:val="single" w:sz="2" w:space="0" w:color="auto"/>
              <w:right w:val="single" w:sz="2" w:space="0" w:color="auto"/>
            </w:tcBorders>
            <w:vAlign w:val="center"/>
          </w:tcPr>
          <w:p w14:paraId="31CDC17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78,359,348.60</w:t>
            </w:r>
          </w:p>
        </w:tc>
        <w:tc>
          <w:tcPr>
            <w:tcW w:w="992" w:type="dxa"/>
            <w:tcBorders>
              <w:top w:val="single" w:sz="2" w:space="0" w:color="auto"/>
              <w:left w:val="single" w:sz="2" w:space="0" w:color="auto"/>
              <w:bottom w:val="single" w:sz="2" w:space="0" w:color="auto"/>
              <w:right w:val="single" w:sz="2" w:space="0" w:color="auto"/>
            </w:tcBorders>
            <w:vAlign w:val="center"/>
          </w:tcPr>
          <w:p w14:paraId="3D82DF9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0.98%</w:t>
            </w:r>
          </w:p>
        </w:tc>
        <w:tc>
          <w:tcPr>
            <w:tcW w:w="1316" w:type="dxa"/>
            <w:tcBorders>
              <w:top w:val="single" w:sz="2" w:space="0" w:color="auto"/>
              <w:left w:val="single" w:sz="2" w:space="0" w:color="auto"/>
              <w:bottom w:val="single" w:sz="2" w:space="0" w:color="auto"/>
              <w:right w:val="single" w:sz="2" w:space="0" w:color="auto"/>
            </w:tcBorders>
            <w:vAlign w:val="center"/>
          </w:tcPr>
          <w:p w14:paraId="60C8B85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-0.08%</w:t>
            </w:r>
          </w:p>
        </w:tc>
        <w:tc>
          <w:tcPr>
            <w:tcW w:w="1519" w:type="dxa"/>
            <w:tcBorders>
              <w:top w:val="single" w:sz="2" w:space="0" w:color="auto"/>
              <w:left w:val="single" w:sz="2" w:space="0" w:color="auto"/>
              <w:bottom w:val="single" w:sz="2" w:space="0" w:color="auto"/>
              <w:right w:val="single" w:sz="2" w:space="0" w:color="auto"/>
            </w:tcBorders>
            <w:vAlign w:val="center"/>
          </w:tcPr>
          <w:p w14:paraId="0F55A214"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23EC0AA8" w14:textId="77777777" w:rsidTr="008B38D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46A0ED7" w14:textId="77777777" w:rsidR="001D26E7" w:rsidRPr="00F614F9" w:rsidRDefault="00000000" w:rsidP="008B38D1">
            <w:pPr>
              <w:spacing w:before="40" w:after="40" w:line="240" w:lineRule="exact"/>
              <w:jc w:val="both"/>
              <w:rPr>
                <w:rFonts w:ascii="Times New Roman" w:eastAsia="宋体" w:hAnsi="Times New Roman" w:cs="宋体"/>
                <w:sz w:val="18"/>
                <w:szCs w:val="18"/>
              </w:rPr>
            </w:pPr>
            <w:r w:rsidRPr="00F614F9">
              <w:rPr>
                <w:rFonts w:ascii="Times New Roman" w:eastAsia="宋体" w:hAnsi="Times New Roman" w:cs="宋体"/>
                <w:sz w:val="18"/>
                <w:szCs w:val="18"/>
              </w:rPr>
              <w:t>短期借款</w:t>
            </w:r>
          </w:p>
        </w:tc>
        <w:tc>
          <w:tcPr>
            <w:tcW w:w="1600" w:type="dxa"/>
            <w:tcBorders>
              <w:top w:val="single" w:sz="2" w:space="0" w:color="auto"/>
              <w:left w:val="single" w:sz="2" w:space="0" w:color="auto"/>
              <w:bottom w:val="single" w:sz="2" w:space="0" w:color="auto"/>
              <w:right w:val="single" w:sz="2" w:space="0" w:color="auto"/>
            </w:tcBorders>
            <w:vAlign w:val="center"/>
          </w:tcPr>
          <w:p w14:paraId="53C844F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1,854,767,478.71</w:t>
            </w:r>
          </w:p>
        </w:tc>
        <w:tc>
          <w:tcPr>
            <w:tcW w:w="1418" w:type="dxa"/>
            <w:tcBorders>
              <w:top w:val="single" w:sz="2" w:space="0" w:color="auto"/>
              <w:left w:val="single" w:sz="2" w:space="0" w:color="auto"/>
              <w:bottom w:val="single" w:sz="2" w:space="0" w:color="auto"/>
              <w:right w:val="single" w:sz="2" w:space="0" w:color="auto"/>
            </w:tcBorders>
            <w:vAlign w:val="center"/>
          </w:tcPr>
          <w:p w14:paraId="4509AE8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29.36%</w:t>
            </w:r>
          </w:p>
        </w:tc>
        <w:tc>
          <w:tcPr>
            <w:tcW w:w="1559" w:type="dxa"/>
            <w:tcBorders>
              <w:top w:val="single" w:sz="2" w:space="0" w:color="auto"/>
              <w:left w:val="single" w:sz="2" w:space="0" w:color="auto"/>
              <w:bottom w:val="single" w:sz="2" w:space="0" w:color="auto"/>
              <w:right w:val="single" w:sz="2" w:space="0" w:color="auto"/>
            </w:tcBorders>
            <w:vAlign w:val="center"/>
          </w:tcPr>
          <w:p w14:paraId="1F79A79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1,514,670,257.81</w:t>
            </w:r>
          </w:p>
        </w:tc>
        <w:tc>
          <w:tcPr>
            <w:tcW w:w="992" w:type="dxa"/>
            <w:tcBorders>
              <w:top w:val="single" w:sz="2" w:space="0" w:color="auto"/>
              <w:left w:val="single" w:sz="2" w:space="0" w:color="auto"/>
              <w:bottom w:val="single" w:sz="2" w:space="0" w:color="auto"/>
              <w:right w:val="single" w:sz="2" w:space="0" w:color="auto"/>
            </w:tcBorders>
            <w:vAlign w:val="center"/>
          </w:tcPr>
          <w:p w14:paraId="191E51C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18.99%</w:t>
            </w:r>
          </w:p>
        </w:tc>
        <w:tc>
          <w:tcPr>
            <w:tcW w:w="1316" w:type="dxa"/>
            <w:tcBorders>
              <w:top w:val="single" w:sz="2" w:space="0" w:color="auto"/>
              <w:left w:val="single" w:sz="2" w:space="0" w:color="auto"/>
              <w:bottom w:val="single" w:sz="2" w:space="0" w:color="auto"/>
              <w:right w:val="single" w:sz="2" w:space="0" w:color="auto"/>
            </w:tcBorders>
            <w:vAlign w:val="center"/>
          </w:tcPr>
          <w:p w14:paraId="3B34DD1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10.37%</w:t>
            </w:r>
          </w:p>
        </w:tc>
        <w:tc>
          <w:tcPr>
            <w:tcW w:w="1519" w:type="dxa"/>
            <w:tcBorders>
              <w:top w:val="single" w:sz="2" w:space="0" w:color="auto"/>
              <w:left w:val="single" w:sz="2" w:space="0" w:color="auto"/>
              <w:bottom w:val="single" w:sz="2" w:space="0" w:color="auto"/>
              <w:right w:val="single" w:sz="2" w:space="0" w:color="auto"/>
            </w:tcBorders>
            <w:vAlign w:val="center"/>
          </w:tcPr>
          <w:p w14:paraId="7611CCD5"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408F0ED8" w14:textId="77777777" w:rsidTr="008B38D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1618B80" w14:textId="77777777" w:rsidR="001D26E7" w:rsidRPr="00F614F9" w:rsidRDefault="00000000" w:rsidP="008B38D1">
            <w:pPr>
              <w:spacing w:before="40" w:after="40" w:line="240" w:lineRule="exact"/>
              <w:jc w:val="both"/>
              <w:rPr>
                <w:rFonts w:ascii="Times New Roman" w:eastAsia="宋体" w:hAnsi="Times New Roman" w:cs="宋体"/>
                <w:sz w:val="18"/>
                <w:szCs w:val="18"/>
              </w:rPr>
            </w:pPr>
            <w:r w:rsidRPr="00F614F9">
              <w:rPr>
                <w:rFonts w:ascii="Times New Roman" w:eastAsia="宋体" w:hAnsi="Times New Roman" w:cs="宋体"/>
                <w:sz w:val="18"/>
                <w:szCs w:val="18"/>
              </w:rPr>
              <w:t>合同负债</w:t>
            </w:r>
          </w:p>
        </w:tc>
        <w:tc>
          <w:tcPr>
            <w:tcW w:w="1600" w:type="dxa"/>
            <w:tcBorders>
              <w:top w:val="single" w:sz="2" w:space="0" w:color="auto"/>
              <w:left w:val="single" w:sz="2" w:space="0" w:color="auto"/>
              <w:bottom w:val="single" w:sz="2" w:space="0" w:color="auto"/>
              <w:right w:val="single" w:sz="2" w:space="0" w:color="auto"/>
            </w:tcBorders>
            <w:vAlign w:val="center"/>
          </w:tcPr>
          <w:p w14:paraId="0631776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134,486,391.06</w:t>
            </w:r>
          </w:p>
        </w:tc>
        <w:tc>
          <w:tcPr>
            <w:tcW w:w="1418" w:type="dxa"/>
            <w:tcBorders>
              <w:top w:val="single" w:sz="2" w:space="0" w:color="auto"/>
              <w:left w:val="single" w:sz="2" w:space="0" w:color="auto"/>
              <w:bottom w:val="single" w:sz="2" w:space="0" w:color="auto"/>
              <w:right w:val="single" w:sz="2" w:space="0" w:color="auto"/>
            </w:tcBorders>
            <w:vAlign w:val="center"/>
          </w:tcPr>
          <w:p w14:paraId="32BDA1D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2.13%</w:t>
            </w:r>
          </w:p>
        </w:tc>
        <w:tc>
          <w:tcPr>
            <w:tcW w:w="1559" w:type="dxa"/>
            <w:tcBorders>
              <w:top w:val="single" w:sz="2" w:space="0" w:color="auto"/>
              <w:left w:val="single" w:sz="2" w:space="0" w:color="auto"/>
              <w:bottom w:val="single" w:sz="2" w:space="0" w:color="auto"/>
              <w:right w:val="single" w:sz="2" w:space="0" w:color="auto"/>
            </w:tcBorders>
            <w:vAlign w:val="center"/>
          </w:tcPr>
          <w:p w14:paraId="2FF5F07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185,629,725.61</w:t>
            </w:r>
          </w:p>
        </w:tc>
        <w:tc>
          <w:tcPr>
            <w:tcW w:w="992" w:type="dxa"/>
            <w:tcBorders>
              <w:top w:val="single" w:sz="2" w:space="0" w:color="auto"/>
              <w:left w:val="single" w:sz="2" w:space="0" w:color="auto"/>
              <w:bottom w:val="single" w:sz="2" w:space="0" w:color="auto"/>
              <w:right w:val="single" w:sz="2" w:space="0" w:color="auto"/>
            </w:tcBorders>
            <w:vAlign w:val="center"/>
          </w:tcPr>
          <w:p w14:paraId="09171D1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2.33%</w:t>
            </w:r>
          </w:p>
        </w:tc>
        <w:tc>
          <w:tcPr>
            <w:tcW w:w="1316" w:type="dxa"/>
            <w:tcBorders>
              <w:top w:val="single" w:sz="2" w:space="0" w:color="auto"/>
              <w:left w:val="single" w:sz="2" w:space="0" w:color="auto"/>
              <w:bottom w:val="single" w:sz="2" w:space="0" w:color="auto"/>
              <w:right w:val="single" w:sz="2" w:space="0" w:color="auto"/>
            </w:tcBorders>
            <w:vAlign w:val="center"/>
          </w:tcPr>
          <w:p w14:paraId="56C49C2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-0.20%</w:t>
            </w:r>
          </w:p>
        </w:tc>
        <w:tc>
          <w:tcPr>
            <w:tcW w:w="1519" w:type="dxa"/>
            <w:tcBorders>
              <w:top w:val="single" w:sz="2" w:space="0" w:color="auto"/>
              <w:left w:val="single" w:sz="2" w:space="0" w:color="auto"/>
              <w:bottom w:val="single" w:sz="2" w:space="0" w:color="auto"/>
              <w:right w:val="single" w:sz="2" w:space="0" w:color="auto"/>
            </w:tcBorders>
            <w:vAlign w:val="center"/>
          </w:tcPr>
          <w:p w14:paraId="4FA6797A"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41797139" w14:textId="77777777" w:rsidTr="008B38D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B393FEC" w14:textId="77777777" w:rsidR="001D26E7" w:rsidRPr="00F614F9" w:rsidRDefault="00000000" w:rsidP="008B38D1">
            <w:pPr>
              <w:spacing w:before="40" w:after="40" w:line="240" w:lineRule="exact"/>
              <w:jc w:val="both"/>
              <w:rPr>
                <w:rFonts w:ascii="Times New Roman" w:eastAsia="宋体" w:hAnsi="Times New Roman" w:cs="宋体"/>
                <w:sz w:val="18"/>
                <w:szCs w:val="18"/>
              </w:rPr>
            </w:pPr>
            <w:r w:rsidRPr="00F614F9">
              <w:rPr>
                <w:rFonts w:ascii="Times New Roman" w:eastAsia="宋体" w:hAnsi="Times New Roman" w:cs="宋体"/>
                <w:sz w:val="18"/>
                <w:szCs w:val="18"/>
              </w:rPr>
              <w:t>长期借款</w:t>
            </w:r>
          </w:p>
        </w:tc>
        <w:tc>
          <w:tcPr>
            <w:tcW w:w="1600" w:type="dxa"/>
            <w:tcBorders>
              <w:top w:val="single" w:sz="2" w:space="0" w:color="auto"/>
              <w:left w:val="single" w:sz="2" w:space="0" w:color="auto"/>
              <w:bottom w:val="single" w:sz="2" w:space="0" w:color="auto"/>
              <w:right w:val="single" w:sz="2" w:space="0" w:color="auto"/>
            </w:tcBorders>
            <w:vAlign w:val="center"/>
          </w:tcPr>
          <w:p w14:paraId="6E56173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326,202,925.48</w:t>
            </w:r>
          </w:p>
        </w:tc>
        <w:tc>
          <w:tcPr>
            <w:tcW w:w="1418" w:type="dxa"/>
            <w:tcBorders>
              <w:top w:val="single" w:sz="2" w:space="0" w:color="auto"/>
              <w:left w:val="single" w:sz="2" w:space="0" w:color="auto"/>
              <w:bottom w:val="single" w:sz="2" w:space="0" w:color="auto"/>
              <w:right w:val="single" w:sz="2" w:space="0" w:color="auto"/>
            </w:tcBorders>
            <w:vAlign w:val="center"/>
          </w:tcPr>
          <w:p w14:paraId="77C4F0E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5.16%</w:t>
            </w:r>
          </w:p>
        </w:tc>
        <w:tc>
          <w:tcPr>
            <w:tcW w:w="1559" w:type="dxa"/>
            <w:tcBorders>
              <w:top w:val="single" w:sz="2" w:space="0" w:color="auto"/>
              <w:left w:val="single" w:sz="2" w:space="0" w:color="auto"/>
              <w:bottom w:val="single" w:sz="2" w:space="0" w:color="auto"/>
              <w:right w:val="single" w:sz="2" w:space="0" w:color="auto"/>
            </w:tcBorders>
            <w:vAlign w:val="center"/>
          </w:tcPr>
          <w:p w14:paraId="595A544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157,500,000.00</w:t>
            </w:r>
          </w:p>
        </w:tc>
        <w:tc>
          <w:tcPr>
            <w:tcW w:w="992" w:type="dxa"/>
            <w:tcBorders>
              <w:top w:val="single" w:sz="2" w:space="0" w:color="auto"/>
              <w:left w:val="single" w:sz="2" w:space="0" w:color="auto"/>
              <w:bottom w:val="single" w:sz="2" w:space="0" w:color="auto"/>
              <w:right w:val="single" w:sz="2" w:space="0" w:color="auto"/>
            </w:tcBorders>
            <w:vAlign w:val="center"/>
          </w:tcPr>
          <w:p w14:paraId="79605F4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1.97%</w:t>
            </w:r>
          </w:p>
        </w:tc>
        <w:tc>
          <w:tcPr>
            <w:tcW w:w="1316" w:type="dxa"/>
            <w:tcBorders>
              <w:top w:val="single" w:sz="2" w:space="0" w:color="auto"/>
              <w:left w:val="single" w:sz="2" w:space="0" w:color="auto"/>
              <w:bottom w:val="single" w:sz="2" w:space="0" w:color="auto"/>
              <w:right w:val="single" w:sz="2" w:space="0" w:color="auto"/>
            </w:tcBorders>
            <w:vAlign w:val="center"/>
          </w:tcPr>
          <w:p w14:paraId="013493D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3.19%</w:t>
            </w:r>
          </w:p>
        </w:tc>
        <w:tc>
          <w:tcPr>
            <w:tcW w:w="1519" w:type="dxa"/>
            <w:tcBorders>
              <w:top w:val="single" w:sz="2" w:space="0" w:color="auto"/>
              <w:left w:val="single" w:sz="2" w:space="0" w:color="auto"/>
              <w:bottom w:val="single" w:sz="2" w:space="0" w:color="auto"/>
              <w:right w:val="single" w:sz="2" w:space="0" w:color="auto"/>
            </w:tcBorders>
            <w:vAlign w:val="center"/>
          </w:tcPr>
          <w:p w14:paraId="59197A6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主要系增加长期项目建设贷款所致</w:t>
            </w:r>
          </w:p>
        </w:tc>
      </w:tr>
      <w:tr w:rsidR="001D26E7" w:rsidRPr="00F614F9" w14:paraId="7648F7DC" w14:textId="77777777" w:rsidTr="008B38D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AF978A9" w14:textId="77777777" w:rsidR="001D26E7" w:rsidRPr="00F614F9" w:rsidRDefault="00000000" w:rsidP="008B38D1">
            <w:pPr>
              <w:spacing w:before="40" w:after="40" w:line="240" w:lineRule="exact"/>
              <w:jc w:val="both"/>
              <w:rPr>
                <w:rFonts w:ascii="Times New Roman" w:eastAsia="宋体" w:hAnsi="Times New Roman" w:cs="宋体"/>
                <w:sz w:val="18"/>
                <w:szCs w:val="18"/>
              </w:rPr>
            </w:pPr>
            <w:r w:rsidRPr="00F614F9">
              <w:rPr>
                <w:rFonts w:ascii="Times New Roman" w:eastAsia="宋体" w:hAnsi="Times New Roman" w:cs="宋体"/>
                <w:sz w:val="18"/>
                <w:szCs w:val="18"/>
              </w:rPr>
              <w:t>租赁负债</w:t>
            </w:r>
          </w:p>
        </w:tc>
        <w:tc>
          <w:tcPr>
            <w:tcW w:w="1600" w:type="dxa"/>
            <w:tcBorders>
              <w:top w:val="single" w:sz="2" w:space="0" w:color="auto"/>
              <w:left w:val="single" w:sz="2" w:space="0" w:color="auto"/>
              <w:bottom w:val="single" w:sz="2" w:space="0" w:color="auto"/>
              <w:right w:val="single" w:sz="2" w:space="0" w:color="auto"/>
            </w:tcBorders>
            <w:vAlign w:val="center"/>
          </w:tcPr>
          <w:p w14:paraId="7F96ED3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45,196,076.45</w:t>
            </w:r>
          </w:p>
        </w:tc>
        <w:tc>
          <w:tcPr>
            <w:tcW w:w="1418" w:type="dxa"/>
            <w:tcBorders>
              <w:top w:val="single" w:sz="2" w:space="0" w:color="auto"/>
              <w:left w:val="single" w:sz="2" w:space="0" w:color="auto"/>
              <w:bottom w:val="single" w:sz="2" w:space="0" w:color="auto"/>
              <w:right w:val="single" w:sz="2" w:space="0" w:color="auto"/>
            </w:tcBorders>
            <w:vAlign w:val="center"/>
          </w:tcPr>
          <w:p w14:paraId="5C185B7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0.72%</w:t>
            </w:r>
          </w:p>
        </w:tc>
        <w:tc>
          <w:tcPr>
            <w:tcW w:w="1559" w:type="dxa"/>
            <w:tcBorders>
              <w:top w:val="single" w:sz="2" w:space="0" w:color="auto"/>
              <w:left w:val="single" w:sz="2" w:space="0" w:color="auto"/>
              <w:bottom w:val="single" w:sz="2" w:space="0" w:color="auto"/>
              <w:right w:val="single" w:sz="2" w:space="0" w:color="auto"/>
            </w:tcBorders>
            <w:vAlign w:val="center"/>
          </w:tcPr>
          <w:p w14:paraId="2D7A768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58,075,383.36</w:t>
            </w:r>
          </w:p>
        </w:tc>
        <w:tc>
          <w:tcPr>
            <w:tcW w:w="992" w:type="dxa"/>
            <w:tcBorders>
              <w:top w:val="single" w:sz="2" w:space="0" w:color="auto"/>
              <w:left w:val="single" w:sz="2" w:space="0" w:color="auto"/>
              <w:bottom w:val="single" w:sz="2" w:space="0" w:color="auto"/>
              <w:right w:val="single" w:sz="2" w:space="0" w:color="auto"/>
            </w:tcBorders>
            <w:vAlign w:val="center"/>
          </w:tcPr>
          <w:p w14:paraId="4E228B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0.73%</w:t>
            </w:r>
          </w:p>
        </w:tc>
        <w:tc>
          <w:tcPr>
            <w:tcW w:w="1316" w:type="dxa"/>
            <w:tcBorders>
              <w:top w:val="single" w:sz="2" w:space="0" w:color="auto"/>
              <w:left w:val="single" w:sz="2" w:space="0" w:color="auto"/>
              <w:bottom w:val="single" w:sz="2" w:space="0" w:color="auto"/>
              <w:right w:val="single" w:sz="2" w:space="0" w:color="auto"/>
            </w:tcBorders>
            <w:vAlign w:val="center"/>
          </w:tcPr>
          <w:p w14:paraId="1E5A71D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-0.01%</w:t>
            </w:r>
          </w:p>
        </w:tc>
        <w:tc>
          <w:tcPr>
            <w:tcW w:w="1519" w:type="dxa"/>
            <w:tcBorders>
              <w:top w:val="single" w:sz="2" w:space="0" w:color="auto"/>
              <w:left w:val="single" w:sz="2" w:space="0" w:color="auto"/>
              <w:bottom w:val="single" w:sz="2" w:space="0" w:color="auto"/>
              <w:right w:val="single" w:sz="2" w:space="0" w:color="auto"/>
            </w:tcBorders>
            <w:vAlign w:val="center"/>
          </w:tcPr>
          <w:p w14:paraId="0ECD552A" w14:textId="77777777" w:rsidR="001D26E7" w:rsidRPr="00F614F9" w:rsidRDefault="001D26E7">
            <w:pPr>
              <w:spacing w:line="240" w:lineRule="exact"/>
              <w:rPr>
                <w:rFonts w:ascii="Times New Roman" w:eastAsia="宋体" w:hAnsi="Times New Roman" w:cs="宋体"/>
                <w:sz w:val="18"/>
                <w:szCs w:val="18"/>
              </w:rPr>
            </w:pPr>
          </w:p>
        </w:tc>
      </w:tr>
    </w:tbl>
    <w:p w14:paraId="68599753"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境外资产</w:t>
      </w:r>
      <w:proofErr w:type="gramStart"/>
      <w:r w:rsidRPr="00F614F9">
        <w:rPr>
          <w:rFonts w:ascii="Times New Roman" w:eastAsia="宋体" w:hAnsi="Times New Roman" w:cs="宋体"/>
          <w:sz w:val="18"/>
          <w:szCs w:val="18"/>
        </w:rPr>
        <w:t>占比较</w:t>
      </w:r>
      <w:proofErr w:type="gramEnd"/>
      <w:r w:rsidRPr="00F614F9">
        <w:rPr>
          <w:rFonts w:ascii="Times New Roman" w:eastAsia="宋体" w:hAnsi="Times New Roman" w:cs="宋体"/>
          <w:sz w:val="18"/>
          <w:szCs w:val="18"/>
        </w:rPr>
        <w:t>高</w:t>
      </w:r>
    </w:p>
    <w:p w14:paraId="500F3447"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lastRenderedPageBreak/>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72555B8F" w14:textId="77777777" w:rsidR="001D26E7" w:rsidRPr="00F614F9" w:rsidRDefault="00000000">
      <w:pPr>
        <w:pStyle w:val="3"/>
        <w:spacing w:line="280" w:lineRule="exact"/>
        <w:jc w:val="left"/>
        <w:rPr>
          <w:rFonts w:ascii="Times New Roman" w:hAnsi="Times New Roman" w:cs="宋体"/>
          <w:b/>
          <w:bCs/>
        </w:rPr>
      </w:pPr>
      <w:bookmarkStart w:id="49" w:name="_Toc988923"/>
      <w:r w:rsidRPr="00F614F9">
        <w:rPr>
          <w:rFonts w:ascii="Times New Roman" w:hAnsi="Times New Roman" w:cs="宋体"/>
          <w:b/>
          <w:bCs/>
        </w:rPr>
        <w:t>2</w:t>
      </w:r>
      <w:r w:rsidRPr="00F614F9">
        <w:rPr>
          <w:rFonts w:ascii="Times New Roman" w:hAnsi="Times New Roman" w:cs="宋体"/>
          <w:b/>
          <w:bCs/>
        </w:rPr>
        <w:t>、以公允价值计量的资产和负债</w:t>
      </w:r>
      <w:bookmarkEnd w:id="49"/>
    </w:p>
    <w:p w14:paraId="4FA68000"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41894E00"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1D26E7" w:rsidRPr="00F614F9" w14:paraId="68199055"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B82333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CF376F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32774C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本期公允价值变动损益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BB73BE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计入权益的累计公允价值变动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F82B9D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本期计提的减值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51FFCD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本期购买金额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733A37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本期出售金额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313D50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ADFD5C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期末数</w:t>
            </w:r>
          </w:p>
        </w:tc>
      </w:tr>
      <w:tr w:rsidR="001D26E7" w:rsidRPr="00F614F9" w14:paraId="4DA0B56B" w14:textId="77777777">
        <w:trPr>
          <w:trHeight w:val="240"/>
        </w:trPr>
        <w:tc>
          <w:tcPr>
            <w:tcW w:w="9639"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14:paraId="37C2F79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金融资产</w:t>
            </w:r>
          </w:p>
        </w:tc>
      </w:tr>
      <w:tr w:rsidR="001D26E7" w:rsidRPr="00F614F9" w14:paraId="32070C55"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95C9CB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交易性金融资产（不含衍生金融资产）</w:t>
            </w:r>
          </w:p>
        </w:tc>
        <w:tc>
          <w:tcPr>
            <w:tcW w:w="1071" w:type="dxa"/>
            <w:tcBorders>
              <w:top w:val="single" w:sz="2" w:space="0" w:color="auto"/>
              <w:left w:val="single" w:sz="2" w:space="0" w:color="auto"/>
              <w:bottom w:val="single" w:sz="2" w:space="0" w:color="auto"/>
              <w:right w:val="single" w:sz="2" w:space="0" w:color="auto"/>
            </w:tcBorders>
            <w:vAlign w:val="center"/>
          </w:tcPr>
          <w:p w14:paraId="60F5FAD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57A3FCF1"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92B7B4C"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425F2F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5EE6DE32"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9E716A7"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15CF37D"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5F5CEB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05FD7DF6"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370DCE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其他权益工具投资</w:t>
            </w:r>
          </w:p>
        </w:tc>
        <w:tc>
          <w:tcPr>
            <w:tcW w:w="1071" w:type="dxa"/>
            <w:tcBorders>
              <w:top w:val="single" w:sz="2" w:space="0" w:color="auto"/>
              <w:left w:val="single" w:sz="2" w:space="0" w:color="auto"/>
              <w:bottom w:val="single" w:sz="2" w:space="0" w:color="auto"/>
              <w:right w:val="single" w:sz="2" w:space="0" w:color="auto"/>
            </w:tcBorders>
            <w:vAlign w:val="center"/>
          </w:tcPr>
          <w:p w14:paraId="2BD7D42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1071" w:type="dxa"/>
            <w:tcBorders>
              <w:top w:val="single" w:sz="2" w:space="0" w:color="auto"/>
              <w:left w:val="single" w:sz="2" w:space="0" w:color="auto"/>
              <w:bottom w:val="single" w:sz="2" w:space="0" w:color="auto"/>
              <w:right w:val="single" w:sz="2" w:space="0" w:color="auto"/>
            </w:tcBorders>
            <w:vAlign w:val="center"/>
          </w:tcPr>
          <w:p w14:paraId="11F2992A"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2EA8E31"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B5DAE8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1071" w:type="dxa"/>
            <w:tcBorders>
              <w:top w:val="single" w:sz="2" w:space="0" w:color="auto"/>
              <w:left w:val="single" w:sz="2" w:space="0" w:color="auto"/>
              <w:bottom w:val="single" w:sz="2" w:space="0" w:color="auto"/>
              <w:right w:val="single" w:sz="2" w:space="0" w:color="auto"/>
            </w:tcBorders>
            <w:vAlign w:val="center"/>
          </w:tcPr>
          <w:p w14:paraId="73FDBB92"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811CF44"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E494E08"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D4332B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068EF9E6"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8D5F3E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上述合计</w:t>
            </w:r>
          </w:p>
        </w:tc>
        <w:tc>
          <w:tcPr>
            <w:tcW w:w="1071" w:type="dxa"/>
            <w:tcBorders>
              <w:top w:val="single" w:sz="2" w:space="0" w:color="auto"/>
              <w:left w:val="single" w:sz="2" w:space="0" w:color="auto"/>
              <w:bottom w:val="single" w:sz="2" w:space="0" w:color="auto"/>
              <w:right w:val="single" w:sz="2" w:space="0" w:color="auto"/>
            </w:tcBorders>
            <w:vAlign w:val="center"/>
          </w:tcPr>
          <w:p w14:paraId="72FB8F5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1071" w:type="dxa"/>
            <w:tcBorders>
              <w:top w:val="single" w:sz="2" w:space="0" w:color="auto"/>
              <w:left w:val="single" w:sz="2" w:space="0" w:color="auto"/>
              <w:bottom w:val="single" w:sz="2" w:space="0" w:color="auto"/>
              <w:right w:val="single" w:sz="2" w:space="0" w:color="auto"/>
            </w:tcBorders>
            <w:vAlign w:val="center"/>
          </w:tcPr>
          <w:p w14:paraId="37B7821B"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6071CF4"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9EE79A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1071" w:type="dxa"/>
            <w:tcBorders>
              <w:top w:val="single" w:sz="2" w:space="0" w:color="auto"/>
              <w:left w:val="single" w:sz="2" w:space="0" w:color="auto"/>
              <w:bottom w:val="single" w:sz="2" w:space="0" w:color="auto"/>
              <w:right w:val="single" w:sz="2" w:space="0" w:color="auto"/>
            </w:tcBorders>
            <w:vAlign w:val="center"/>
          </w:tcPr>
          <w:p w14:paraId="3CBD1025"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C21428B"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302A5F0"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7A4C10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531F1EDE"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615AED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金融负债</w:t>
            </w:r>
          </w:p>
        </w:tc>
        <w:tc>
          <w:tcPr>
            <w:tcW w:w="1071" w:type="dxa"/>
            <w:tcBorders>
              <w:top w:val="single" w:sz="2" w:space="0" w:color="auto"/>
              <w:left w:val="single" w:sz="2" w:space="0" w:color="auto"/>
              <w:bottom w:val="single" w:sz="2" w:space="0" w:color="auto"/>
              <w:right w:val="single" w:sz="2" w:space="0" w:color="auto"/>
            </w:tcBorders>
            <w:vAlign w:val="center"/>
          </w:tcPr>
          <w:p w14:paraId="78E24AF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1C630182"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D3DA3FB"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0C8A029"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BB525C8"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F7717D0"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6D95C34"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BB3285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bl>
    <w:p w14:paraId="6BF00A54"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其他变动的内容</w:t>
      </w:r>
    </w:p>
    <w:p w14:paraId="72C936FE" w14:textId="77777777" w:rsidR="00872599" w:rsidRPr="00F614F9" w:rsidRDefault="00000000">
      <w:pPr>
        <w:pStyle w:val="a3"/>
        <w:divId w:val="896353593"/>
        <w:rPr>
          <w:rFonts w:ascii="Times New Roman" w:hAnsi="Times New Roman"/>
          <w:sz w:val="18"/>
          <w:szCs w:val="18"/>
        </w:rPr>
      </w:pPr>
      <w:r w:rsidRPr="00F614F9">
        <w:rPr>
          <w:rFonts w:ascii="Times New Roman" w:hAnsi="Times New Roman" w:hint="eastAsia"/>
          <w:sz w:val="18"/>
          <w:szCs w:val="18"/>
        </w:rPr>
        <w:t>无</w:t>
      </w:r>
    </w:p>
    <w:p w14:paraId="2C4F9F7E"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报告期内公司主要资产计量属性是否发生重大变化</w:t>
      </w:r>
    </w:p>
    <w:p w14:paraId="05A669F0"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否</w:t>
      </w:r>
    </w:p>
    <w:p w14:paraId="5C3AC266" w14:textId="77777777" w:rsidR="001D26E7" w:rsidRPr="00F614F9" w:rsidRDefault="00000000">
      <w:pPr>
        <w:pStyle w:val="3"/>
        <w:spacing w:line="280" w:lineRule="exact"/>
        <w:jc w:val="left"/>
        <w:rPr>
          <w:rFonts w:ascii="Times New Roman" w:hAnsi="Times New Roman" w:cs="宋体"/>
          <w:b/>
          <w:bCs/>
        </w:rPr>
      </w:pPr>
      <w:bookmarkStart w:id="50" w:name="_Toc988924"/>
      <w:r w:rsidRPr="00F614F9">
        <w:rPr>
          <w:rFonts w:ascii="Times New Roman" w:hAnsi="Times New Roman" w:cs="宋体"/>
          <w:b/>
          <w:bCs/>
        </w:rPr>
        <w:t>3</w:t>
      </w:r>
      <w:r w:rsidRPr="00F614F9">
        <w:rPr>
          <w:rFonts w:ascii="Times New Roman" w:hAnsi="Times New Roman" w:cs="宋体"/>
          <w:b/>
          <w:bCs/>
        </w:rPr>
        <w:t>、截至报告期末的资产权利受限情况</w:t>
      </w:r>
      <w:bookmarkEnd w:id="50"/>
    </w:p>
    <w:p w14:paraId="5540B552" w14:textId="77777777" w:rsidR="00872599" w:rsidRPr="00F614F9" w:rsidRDefault="00000000" w:rsidP="008B38D1">
      <w:pPr>
        <w:spacing w:line="276" w:lineRule="auto"/>
        <w:ind w:firstLineChars="200" w:firstLine="360"/>
        <w:rPr>
          <w:rFonts w:ascii="Times New Roman" w:eastAsia="宋体" w:hAnsi="Times New Roman" w:cs="Times New Roman"/>
          <w:sz w:val="18"/>
          <w:szCs w:val="18"/>
        </w:rPr>
      </w:pPr>
      <w:r w:rsidRPr="00F614F9">
        <w:rPr>
          <w:rFonts w:ascii="Times New Roman" w:eastAsia="宋体" w:hAnsi="Times New Roman" w:cs="Times New Roman"/>
          <w:sz w:val="18"/>
          <w:szCs w:val="18"/>
        </w:rPr>
        <w:t>货币资金承兑汇票保证定金及定期存单</w:t>
      </w:r>
      <w:r w:rsidRPr="00F614F9">
        <w:rPr>
          <w:rFonts w:ascii="Times New Roman" w:eastAsia="宋体" w:hAnsi="Times New Roman" w:cs="Times New Roman"/>
          <w:sz w:val="18"/>
          <w:szCs w:val="18"/>
        </w:rPr>
        <w:t>48925.75</w:t>
      </w:r>
      <w:r w:rsidRPr="00F614F9">
        <w:rPr>
          <w:rFonts w:ascii="Times New Roman" w:eastAsia="宋体" w:hAnsi="Times New Roman" w:cs="Times New Roman"/>
          <w:sz w:val="18"/>
          <w:szCs w:val="18"/>
        </w:rPr>
        <w:t>万元，因使用受限，不作为现金及现金等价物。</w:t>
      </w:r>
    </w:p>
    <w:p w14:paraId="2E78E4B4" w14:textId="77777777" w:rsidR="00872599" w:rsidRPr="00F614F9" w:rsidRDefault="00000000" w:rsidP="008B38D1">
      <w:pPr>
        <w:spacing w:line="276" w:lineRule="auto"/>
        <w:ind w:firstLineChars="200" w:firstLine="360"/>
        <w:rPr>
          <w:rFonts w:ascii="Times New Roman" w:eastAsia="宋体" w:hAnsi="Times New Roman" w:cs="Times New Roman"/>
          <w:sz w:val="18"/>
          <w:szCs w:val="18"/>
        </w:rPr>
      </w:pPr>
      <w:r w:rsidRPr="00F614F9">
        <w:rPr>
          <w:rFonts w:ascii="Times New Roman" w:eastAsia="宋体" w:hAnsi="Times New Roman" w:cs="Times New Roman"/>
          <w:sz w:val="18"/>
          <w:szCs w:val="18"/>
        </w:rPr>
        <w:t>固定资产</w:t>
      </w:r>
      <w:r w:rsidRPr="00F614F9">
        <w:rPr>
          <w:rFonts w:ascii="Times New Roman" w:eastAsia="宋体" w:hAnsi="Times New Roman" w:cs="Times New Roman"/>
          <w:sz w:val="18"/>
          <w:szCs w:val="18"/>
        </w:rPr>
        <w:t>39792.13</w:t>
      </w:r>
      <w:r w:rsidRPr="00F614F9">
        <w:rPr>
          <w:rFonts w:ascii="Times New Roman" w:eastAsia="宋体" w:hAnsi="Times New Roman" w:cs="Times New Roman"/>
          <w:sz w:val="18"/>
          <w:szCs w:val="18"/>
        </w:rPr>
        <w:t>万元，借款抵押，使用受限。</w:t>
      </w:r>
    </w:p>
    <w:p w14:paraId="6EEAA607" w14:textId="77777777" w:rsidR="00872599" w:rsidRPr="00F614F9" w:rsidRDefault="00000000" w:rsidP="008B38D1">
      <w:pPr>
        <w:spacing w:line="276" w:lineRule="auto"/>
        <w:ind w:firstLineChars="200" w:firstLine="360"/>
        <w:rPr>
          <w:rFonts w:ascii="Times New Roman" w:eastAsia="宋体" w:hAnsi="Times New Roman" w:cs="Times New Roman"/>
          <w:sz w:val="18"/>
          <w:szCs w:val="18"/>
        </w:rPr>
      </w:pPr>
      <w:r w:rsidRPr="00F614F9">
        <w:rPr>
          <w:rFonts w:ascii="Times New Roman" w:eastAsia="宋体" w:hAnsi="Times New Roman" w:cs="Times New Roman"/>
          <w:sz w:val="18"/>
          <w:szCs w:val="18"/>
        </w:rPr>
        <w:t>无形资产</w:t>
      </w:r>
      <w:r w:rsidRPr="00F614F9">
        <w:rPr>
          <w:rFonts w:ascii="Times New Roman" w:eastAsia="宋体" w:hAnsi="Times New Roman" w:cs="Times New Roman"/>
          <w:sz w:val="18"/>
          <w:szCs w:val="18"/>
        </w:rPr>
        <w:t>4495.64</w:t>
      </w:r>
      <w:r w:rsidRPr="00F614F9">
        <w:rPr>
          <w:rFonts w:ascii="Times New Roman" w:eastAsia="宋体" w:hAnsi="Times New Roman" w:cs="Times New Roman"/>
          <w:sz w:val="18"/>
          <w:szCs w:val="18"/>
        </w:rPr>
        <w:t>万元，借款抵押，使用受限。</w:t>
      </w:r>
    </w:p>
    <w:p w14:paraId="3AF0562D" w14:textId="77777777" w:rsidR="00872599" w:rsidRPr="00F614F9" w:rsidRDefault="00000000" w:rsidP="008B38D1">
      <w:pPr>
        <w:spacing w:line="276" w:lineRule="auto"/>
        <w:ind w:firstLineChars="200" w:firstLine="360"/>
        <w:rPr>
          <w:rFonts w:ascii="Times New Roman" w:eastAsia="宋体" w:hAnsi="Times New Roman" w:cs="Times New Roman"/>
          <w:sz w:val="18"/>
          <w:szCs w:val="18"/>
        </w:rPr>
      </w:pPr>
      <w:r w:rsidRPr="00F614F9">
        <w:rPr>
          <w:rFonts w:ascii="Times New Roman" w:eastAsia="宋体" w:hAnsi="Times New Roman" w:cs="Times New Roman"/>
          <w:sz w:val="18"/>
          <w:szCs w:val="18"/>
        </w:rPr>
        <w:t>在建工程</w:t>
      </w:r>
      <w:r w:rsidRPr="00F614F9">
        <w:rPr>
          <w:rFonts w:ascii="Times New Roman" w:eastAsia="宋体" w:hAnsi="Times New Roman" w:cs="Times New Roman"/>
          <w:sz w:val="18"/>
          <w:szCs w:val="18"/>
        </w:rPr>
        <w:t>11757.90</w:t>
      </w:r>
      <w:r w:rsidRPr="00F614F9">
        <w:rPr>
          <w:rFonts w:ascii="Times New Roman" w:eastAsia="宋体" w:hAnsi="Times New Roman" w:cs="Times New Roman"/>
          <w:sz w:val="18"/>
          <w:szCs w:val="18"/>
        </w:rPr>
        <w:t>万元，借款抵押，使用受限。</w:t>
      </w:r>
    </w:p>
    <w:p w14:paraId="3126CB19"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51" w:name="_Toc988925"/>
      <w:bookmarkStart w:id="52" w:name="_Toc164024761"/>
      <w:r w:rsidRPr="00F614F9">
        <w:rPr>
          <w:rFonts w:ascii="Times New Roman" w:eastAsia="宋体" w:hAnsi="Times New Roman" w:cs="宋体"/>
          <w:b/>
          <w:bCs/>
          <w:sz w:val="24"/>
          <w:szCs w:val="24"/>
        </w:rPr>
        <w:t>七、投资状况分析</w:t>
      </w:r>
      <w:bookmarkEnd w:id="51"/>
      <w:bookmarkEnd w:id="52"/>
    </w:p>
    <w:p w14:paraId="384A5440" w14:textId="77777777" w:rsidR="001D26E7" w:rsidRPr="00F614F9" w:rsidRDefault="00000000">
      <w:pPr>
        <w:pStyle w:val="3"/>
        <w:spacing w:line="280" w:lineRule="exact"/>
        <w:jc w:val="left"/>
        <w:rPr>
          <w:rFonts w:ascii="Times New Roman" w:hAnsi="Times New Roman" w:cs="宋体"/>
          <w:b/>
          <w:bCs/>
        </w:rPr>
      </w:pPr>
      <w:bookmarkStart w:id="53" w:name="_Toc988926"/>
      <w:r w:rsidRPr="00F614F9">
        <w:rPr>
          <w:rFonts w:ascii="Times New Roman" w:hAnsi="Times New Roman" w:cs="宋体"/>
          <w:b/>
          <w:bCs/>
        </w:rPr>
        <w:t>1</w:t>
      </w:r>
      <w:r w:rsidRPr="00F614F9">
        <w:rPr>
          <w:rFonts w:ascii="Times New Roman" w:hAnsi="Times New Roman" w:cs="宋体"/>
          <w:b/>
          <w:bCs/>
        </w:rPr>
        <w:t>、总体情况</w:t>
      </w:r>
      <w:bookmarkEnd w:id="53"/>
    </w:p>
    <w:p w14:paraId="168EF0BF"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04B68C88" w14:textId="77777777" w:rsidR="001D26E7" w:rsidRPr="00F614F9" w:rsidRDefault="00000000">
      <w:pPr>
        <w:pStyle w:val="3"/>
        <w:spacing w:line="280" w:lineRule="exact"/>
        <w:jc w:val="left"/>
        <w:rPr>
          <w:rFonts w:ascii="Times New Roman" w:hAnsi="Times New Roman" w:cs="宋体"/>
          <w:b/>
          <w:bCs/>
        </w:rPr>
      </w:pPr>
      <w:bookmarkStart w:id="54" w:name="_Toc988927"/>
      <w:r w:rsidRPr="00F614F9">
        <w:rPr>
          <w:rFonts w:ascii="Times New Roman" w:hAnsi="Times New Roman" w:cs="宋体"/>
          <w:b/>
          <w:bCs/>
        </w:rPr>
        <w:t>2</w:t>
      </w:r>
      <w:r w:rsidRPr="00F614F9">
        <w:rPr>
          <w:rFonts w:ascii="Times New Roman" w:hAnsi="Times New Roman" w:cs="宋体"/>
          <w:b/>
          <w:bCs/>
        </w:rPr>
        <w:t>、报告期内获取的重大的股权投资情况</w:t>
      </w:r>
      <w:bookmarkEnd w:id="54"/>
    </w:p>
    <w:p w14:paraId="6A39F946"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D1CD14A" w14:textId="77777777" w:rsidR="001D26E7" w:rsidRPr="00F614F9" w:rsidRDefault="00000000">
      <w:pPr>
        <w:pStyle w:val="3"/>
        <w:spacing w:line="280" w:lineRule="exact"/>
        <w:jc w:val="left"/>
        <w:rPr>
          <w:rFonts w:ascii="Times New Roman" w:hAnsi="Times New Roman" w:cs="宋体"/>
          <w:b/>
          <w:bCs/>
        </w:rPr>
      </w:pPr>
      <w:bookmarkStart w:id="55" w:name="_Toc988928"/>
      <w:r w:rsidRPr="00F614F9">
        <w:rPr>
          <w:rFonts w:ascii="Times New Roman" w:hAnsi="Times New Roman" w:cs="宋体"/>
          <w:b/>
          <w:bCs/>
        </w:rPr>
        <w:t>3</w:t>
      </w:r>
      <w:r w:rsidRPr="00F614F9">
        <w:rPr>
          <w:rFonts w:ascii="Times New Roman" w:hAnsi="Times New Roman" w:cs="宋体"/>
          <w:b/>
          <w:bCs/>
        </w:rPr>
        <w:t>、报告期内正在进行的重大的非股权投资情况</w:t>
      </w:r>
      <w:bookmarkEnd w:id="55"/>
    </w:p>
    <w:p w14:paraId="6595DC12"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12896B9" w14:textId="77777777" w:rsidR="001D26E7" w:rsidRPr="00F614F9" w:rsidRDefault="00000000">
      <w:pPr>
        <w:pStyle w:val="3"/>
        <w:spacing w:line="280" w:lineRule="exact"/>
        <w:jc w:val="left"/>
        <w:rPr>
          <w:rFonts w:ascii="Times New Roman" w:hAnsi="Times New Roman" w:cs="宋体"/>
          <w:b/>
          <w:bCs/>
        </w:rPr>
      </w:pPr>
      <w:bookmarkStart w:id="56" w:name="_Toc988929"/>
      <w:r w:rsidRPr="00F614F9">
        <w:rPr>
          <w:rFonts w:ascii="Times New Roman" w:hAnsi="Times New Roman" w:cs="宋体"/>
          <w:b/>
          <w:bCs/>
        </w:rPr>
        <w:lastRenderedPageBreak/>
        <w:t>4</w:t>
      </w:r>
      <w:r w:rsidRPr="00F614F9">
        <w:rPr>
          <w:rFonts w:ascii="Times New Roman" w:hAnsi="Times New Roman" w:cs="宋体"/>
          <w:b/>
          <w:bCs/>
        </w:rPr>
        <w:t>、金融资产投资</w:t>
      </w:r>
      <w:bookmarkEnd w:id="56"/>
    </w:p>
    <w:p w14:paraId="4D2B1E88"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57" w:name="_Toc988930"/>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证券投资情况</w:t>
      </w:r>
      <w:bookmarkEnd w:id="57"/>
    </w:p>
    <w:p w14:paraId="0A3F33C2"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35B13F9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公司报告期不存在证券投资。</w:t>
      </w:r>
    </w:p>
    <w:p w14:paraId="6BE25555"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58" w:name="_Toc988931"/>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2</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衍生</w:t>
      </w:r>
      <w:proofErr w:type="gramStart"/>
      <w:r w:rsidRPr="00F614F9">
        <w:rPr>
          <w:rFonts w:ascii="Times New Roman" w:eastAsia="宋体" w:hAnsi="Times New Roman" w:cs="宋体"/>
          <w:b/>
          <w:bCs/>
          <w:sz w:val="18"/>
          <w:szCs w:val="18"/>
        </w:rPr>
        <w:t>品投资</w:t>
      </w:r>
      <w:proofErr w:type="gramEnd"/>
      <w:r w:rsidRPr="00F614F9">
        <w:rPr>
          <w:rFonts w:ascii="Times New Roman" w:eastAsia="宋体" w:hAnsi="Times New Roman" w:cs="宋体"/>
          <w:b/>
          <w:bCs/>
          <w:sz w:val="18"/>
          <w:szCs w:val="18"/>
        </w:rPr>
        <w:t>情况</w:t>
      </w:r>
      <w:bookmarkEnd w:id="58"/>
    </w:p>
    <w:p w14:paraId="64F07BE9"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78CE985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公司报告期不存在衍生品投资。</w:t>
      </w:r>
    </w:p>
    <w:p w14:paraId="28B76E18" w14:textId="77777777" w:rsidR="001D26E7" w:rsidRPr="00F614F9" w:rsidRDefault="00000000">
      <w:pPr>
        <w:pStyle w:val="3"/>
        <w:spacing w:line="280" w:lineRule="exact"/>
        <w:jc w:val="left"/>
        <w:rPr>
          <w:rFonts w:ascii="Times New Roman" w:hAnsi="Times New Roman" w:cs="宋体"/>
          <w:b/>
          <w:bCs/>
        </w:rPr>
      </w:pPr>
      <w:bookmarkStart w:id="59" w:name="_Toc988932"/>
      <w:r w:rsidRPr="00F614F9">
        <w:rPr>
          <w:rFonts w:ascii="Times New Roman" w:hAnsi="Times New Roman" w:cs="宋体"/>
          <w:b/>
          <w:bCs/>
        </w:rPr>
        <w:t>5</w:t>
      </w:r>
      <w:r w:rsidRPr="00F614F9">
        <w:rPr>
          <w:rFonts w:ascii="Times New Roman" w:hAnsi="Times New Roman" w:cs="宋体"/>
          <w:b/>
          <w:bCs/>
        </w:rPr>
        <w:t>、募集资金使用情况</w:t>
      </w:r>
      <w:bookmarkEnd w:id="59"/>
    </w:p>
    <w:p w14:paraId="2007479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52524086"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60" w:name="_Toc988933"/>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募集资金总体使用情况</w:t>
      </w:r>
      <w:bookmarkEnd w:id="60"/>
    </w:p>
    <w:p w14:paraId="38823843"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76B5252C"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单位：万元</w:t>
      </w:r>
    </w:p>
    <w:tbl>
      <w:tblPr>
        <w:tblW w:w="10014" w:type="dxa"/>
        <w:tblInd w:w="-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851"/>
        <w:gridCol w:w="851"/>
        <w:gridCol w:w="657"/>
        <w:gridCol w:w="851"/>
        <w:gridCol w:w="850"/>
        <w:gridCol w:w="900"/>
        <w:gridCol w:w="803"/>
        <w:gridCol w:w="803"/>
        <w:gridCol w:w="755"/>
        <w:gridCol w:w="851"/>
        <w:gridCol w:w="1133"/>
        <w:gridCol w:w="709"/>
      </w:tblGrid>
      <w:tr w:rsidR="001D26E7" w:rsidRPr="00F614F9" w14:paraId="7BF2EB45" w14:textId="77777777" w:rsidTr="008B38D1">
        <w:trPr>
          <w:trHeight w:val="240"/>
        </w:trPr>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1E600A1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募集年份</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656FC6A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募集方式</w:t>
            </w:r>
          </w:p>
        </w:tc>
        <w:tc>
          <w:tcPr>
            <w:tcW w:w="657" w:type="dxa"/>
            <w:tcBorders>
              <w:top w:val="single" w:sz="2" w:space="0" w:color="auto"/>
              <w:left w:val="single" w:sz="2" w:space="0" w:color="auto"/>
              <w:bottom w:val="single" w:sz="2" w:space="0" w:color="auto"/>
              <w:right w:val="single" w:sz="2" w:space="0" w:color="auto"/>
            </w:tcBorders>
            <w:shd w:val="clear" w:color="auto" w:fill="D3D3D3"/>
            <w:vAlign w:val="center"/>
          </w:tcPr>
          <w:p w14:paraId="0C240A2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募集资金总额</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5DA515D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募集资金净额</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2144878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本期已使用募集资金总额</w:t>
            </w:r>
          </w:p>
        </w:tc>
        <w:tc>
          <w:tcPr>
            <w:tcW w:w="900" w:type="dxa"/>
            <w:tcBorders>
              <w:top w:val="single" w:sz="2" w:space="0" w:color="auto"/>
              <w:left w:val="single" w:sz="2" w:space="0" w:color="auto"/>
              <w:bottom w:val="single" w:sz="2" w:space="0" w:color="auto"/>
              <w:right w:val="single" w:sz="2" w:space="0" w:color="auto"/>
            </w:tcBorders>
            <w:shd w:val="clear" w:color="auto" w:fill="D3D3D3"/>
            <w:vAlign w:val="center"/>
          </w:tcPr>
          <w:p w14:paraId="5D0FB0B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已累计使用募集资金总额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3DFA32B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报告期内变更用途的募集资金总额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4277999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累计变更用途的募集资金总额</w:t>
            </w:r>
          </w:p>
        </w:tc>
        <w:tc>
          <w:tcPr>
            <w:tcW w:w="755" w:type="dxa"/>
            <w:tcBorders>
              <w:top w:val="single" w:sz="2" w:space="0" w:color="auto"/>
              <w:left w:val="single" w:sz="2" w:space="0" w:color="auto"/>
              <w:bottom w:val="single" w:sz="2" w:space="0" w:color="auto"/>
              <w:right w:val="single" w:sz="2" w:space="0" w:color="auto"/>
            </w:tcBorders>
            <w:shd w:val="clear" w:color="auto" w:fill="D3D3D3"/>
            <w:vAlign w:val="center"/>
          </w:tcPr>
          <w:p w14:paraId="014B7E1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累计变更用途的募集资金总额比例</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4831CC9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尚未使用募集资金总额</w:t>
            </w:r>
          </w:p>
        </w:tc>
        <w:tc>
          <w:tcPr>
            <w:tcW w:w="1133" w:type="dxa"/>
            <w:tcBorders>
              <w:top w:val="single" w:sz="2" w:space="0" w:color="auto"/>
              <w:left w:val="single" w:sz="2" w:space="0" w:color="auto"/>
              <w:bottom w:val="single" w:sz="2" w:space="0" w:color="auto"/>
              <w:right w:val="single" w:sz="2" w:space="0" w:color="auto"/>
            </w:tcBorders>
            <w:shd w:val="clear" w:color="auto" w:fill="D3D3D3"/>
            <w:vAlign w:val="center"/>
          </w:tcPr>
          <w:p w14:paraId="3983981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尚未使用募集资金用途及去向</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086DEB9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闲置两年以上募集资金金额</w:t>
            </w:r>
          </w:p>
        </w:tc>
      </w:tr>
      <w:tr w:rsidR="001D26E7" w:rsidRPr="00F614F9" w14:paraId="434339D4" w14:textId="77777777" w:rsidTr="008B38D1">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3138AED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2020</w:t>
            </w:r>
            <w:r w:rsidRPr="00F614F9">
              <w:rPr>
                <w:rFonts w:ascii="Times New Roman" w:eastAsia="宋体" w:hAnsi="Times New Roman" w:cs="宋体"/>
                <w:sz w:val="18"/>
                <w:szCs w:val="18"/>
              </w:rPr>
              <w:t>年</w:t>
            </w:r>
          </w:p>
        </w:tc>
        <w:tc>
          <w:tcPr>
            <w:tcW w:w="851" w:type="dxa"/>
            <w:tcBorders>
              <w:top w:val="single" w:sz="2" w:space="0" w:color="auto"/>
              <w:left w:val="single" w:sz="2" w:space="0" w:color="auto"/>
              <w:bottom w:val="single" w:sz="2" w:space="0" w:color="auto"/>
              <w:right w:val="single" w:sz="2" w:space="0" w:color="auto"/>
            </w:tcBorders>
            <w:vAlign w:val="center"/>
          </w:tcPr>
          <w:p w14:paraId="6698B38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公开发行可转换公司债</w:t>
            </w:r>
            <w:proofErr w:type="gramStart"/>
            <w:r w:rsidRPr="00F614F9">
              <w:rPr>
                <w:rFonts w:ascii="Times New Roman" w:eastAsia="宋体" w:hAnsi="Times New Roman" w:cs="宋体"/>
                <w:sz w:val="18"/>
                <w:szCs w:val="18"/>
              </w:rPr>
              <w:t>券</w:t>
            </w:r>
            <w:proofErr w:type="gramEnd"/>
          </w:p>
        </w:tc>
        <w:tc>
          <w:tcPr>
            <w:tcW w:w="657" w:type="dxa"/>
            <w:tcBorders>
              <w:top w:val="single" w:sz="2" w:space="0" w:color="auto"/>
              <w:left w:val="single" w:sz="2" w:space="0" w:color="auto"/>
              <w:bottom w:val="single" w:sz="2" w:space="0" w:color="auto"/>
              <w:right w:val="single" w:sz="2" w:space="0" w:color="auto"/>
            </w:tcBorders>
            <w:vAlign w:val="center"/>
          </w:tcPr>
          <w:p w14:paraId="0B2CA6E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95,000</w:t>
            </w:r>
          </w:p>
        </w:tc>
        <w:tc>
          <w:tcPr>
            <w:tcW w:w="851" w:type="dxa"/>
            <w:tcBorders>
              <w:top w:val="single" w:sz="2" w:space="0" w:color="auto"/>
              <w:left w:val="single" w:sz="2" w:space="0" w:color="auto"/>
              <w:bottom w:val="single" w:sz="2" w:space="0" w:color="auto"/>
              <w:right w:val="single" w:sz="2" w:space="0" w:color="auto"/>
            </w:tcBorders>
            <w:vAlign w:val="center"/>
          </w:tcPr>
          <w:p w14:paraId="4B0AAEE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93,494.3</w:t>
            </w:r>
          </w:p>
        </w:tc>
        <w:tc>
          <w:tcPr>
            <w:tcW w:w="850" w:type="dxa"/>
            <w:tcBorders>
              <w:top w:val="single" w:sz="2" w:space="0" w:color="auto"/>
              <w:left w:val="single" w:sz="2" w:space="0" w:color="auto"/>
              <w:bottom w:val="single" w:sz="2" w:space="0" w:color="auto"/>
              <w:right w:val="single" w:sz="2" w:space="0" w:color="auto"/>
            </w:tcBorders>
            <w:vAlign w:val="center"/>
          </w:tcPr>
          <w:p w14:paraId="73E396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1,797.46</w:t>
            </w:r>
          </w:p>
        </w:tc>
        <w:tc>
          <w:tcPr>
            <w:tcW w:w="900" w:type="dxa"/>
            <w:tcBorders>
              <w:top w:val="single" w:sz="2" w:space="0" w:color="auto"/>
              <w:left w:val="single" w:sz="2" w:space="0" w:color="auto"/>
              <w:bottom w:val="single" w:sz="2" w:space="0" w:color="auto"/>
              <w:right w:val="single" w:sz="2" w:space="0" w:color="auto"/>
            </w:tcBorders>
            <w:vAlign w:val="center"/>
          </w:tcPr>
          <w:p w14:paraId="7D117F2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56,052.37</w:t>
            </w:r>
          </w:p>
        </w:tc>
        <w:tc>
          <w:tcPr>
            <w:tcW w:w="803" w:type="dxa"/>
            <w:tcBorders>
              <w:top w:val="single" w:sz="2" w:space="0" w:color="auto"/>
              <w:left w:val="single" w:sz="2" w:space="0" w:color="auto"/>
              <w:bottom w:val="single" w:sz="2" w:space="0" w:color="auto"/>
              <w:right w:val="single" w:sz="2" w:space="0" w:color="auto"/>
            </w:tcBorders>
            <w:vAlign w:val="center"/>
          </w:tcPr>
          <w:p w14:paraId="234795C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03" w:type="dxa"/>
            <w:tcBorders>
              <w:top w:val="single" w:sz="2" w:space="0" w:color="auto"/>
              <w:left w:val="single" w:sz="2" w:space="0" w:color="auto"/>
              <w:bottom w:val="single" w:sz="2" w:space="0" w:color="auto"/>
              <w:right w:val="single" w:sz="2" w:space="0" w:color="auto"/>
            </w:tcBorders>
            <w:vAlign w:val="center"/>
          </w:tcPr>
          <w:p w14:paraId="0C496CA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55" w:type="dxa"/>
            <w:tcBorders>
              <w:top w:val="single" w:sz="2" w:space="0" w:color="auto"/>
              <w:left w:val="single" w:sz="2" w:space="0" w:color="auto"/>
              <w:bottom w:val="single" w:sz="2" w:space="0" w:color="auto"/>
              <w:right w:val="single" w:sz="2" w:space="0" w:color="auto"/>
            </w:tcBorders>
            <w:vAlign w:val="center"/>
          </w:tcPr>
          <w:p w14:paraId="77D9099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851" w:type="dxa"/>
            <w:tcBorders>
              <w:top w:val="single" w:sz="2" w:space="0" w:color="auto"/>
              <w:left w:val="single" w:sz="2" w:space="0" w:color="auto"/>
              <w:bottom w:val="single" w:sz="2" w:space="0" w:color="auto"/>
              <w:right w:val="single" w:sz="2" w:space="0" w:color="auto"/>
            </w:tcBorders>
            <w:vAlign w:val="center"/>
          </w:tcPr>
          <w:p w14:paraId="5C51F36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40,195.85</w:t>
            </w:r>
          </w:p>
        </w:tc>
        <w:tc>
          <w:tcPr>
            <w:tcW w:w="1133" w:type="dxa"/>
            <w:tcBorders>
              <w:top w:val="single" w:sz="2" w:space="0" w:color="auto"/>
              <w:left w:val="single" w:sz="2" w:space="0" w:color="auto"/>
              <w:bottom w:val="single" w:sz="2" w:space="0" w:color="auto"/>
              <w:right w:val="single" w:sz="2" w:space="0" w:color="auto"/>
            </w:tcBorders>
            <w:vAlign w:val="center"/>
          </w:tcPr>
          <w:p w14:paraId="4EF3482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）暂时补充流动资金</w:t>
            </w:r>
            <w:r w:rsidRPr="00F614F9">
              <w:rPr>
                <w:rFonts w:ascii="Times New Roman" w:eastAsia="宋体" w:hAnsi="Times New Roman" w:cs="宋体"/>
                <w:sz w:val="18"/>
                <w:szCs w:val="18"/>
              </w:rPr>
              <w:t>39,900.00</w:t>
            </w:r>
            <w:r w:rsidRPr="00F614F9">
              <w:rPr>
                <w:rFonts w:ascii="Times New Roman" w:eastAsia="宋体" w:hAnsi="Times New Roman" w:cs="宋体"/>
                <w:sz w:val="18"/>
                <w:szCs w:val="18"/>
              </w:rPr>
              <w:t>万元；</w:t>
            </w:r>
          </w:p>
          <w:p w14:paraId="6624C20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）其余未使用的募集资金人民币</w:t>
            </w:r>
            <w:r w:rsidRPr="00F614F9">
              <w:rPr>
                <w:rFonts w:ascii="Times New Roman" w:eastAsia="宋体" w:hAnsi="Times New Roman" w:cs="宋体"/>
                <w:sz w:val="18"/>
                <w:szCs w:val="18"/>
              </w:rPr>
              <w:t>295.85</w:t>
            </w:r>
            <w:r w:rsidRPr="00F614F9">
              <w:rPr>
                <w:rFonts w:ascii="Times New Roman" w:eastAsia="宋体" w:hAnsi="Times New Roman" w:cs="宋体"/>
                <w:sz w:val="18"/>
                <w:szCs w:val="18"/>
              </w:rPr>
              <w:t>万元存放于募集资金专用账户。</w:t>
            </w:r>
          </w:p>
        </w:tc>
        <w:tc>
          <w:tcPr>
            <w:tcW w:w="709" w:type="dxa"/>
            <w:tcBorders>
              <w:top w:val="single" w:sz="2" w:space="0" w:color="auto"/>
              <w:left w:val="single" w:sz="2" w:space="0" w:color="auto"/>
              <w:bottom w:val="single" w:sz="2" w:space="0" w:color="auto"/>
              <w:right w:val="single" w:sz="2" w:space="0" w:color="auto"/>
            </w:tcBorders>
            <w:vAlign w:val="center"/>
          </w:tcPr>
          <w:p w14:paraId="2B359FE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20991ADD" w14:textId="77777777" w:rsidTr="008B38D1">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050E519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w:t>
            </w:r>
          </w:p>
        </w:tc>
        <w:tc>
          <w:tcPr>
            <w:tcW w:w="851" w:type="dxa"/>
            <w:tcBorders>
              <w:top w:val="single" w:sz="2" w:space="0" w:color="auto"/>
              <w:left w:val="single" w:sz="2" w:space="0" w:color="auto"/>
              <w:bottom w:val="single" w:sz="2" w:space="0" w:color="auto"/>
              <w:right w:val="single" w:sz="2" w:space="0" w:color="auto"/>
            </w:tcBorders>
            <w:vAlign w:val="center"/>
          </w:tcPr>
          <w:p w14:paraId="115D8E1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非公开发行股票</w:t>
            </w:r>
          </w:p>
        </w:tc>
        <w:tc>
          <w:tcPr>
            <w:tcW w:w="657" w:type="dxa"/>
            <w:tcBorders>
              <w:top w:val="single" w:sz="2" w:space="0" w:color="auto"/>
              <w:left w:val="single" w:sz="2" w:space="0" w:color="auto"/>
              <w:bottom w:val="single" w:sz="2" w:space="0" w:color="auto"/>
              <w:right w:val="single" w:sz="2" w:space="0" w:color="auto"/>
            </w:tcBorders>
            <w:vAlign w:val="center"/>
          </w:tcPr>
          <w:p w14:paraId="4D21AA1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62,040</w:t>
            </w:r>
          </w:p>
        </w:tc>
        <w:tc>
          <w:tcPr>
            <w:tcW w:w="851" w:type="dxa"/>
            <w:tcBorders>
              <w:top w:val="single" w:sz="2" w:space="0" w:color="auto"/>
              <w:left w:val="single" w:sz="2" w:space="0" w:color="auto"/>
              <w:bottom w:val="single" w:sz="2" w:space="0" w:color="auto"/>
              <w:right w:val="single" w:sz="2" w:space="0" w:color="auto"/>
            </w:tcBorders>
            <w:vAlign w:val="center"/>
          </w:tcPr>
          <w:p w14:paraId="1F8790C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61,020.96</w:t>
            </w:r>
          </w:p>
        </w:tc>
        <w:tc>
          <w:tcPr>
            <w:tcW w:w="850" w:type="dxa"/>
            <w:tcBorders>
              <w:top w:val="single" w:sz="2" w:space="0" w:color="auto"/>
              <w:left w:val="single" w:sz="2" w:space="0" w:color="auto"/>
              <w:bottom w:val="single" w:sz="2" w:space="0" w:color="auto"/>
              <w:right w:val="single" w:sz="2" w:space="0" w:color="auto"/>
            </w:tcBorders>
            <w:vAlign w:val="center"/>
          </w:tcPr>
          <w:p w14:paraId="2ECAA46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1,487.98</w:t>
            </w:r>
          </w:p>
        </w:tc>
        <w:tc>
          <w:tcPr>
            <w:tcW w:w="900" w:type="dxa"/>
            <w:tcBorders>
              <w:top w:val="single" w:sz="2" w:space="0" w:color="auto"/>
              <w:left w:val="single" w:sz="2" w:space="0" w:color="auto"/>
              <w:bottom w:val="single" w:sz="2" w:space="0" w:color="auto"/>
              <w:right w:val="single" w:sz="2" w:space="0" w:color="auto"/>
            </w:tcBorders>
            <w:vAlign w:val="center"/>
          </w:tcPr>
          <w:p w14:paraId="2F12938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50,328.79</w:t>
            </w:r>
          </w:p>
        </w:tc>
        <w:tc>
          <w:tcPr>
            <w:tcW w:w="803" w:type="dxa"/>
            <w:tcBorders>
              <w:top w:val="single" w:sz="2" w:space="0" w:color="auto"/>
              <w:left w:val="single" w:sz="2" w:space="0" w:color="auto"/>
              <w:bottom w:val="single" w:sz="2" w:space="0" w:color="auto"/>
              <w:right w:val="single" w:sz="2" w:space="0" w:color="auto"/>
            </w:tcBorders>
            <w:vAlign w:val="center"/>
          </w:tcPr>
          <w:p w14:paraId="76B3A3F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03" w:type="dxa"/>
            <w:tcBorders>
              <w:top w:val="single" w:sz="2" w:space="0" w:color="auto"/>
              <w:left w:val="single" w:sz="2" w:space="0" w:color="auto"/>
              <w:bottom w:val="single" w:sz="2" w:space="0" w:color="auto"/>
              <w:right w:val="single" w:sz="2" w:space="0" w:color="auto"/>
            </w:tcBorders>
            <w:vAlign w:val="center"/>
          </w:tcPr>
          <w:p w14:paraId="64A75FA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55" w:type="dxa"/>
            <w:tcBorders>
              <w:top w:val="single" w:sz="2" w:space="0" w:color="auto"/>
              <w:left w:val="single" w:sz="2" w:space="0" w:color="auto"/>
              <w:bottom w:val="single" w:sz="2" w:space="0" w:color="auto"/>
              <w:right w:val="single" w:sz="2" w:space="0" w:color="auto"/>
            </w:tcBorders>
            <w:vAlign w:val="center"/>
          </w:tcPr>
          <w:p w14:paraId="040E5B6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851" w:type="dxa"/>
            <w:tcBorders>
              <w:top w:val="single" w:sz="2" w:space="0" w:color="auto"/>
              <w:left w:val="single" w:sz="2" w:space="0" w:color="auto"/>
              <w:bottom w:val="single" w:sz="2" w:space="0" w:color="auto"/>
              <w:right w:val="single" w:sz="2" w:space="0" w:color="auto"/>
            </w:tcBorders>
            <w:vAlign w:val="center"/>
          </w:tcPr>
          <w:p w14:paraId="35D4181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10,763.9</w:t>
            </w:r>
          </w:p>
        </w:tc>
        <w:tc>
          <w:tcPr>
            <w:tcW w:w="1133" w:type="dxa"/>
            <w:tcBorders>
              <w:top w:val="single" w:sz="2" w:space="0" w:color="auto"/>
              <w:left w:val="single" w:sz="2" w:space="0" w:color="auto"/>
              <w:bottom w:val="single" w:sz="2" w:space="0" w:color="auto"/>
              <w:right w:val="single" w:sz="2" w:space="0" w:color="auto"/>
            </w:tcBorders>
            <w:vAlign w:val="center"/>
          </w:tcPr>
          <w:p w14:paraId="24ACF64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）暂时补充流动资金</w:t>
            </w:r>
            <w:r w:rsidRPr="00F614F9">
              <w:rPr>
                <w:rFonts w:ascii="Times New Roman" w:eastAsia="宋体" w:hAnsi="Times New Roman" w:cs="宋体"/>
                <w:sz w:val="18"/>
                <w:szCs w:val="18"/>
              </w:rPr>
              <w:t>10,049.68</w:t>
            </w:r>
            <w:r w:rsidRPr="00F614F9">
              <w:rPr>
                <w:rFonts w:ascii="Times New Roman" w:eastAsia="宋体" w:hAnsi="Times New Roman" w:cs="宋体"/>
                <w:sz w:val="18"/>
                <w:szCs w:val="18"/>
              </w:rPr>
              <w:t>万元；</w:t>
            </w:r>
          </w:p>
          <w:p w14:paraId="1A701BE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）其余未使用的募集资金人民币</w:t>
            </w:r>
            <w:r w:rsidRPr="00F614F9">
              <w:rPr>
                <w:rFonts w:ascii="Times New Roman" w:eastAsia="宋体" w:hAnsi="Times New Roman" w:cs="宋体"/>
                <w:sz w:val="18"/>
                <w:szCs w:val="18"/>
              </w:rPr>
              <w:t>714.22</w:t>
            </w:r>
            <w:r w:rsidRPr="00F614F9">
              <w:rPr>
                <w:rFonts w:ascii="Times New Roman" w:eastAsia="宋体" w:hAnsi="Times New Roman" w:cs="宋体"/>
                <w:sz w:val="18"/>
                <w:szCs w:val="18"/>
              </w:rPr>
              <w:t>万元存放于募集资金专用账户。</w:t>
            </w:r>
          </w:p>
        </w:tc>
        <w:tc>
          <w:tcPr>
            <w:tcW w:w="709" w:type="dxa"/>
            <w:tcBorders>
              <w:top w:val="single" w:sz="2" w:space="0" w:color="auto"/>
              <w:left w:val="single" w:sz="2" w:space="0" w:color="auto"/>
              <w:bottom w:val="single" w:sz="2" w:space="0" w:color="auto"/>
              <w:right w:val="single" w:sz="2" w:space="0" w:color="auto"/>
            </w:tcBorders>
            <w:vAlign w:val="center"/>
          </w:tcPr>
          <w:p w14:paraId="59EAD27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4F3AC2A9" w14:textId="77777777" w:rsidTr="008B38D1">
        <w:trPr>
          <w:trHeight w:val="240"/>
        </w:trPr>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2CA85EE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524CF2B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657" w:type="dxa"/>
            <w:tcBorders>
              <w:top w:val="single" w:sz="2" w:space="0" w:color="auto"/>
              <w:left w:val="single" w:sz="2" w:space="0" w:color="auto"/>
              <w:bottom w:val="single" w:sz="2" w:space="0" w:color="auto"/>
              <w:right w:val="single" w:sz="2" w:space="0" w:color="auto"/>
            </w:tcBorders>
            <w:vAlign w:val="center"/>
          </w:tcPr>
          <w:p w14:paraId="6D07746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157,040</w:t>
            </w:r>
          </w:p>
        </w:tc>
        <w:tc>
          <w:tcPr>
            <w:tcW w:w="851" w:type="dxa"/>
            <w:tcBorders>
              <w:top w:val="single" w:sz="2" w:space="0" w:color="auto"/>
              <w:left w:val="single" w:sz="2" w:space="0" w:color="auto"/>
              <w:bottom w:val="single" w:sz="2" w:space="0" w:color="auto"/>
              <w:right w:val="single" w:sz="2" w:space="0" w:color="auto"/>
            </w:tcBorders>
            <w:vAlign w:val="center"/>
          </w:tcPr>
          <w:p w14:paraId="52094F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154,515.26</w:t>
            </w:r>
          </w:p>
        </w:tc>
        <w:tc>
          <w:tcPr>
            <w:tcW w:w="850" w:type="dxa"/>
            <w:tcBorders>
              <w:top w:val="single" w:sz="2" w:space="0" w:color="auto"/>
              <w:left w:val="single" w:sz="2" w:space="0" w:color="auto"/>
              <w:bottom w:val="single" w:sz="2" w:space="0" w:color="auto"/>
              <w:right w:val="single" w:sz="2" w:space="0" w:color="auto"/>
            </w:tcBorders>
            <w:vAlign w:val="center"/>
          </w:tcPr>
          <w:p w14:paraId="4A47A19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3,285.44</w:t>
            </w:r>
          </w:p>
        </w:tc>
        <w:tc>
          <w:tcPr>
            <w:tcW w:w="900" w:type="dxa"/>
            <w:tcBorders>
              <w:top w:val="single" w:sz="2" w:space="0" w:color="auto"/>
              <w:left w:val="single" w:sz="2" w:space="0" w:color="auto"/>
              <w:bottom w:val="single" w:sz="2" w:space="0" w:color="auto"/>
              <w:right w:val="single" w:sz="2" w:space="0" w:color="auto"/>
            </w:tcBorders>
            <w:vAlign w:val="center"/>
          </w:tcPr>
          <w:p w14:paraId="391040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106,381.16</w:t>
            </w:r>
          </w:p>
        </w:tc>
        <w:tc>
          <w:tcPr>
            <w:tcW w:w="803" w:type="dxa"/>
            <w:tcBorders>
              <w:top w:val="single" w:sz="2" w:space="0" w:color="auto"/>
              <w:left w:val="single" w:sz="2" w:space="0" w:color="auto"/>
              <w:bottom w:val="single" w:sz="2" w:space="0" w:color="auto"/>
              <w:right w:val="single" w:sz="2" w:space="0" w:color="auto"/>
            </w:tcBorders>
            <w:vAlign w:val="center"/>
          </w:tcPr>
          <w:p w14:paraId="3F83A1F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03" w:type="dxa"/>
            <w:tcBorders>
              <w:top w:val="single" w:sz="2" w:space="0" w:color="auto"/>
              <w:left w:val="single" w:sz="2" w:space="0" w:color="auto"/>
              <w:bottom w:val="single" w:sz="2" w:space="0" w:color="auto"/>
              <w:right w:val="single" w:sz="2" w:space="0" w:color="auto"/>
            </w:tcBorders>
            <w:vAlign w:val="center"/>
          </w:tcPr>
          <w:p w14:paraId="37EA0F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55" w:type="dxa"/>
            <w:tcBorders>
              <w:top w:val="single" w:sz="2" w:space="0" w:color="auto"/>
              <w:left w:val="single" w:sz="2" w:space="0" w:color="auto"/>
              <w:bottom w:val="single" w:sz="2" w:space="0" w:color="auto"/>
              <w:right w:val="single" w:sz="2" w:space="0" w:color="auto"/>
            </w:tcBorders>
            <w:vAlign w:val="center"/>
          </w:tcPr>
          <w:p w14:paraId="29738B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851" w:type="dxa"/>
            <w:tcBorders>
              <w:top w:val="single" w:sz="2" w:space="0" w:color="auto"/>
              <w:left w:val="single" w:sz="2" w:space="0" w:color="auto"/>
              <w:bottom w:val="single" w:sz="2" w:space="0" w:color="auto"/>
              <w:right w:val="single" w:sz="2" w:space="0" w:color="auto"/>
            </w:tcBorders>
            <w:vAlign w:val="center"/>
          </w:tcPr>
          <w:p w14:paraId="50BFDCC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50,959.75</w:t>
            </w:r>
          </w:p>
        </w:tc>
        <w:tc>
          <w:tcPr>
            <w:tcW w:w="1133" w:type="dxa"/>
            <w:tcBorders>
              <w:top w:val="single" w:sz="2" w:space="0" w:color="auto"/>
              <w:left w:val="single" w:sz="2" w:space="0" w:color="auto"/>
              <w:bottom w:val="single" w:sz="2" w:space="0" w:color="auto"/>
              <w:right w:val="single" w:sz="2" w:space="0" w:color="auto"/>
            </w:tcBorders>
            <w:shd w:val="clear" w:color="auto" w:fill="D3D3D3"/>
            <w:vAlign w:val="center"/>
          </w:tcPr>
          <w:p w14:paraId="6B868B5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239CBE3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79460036" w14:textId="77777777" w:rsidTr="008B38D1">
        <w:trPr>
          <w:trHeight w:val="240"/>
        </w:trPr>
        <w:tc>
          <w:tcPr>
            <w:tcW w:w="10014"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1C4AB67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募集资金总体使用情况说明</w:t>
            </w:r>
          </w:p>
        </w:tc>
      </w:tr>
      <w:tr w:rsidR="001D26E7" w:rsidRPr="00F614F9" w14:paraId="7A40F8EE" w14:textId="77777777" w:rsidTr="008B38D1">
        <w:trPr>
          <w:trHeight w:val="240"/>
        </w:trPr>
        <w:tc>
          <w:tcPr>
            <w:tcW w:w="10014" w:type="dxa"/>
            <w:gridSpan w:val="12"/>
            <w:tcBorders>
              <w:top w:val="single" w:sz="2" w:space="0" w:color="auto"/>
              <w:left w:val="single" w:sz="2" w:space="0" w:color="auto"/>
              <w:bottom w:val="single" w:sz="2" w:space="0" w:color="auto"/>
              <w:right w:val="single" w:sz="2" w:space="0" w:color="auto"/>
            </w:tcBorders>
            <w:vAlign w:val="center"/>
          </w:tcPr>
          <w:p w14:paraId="0D831ECB" w14:textId="77777777" w:rsidR="001D26E7" w:rsidRPr="00F614F9" w:rsidRDefault="00000000" w:rsidP="0089355B">
            <w:pPr>
              <w:spacing w:line="276" w:lineRule="auto"/>
              <w:rPr>
                <w:rFonts w:ascii="Times New Roman" w:eastAsia="宋体" w:hAnsi="Times New Roman" w:cs="宋体"/>
                <w:sz w:val="18"/>
                <w:szCs w:val="18"/>
              </w:rPr>
            </w:pPr>
            <w:r w:rsidRPr="00F614F9">
              <w:rPr>
                <w:rFonts w:ascii="Times New Roman" w:eastAsia="宋体" w:hAnsi="Times New Roman" w:cs="宋体"/>
                <w:sz w:val="18"/>
                <w:szCs w:val="18"/>
              </w:rPr>
              <w:t>详见</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第三节，七、</w:t>
            </w:r>
            <w:r w:rsidRPr="00F614F9">
              <w:rPr>
                <w:rFonts w:ascii="Times New Roman" w:eastAsia="宋体" w:hAnsi="Times New Roman" w:cs="宋体"/>
                <w:sz w:val="18"/>
                <w:szCs w:val="18"/>
              </w:rPr>
              <w:t>5</w:t>
            </w:r>
            <w:r w:rsidRPr="00F614F9">
              <w:rPr>
                <w:rFonts w:ascii="Times New Roman" w:eastAsia="宋体" w:hAnsi="Times New Roman" w:cs="宋体"/>
                <w:sz w:val="18"/>
                <w:szCs w:val="18"/>
              </w:rPr>
              <w:t>，募集资金承诺项目情况</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以及公司同日披露于指定信息披露媒体巨潮资讯网（</w:t>
            </w:r>
            <w:r w:rsidRPr="00F614F9">
              <w:rPr>
                <w:rFonts w:ascii="Times New Roman" w:eastAsia="宋体" w:hAnsi="Times New Roman" w:cs="宋体"/>
                <w:sz w:val="18"/>
                <w:szCs w:val="18"/>
              </w:rPr>
              <w:t>http://www.cninfo.com.cn</w:t>
            </w:r>
            <w:r w:rsidRPr="00F614F9">
              <w:rPr>
                <w:rFonts w:ascii="Times New Roman" w:eastAsia="宋体" w:hAnsi="Times New Roman" w:cs="宋体"/>
                <w:sz w:val="18"/>
                <w:szCs w:val="18"/>
              </w:rPr>
              <w:t>）的《山东龙大美食股份有限公司关于募集资金年度存放与实际使用情况的专项报告》。</w:t>
            </w:r>
          </w:p>
        </w:tc>
      </w:tr>
    </w:tbl>
    <w:p w14:paraId="299AC297"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61" w:name="_Toc988934"/>
      <w:r w:rsidRPr="00F614F9">
        <w:rPr>
          <w:rFonts w:ascii="Times New Roman" w:eastAsia="宋体" w:hAnsi="Times New Roman" w:cs="宋体"/>
          <w:b/>
          <w:bCs/>
          <w:sz w:val="18"/>
          <w:szCs w:val="18"/>
        </w:rPr>
        <w:lastRenderedPageBreak/>
        <w:t>（</w:t>
      </w:r>
      <w:r w:rsidRPr="00F614F9">
        <w:rPr>
          <w:rFonts w:ascii="Times New Roman" w:eastAsia="宋体" w:hAnsi="Times New Roman" w:cs="宋体"/>
          <w:b/>
          <w:bCs/>
          <w:sz w:val="18"/>
          <w:szCs w:val="18"/>
        </w:rPr>
        <w:t>2</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募集资金承诺项目情况</w:t>
      </w:r>
      <w:bookmarkEnd w:id="61"/>
    </w:p>
    <w:p w14:paraId="3127E5B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62A43C33"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单位：万元</w:t>
      </w:r>
    </w:p>
    <w:tbl>
      <w:tblPr>
        <w:tblW w:w="10065"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876"/>
        <w:gridCol w:w="774"/>
        <w:gridCol w:w="709"/>
        <w:gridCol w:w="992"/>
        <w:gridCol w:w="851"/>
        <w:gridCol w:w="1054"/>
        <w:gridCol w:w="789"/>
        <w:gridCol w:w="1701"/>
        <w:gridCol w:w="850"/>
        <w:gridCol w:w="618"/>
        <w:gridCol w:w="851"/>
      </w:tblGrid>
      <w:tr w:rsidR="001D26E7" w:rsidRPr="00F614F9" w14:paraId="4A8EF183" w14:textId="77777777" w:rsidTr="0089355B">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1A65C8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承诺投资项目和超募资金投向</w:t>
            </w:r>
          </w:p>
        </w:tc>
        <w:tc>
          <w:tcPr>
            <w:tcW w:w="774" w:type="dxa"/>
            <w:tcBorders>
              <w:top w:val="single" w:sz="2" w:space="0" w:color="auto"/>
              <w:left w:val="single" w:sz="2" w:space="0" w:color="auto"/>
              <w:bottom w:val="single" w:sz="2" w:space="0" w:color="auto"/>
              <w:right w:val="single" w:sz="2" w:space="0" w:color="auto"/>
            </w:tcBorders>
            <w:shd w:val="clear" w:color="auto" w:fill="D3D3D3"/>
            <w:vAlign w:val="center"/>
          </w:tcPr>
          <w:p w14:paraId="76376A8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是否已变更项目（含部分变更）</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46FE703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募集资金承诺投资总额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2A23F09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调整后投资总额（</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3FD14E9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本报告期投入金额</w:t>
            </w:r>
          </w:p>
        </w:tc>
        <w:tc>
          <w:tcPr>
            <w:tcW w:w="1054" w:type="dxa"/>
            <w:tcBorders>
              <w:top w:val="single" w:sz="2" w:space="0" w:color="auto"/>
              <w:left w:val="single" w:sz="2" w:space="0" w:color="auto"/>
              <w:bottom w:val="single" w:sz="2" w:space="0" w:color="auto"/>
              <w:right w:val="single" w:sz="2" w:space="0" w:color="auto"/>
            </w:tcBorders>
            <w:shd w:val="clear" w:color="auto" w:fill="D3D3D3"/>
            <w:vAlign w:val="center"/>
          </w:tcPr>
          <w:p w14:paraId="5BC17F4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截至期末累计投入金额（</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w:t>
            </w:r>
          </w:p>
        </w:tc>
        <w:tc>
          <w:tcPr>
            <w:tcW w:w="789" w:type="dxa"/>
            <w:tcBorders>
              <w:top w:val="single" w:sz="2" w:space="0" w:color="auto"/>
              <w:left w:val="single" w:sz="2" w:space="0" w:color="auto"/>
              <w:bottom w:val="single" w:sz="2" w:space="0" w:color="auto"/>
              <w:right w:val="single" w:sz="2" w:space="0" w:color="auto"/>
            </w:tcBorders>
            <w:shd w:val="clear" w:color="auto" w:fill="D3D3D3"/>
            <w:vAlign w:val="center"/>
          </w:tcPr>
          <w:p w14:paraId="293CA10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截至期末投资进度</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(2)/(1)</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15F997E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项目达到预定可使用状态日期</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2344578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本报告</w:t>
            </w:r>
            <w:proofErr w:type="gramStart"/>
            <w:r w:rsidRPr="00F614F9">
              <w:rPr>
                <w:rFonts w:ascii="Times New Roman" w:eastAsia="宋体" w:hAnsi="Times New Roman" w:cs="宋体"/>
                <w:sz w:val="18"/>
                <w:szCs w:val="18"/>
              </w:rPr>
              <w:t>期实现</w:t>
            </w:r>
            <w:proofErr w:type="gramEnd"/>
            <w:r w:rsidRPr="00F614F9">
              <w:rPr>
                <w:rFonts w:ascii="Times New Roman" w:eastAsia="宋体" w:hAnsi="Times New Roman" w:cs="宋体"/>
                <w:sz w:val="18"/>
                <w:szCs w:val="18"/>
              </w:rPr>
              <w:t>的效益</w:t>
            </w:r>
          </w:p>
        </w:tc>
        <w:tc>
          <w:tcPr>
            <w:tcW w:w="618" w:type="dxa"/>
            <w:tcBorders>
              <w:top w:val="single" w:sz="2" w:space="0" w:color="auto"/>
              <w:left w:val="single" w:sz="2" w:space="0" w:color="auto"/>
              <w:bottom w:val="single" w:sz="2" w:space="0" w:color="auto"/>
              <w:right w:val="single" w:sz="2" w:space="0" w:color="auto"/>
            </w:tcBorders>
            <w:shd w:val="clear" w:color="auto" w:fill="D3D3D3"/>
            <w:vAlign w:val="center"/>
          </w:tcPr>
          <w:p w14:paraId="0FDE7FC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是否达到预计效益</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65D8D5C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项目可行性是否发生重大变化</w:t>
            </w:r>
          </w:p>
        </w:tc>
      </w:tr>
      <w:tr w:rsidR="001D26E7" w:rsidRPr="00F614F9" w14:paraId="2BC9B950" w14:textId="77777777" w:rsidTr="0089355B">
        <w:trPr>
          <w:trHeight w:val="240"/>
        </w:trPr>
        <w:tc>
          <w:tcPr>
            <w:tcW w:w="10065"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68D418D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承诺投资项目</w:t>
            </w:r>
          </w:p>
        </w:tc>
      </w:tr>
      <w:tr w:rsidR="001D26E7" w:rsidRPr="00F614F9" w14:paraId="6936656D" w14:textId="77777777" w:rsidTr="0089355B">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4D6F74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、补充流动资金</w:t>
            </w:r>
          </w:p>
        </w:tc>
        <w:tc>
          <w:tcPr>
            <w:tcW w:w="774" w:type="dxa"/>
            <w:tcBorders>
              <w:top w:val="single" w:sz="2" w:space="0" w:color="auto"/>
              <w:left w:val="single" w:sz="2" w:space="0" w:color="auto"/>
              <w:bottom w:val="single" w:sz="2" w:space="0" w:color="auto"/>
              <w:right w:val="single" w:sz="2" w:space="0" w:color="auto"/>
            </w:tcBorders>
            <w:vAlign w:val="center"/>
          </w:tcPr>
          <w:p w14:paraId="75D9F22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709" w:type="dxa"/>
            <w:tcBorders>
              <w:top w:val="single" w:sz="2" w:space="0" w:color="auto"/>
              <w:left w:val="single" w:sz="2" w:space="0" w:color="auto"/>
              <w:bottom w:val="single" w:sz="2" w:space="0" w:color="auto"/>
              <w:right w:val="single" w:sz="2" w:space="0" w:color="auto"/>
            </w:tcBorders>
            <w:vAlign w:val="center"/>
          </w:tcPr>
          <w:p w14:paraId="452BB06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28,500</w:t>
            </w:r>
          </w:p>
        </w:tc>
        <w:tc>
          <w:tcPr>
            <w:tcW w:w="992" w:type="dxa"/>
            <w:tcBorders>
              <w:top w:val="single" w:sz="2" w:space="0" w:color="auto"/>
              <w:left w:val="single" w:sz="2" w:space="0" w:color="auto"/>
              <w:bottom w:val="single" w:sz="2" w:space="0" w:color="auto"/>
              <w:right w:val="single" w:sz="2" w:space="0" w:color="auto"/>
            </w:tcBorders>
            <w:vAlign w:val="center"/>
          </w:tcPr>
          <w:p w14:paraId="381AA74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28,500</w:t>
            </w:r>
          </w:p>
        </w:tc>
        <w:tc>
          <w:tcPr>
            <w:tcW w:w="851" w:type="dxa"/>
            <w:tcBorders>
              <w:top w:val="single" w:sz="2" w:space="0" w:color="auto"/>
              <w:left w:val="single" w:sz="2" w:space="0" w:color="auto"/>
              <w:bottom w:val="single" w:sz="2" w:space="0" w:color="auto"/>
              <w:right w:val="single" w:sz="2" w:space="0" w:color="auto"/>
            </w:tcBorders>
            <w:vAlign w:val="center"/>
          </w:tcPr>
          <w:p w14:paraId="7190E693" w14:textId="77777777" w:rsidR="001D26E7" w:rsidRPr="00F614F9" w:rsidRDefault="001D26E7">
            <w:pPr>
              <w:spacing w:line="240" w:lineRule="exact"/>
              <w:jc w:val="right"/>
              <w:rPr>
                <w:rFonts w:ascii="Times New Roman" w:eastAsia="宋体" w:hAnsi="Times New Roman" w:cs="宋体"/>
                <w:sz w:val="18"/>
                <w:szCs w:val="18"/>
              </w:rPr>
            </w:pPr>
          </w:p>
        </w:tc>
        <w:tc>
          <w:tcPr>
            <w:tcW w:w="1054" w:type="dxa"/>
            <w:tcBorders>
              <w:top w:val="single" w:sz="2" w:space="0" w:color="auto"/>
              <w:left w:val="single" w:sz="2" w:space="0" w:color="auto"/>
              <w:bottom w:val="single" w:sz="2" w:space="0" w:color="auto"/>
              <w:right w:val="single" w:sz="2" w:space="0" w:color="auto"/>
            </w:tcBorders>
            <w:vAlign w:val="center"/>
          </w:tcPr>
          <w:p w14:paraId="5EEA78A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28,500</w:t>
            </w:r>
          </w:p>
        </w:tc>
        <w:tc>
          <w:tcPr>
            <w:tcW w:w="789" w:type="dxa"/>
            <w:tcBorders>
              <w:top w:val="single" w:sz="2" w:space="0" w:color="auto"/>
              <w:left w:val="single" w:sz="2" w:space="0" w:color="auto"/>
              <w:bottom w:val="single" w:sz="2" w:space="0" w:color="auto"/>
              <w:right w:val="single" w:sz="2" w:space="0" w:color="auto"/>
            </w:tcBorders>
            <w:vAlign w:val="center"/>
          </w:tcPr>
          <w:p w14:paraId="64249E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701" w:type="dxa"/>
            <w:tcBorders>
              <w:top w:val="single" w:sz="2" w:space="0" w:color="auto"/>
              <w:left w:val="single" w:sz="2" w:space="0" w:color="auto"/>
              <w:bottom w:val="single" w:sz="2" w:space="0" w:color="auto"/>
              <w:right w:val="single" w:sz="2" w:space="0" w:color="auto"/>
            </w:tcBorders>
            <w:vAlign w:val="center"/>
          </w:tcPr>
          <w:p w14:paraId="6BF3A8A5" w14:textId="77777777" w:rsidR="001D26E7" w:rsidRPr="00F614F9" w:rsidRDefault="001D26E7">
            <w:pPr>
              <w:spacing w:line="240" w:lineRule="exac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D99BB3F" w14:textId="77777777" w:rsidR="001D26E7" w:rsidRPr="00F614F9" w:rsidRDefault="001D26E7">
            <w:pPr>
              <w:spacing w:line="240" w:lineRule="exact"/>
              <w:jc w:val="right"/>
              <w:rPr>
                <w:rFonts w:ascii="Times New Roman" w:eastAsia="宋体" w:hAnsi="Times New Roman" w:cs="宋体"/>
                <w:sz w:val="18"/>
                <w:szCs w:val="18"/>
              </w:rPr>
            </w:pPr>
          </w:p>
        </w:tc>
        <w:tc>
          <w:tcPr>
            <w:tcW w:w="618" w:type="dxa"/>
            <w:tcBorders>
              <w:top w:val="single" w:sz="2" w:space="0" w:color="auto"/>
              <w:left w:val="single" w:sz="2" w:space="0" w:color="auto"/>
              <w:bottom w:val="single" w:sz="2" w:space="0" w:color="auto"/>
              <w:right w:val="single" w:sz="2" w:space="0" w:color="auto"/>
            </w:tcBorders>
            <w:vAlign w:val="center"/>
          </w:tcPr>
          <w:p w14:paraId="0DB1631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c>
          <w:tcPr>
            <w:tcW w:w="851" w:type="dxa"/>
            <w:tcBorders>
              <w:top w:val="single" w:sz="2" w:space="0" w:color="auto"/>
              <w:left w:val="single" w:sz="2" w:space="0" w:color="auto"/>
              <w:bottom w:val="single" w:sz="2" w:space="0" w:color="auto"/>
              <w:right w:val="single" w:sz="2" w:space="0" w:color="auto"/>
            </w:tcBorders>
            <w:vAlign w:val="center"/>
          </w:tcPr>
          <w:p w14:paraId="69331EE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57E84E79" w14:textId="77777777" w:rsidTr="0089355B">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6DE060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、安丘市</w:t>
            </w:r>
            <w:proofErr w:type="gramStart"/>
            <w:r w:rsidRPr="00F614F9">
              <w:rPr>
                <w:rFonts w:ascii="Times New Roman" w:eastAsia="宋体" w:hAnsi="Times New Roman" w:cs="宋体"/>
                <w:sz w:val="18"/>
                <w:szCs w:val="18"/>
              </w:rPr>
              <w:t>石埠子镇</w:t>
            </w:r>
            <w:proofErr w:type="gramEnd"/>
            <w:r w:rsidRPr="00F614F9">
              <w:rPr>
                <w:rFonts w:ascii="Times New Roman" w:eastAsia="宋体" w:hAnsi="Times New Roman" w:cs="宋体"/>
                <w:sz w:val="18"/>
                <w:szCs w:val="18"/>
              </w:rPr>
              <w:t>新建年出栏</w:t>
            </w:r>
            <w:r w:rsidRPr="00F614F9">
              <w:rPr>
                <w:rFonts w:ascii="Times New Roman" w:eastAsia="宋体" w:hAnsi="Times New Roman" w:cs="宋体"/>
                <w:sz w:val="18"/>
                <w:szCs w:val="18"/>
              </w:rPr>
              <w:t>50</w:t>
            </w:r>
            <w:r w:rsidRPr="00F614F9">
              <w:rPr>
                <w:rFonts w:ascii="Times New Roman" w:eastAsia="宋体" w:hAnsi="Times New Roman" w:cs="宋体"/>
                <w:sz w:val="18"/>
                <w:szCs w:val="18"/>
              </w:rPr>
              <w:t>万头商品猪项目（</w:t>
            </w:r>
            <w:proofErr w:type="gramStart"/>
            <w:r w:rsidRPr="00F614F9">
              <w:rPr>
                <w:rFonts w:ascii="Times New Roman" w:eastAsia="宋体" w:hAnsi="Times New Roman" w:cs="宋体"/>
                <w:sz w:val="18"/>
                <w:szCs w:val="18"/>
              </w:rPr>
              <w:t>晏</w:t>
            </w:r>
            <w:proofErr w:type="gramEnd"/>
            <w:r w:rsidRPr="00F614F9">
              <w:rPr>
                <w:rFonts w:ascii="Times New Roman" w:eastAsia="宋体" w:hAnsi="Times New Roman" w:cs="宋体"/>
                <w:sz w:val="18"/>
                <w:szCs w:val="18"/>
              </w:rPr>
              <w:t>峪猪场）</w:t>
            </w:r>
          </w:p>
        </w:tc>
        <w:tc>
          <w:tcPr>
            <w:tcW w:w="774" w:type="dxa"/>
            <w:tcBorders>
              <w:top w:val="single" w:sz="2" w:space="0" w:color="auto"/>
              <w:left w:val="single" w:sz="2" w:space="0" w:color="auto"/>
              <w:bottom w:val="single" w:sz="2" w:space="0" w:color="auto"/>
              <w:right w:val="single" w:sz="2" w:space="0" w:color="auto"/>
            </w:tcBorders>
            <w:vAlign w:val="center"/>
          </w:tcPr>
          <w:p w14:paraId="6E9AF96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709" w:type="dxa"/>
            <w:tcBorders>
              <w:top w:val="single" w:sz="2" w:space="0" w:color="auto"/>
              <w:left w:val="single" w:sz="2" w:space="0" w:color="auto"/>
              <w:bottom w:val="single" w:sz="2" w:space="0" w:color="auto"/>
              <w:right w:val="single" w:sz="2" w:space="0" w:color="auto"/>
            </w:tcBorders>
            <w:vAlign w:val="center"/>
          </w:tcPr>
          <w:p w14:paraId="4A6019E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66,500</w:t>
            </w:r>
          </w:p>
        </w:tc>
        <w:tc>
          <w:tcPr>
            <w:tcW w:w="992" w:type="dxa"/>
            <w:tcBorders>
              <w:top w:val="single" w:sz="2" w:space="0" w:color="auto"/>
              <w:left w:val="single" w:sz="2" w:space="0" w:color="auto"/>
              <w:bottom w:val="single" w:sz="2" w:space="0" w:color="auto"/>
              <w:right w:val="single" w:sz="2" w:space="0" w:color="auto"/>
            </w:tcBorders>
            <w:vAlign w:val="center"/>
          </w:tcPr>
          <w:p w14:paraId="63CF63A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66,500</w:t>
            </w:r>
          </w:p>
        </w:tc>
        <w:tc>
          <w:tcPr>
            <w:tcW w:w="851" w:type="dxa"/>
            <w:tcBorders>
              <w:top w:val="single" w:sz="2" w:space="0" w:color="auto"/>
              <w:left w:val="single" w:sz="2" w:space="0" w:color="auto"/>
              <w:bottom w:val="single" w:sz="2" w:space="0" w:color="auto"/>
              <w:right w:val="single" w:sz="2" w:space="0" w:color="auto"/>
            </w:tcBorders>
            <w:vAlign w:val="center"/>
          </w:tcPr>
          <w:p w14:paraId="262ECD3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1,797.46</w:t>
            </w:r>
          </w:p>
        </w:tc>
        <w:tc>
          <w:tcPr>
            <w:tcW w:w="1054" w:type="dxa"/>
            <w:tcBorders>
              <w:top w:val="single" w:sz="2" w:space="0" w:color="auto"/>
              <w:left w:val="single" w:sz="2" w:space="0" w:color="auto"/>
              <w:bottom w:val="single" w:sz="2" w:space="0" w:color="auto"/>
              <w:right w:val="single" w:sz="2" w:space="0" w:color="auto"/>
            </w:tcBorders>
            <w:vAlign w:val="center"/>
          </w:tcPr>
          <w:p w14:paraId="6C8499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27,552.37</w:t>
            </w:r>
          </w:p>
        </w:tc>
        <w:tc>
          <w:tcPr>
            <w:tcW w:w="789" w:type="dxa"/>
            <w:tcBorders>
              <w:top w:val="single" w:sz="2" w:space="0" w:color="auto"/>
              <w:left w:val="single" w:sz="2" w:space="0" w:color="auto"/>
              <w:bottom w:val="single" w:sz="2" w:space="0" w:color="auto"/>
              <w:right w:val="single" w:sz="2" w:space="0" w:color="auto"/>
            </w:tcBorders>
            <w:vAlign w:val="center"/>
          </w:tcPr>
          <w:p w14:paraId="360610E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41.43%</w:t>
            </w:r>
          </w:p>
        </w:tc>
        <w:tc>
          <w:tcPr>
            <w:tcW w:w="1701" w:type="dxa"/>
            <w:tcBorders>
              <w:top w:val="single" w:sz="2" w:space="0" w:color="auto"/>
              <w:left w:val="single" w:sz="2" w:space="0" w:color="auto"/>
              <w:bottom w:val="single" w:sz="2" w:space="0" w:color="auto"/>
              <w:right w:val="single" w:sz="2" w:space="0" w:color="auto"/>
            </w:tcBorders>
            <w:vAlign w:val="center"/>
          </w:tcPr>
          <w:p w14:paraId="21C4155D" w14:textId="77777777" w:rsidR="001D26E7" w:rsidRPr="00F614F9" w:rsidRDefault="00F7689A">
            <w:pPr>
              <w:spacing w:line="240" w:lineRule="exact"/>
              <w:rPr>
                <w:rFonts w:ascii="Times New Roman" w:eastAsia="宋体" w:hAnsi="Times New Roman" w:cs="宋体"/>
                <w:sz w:val="18"/>
                <w:szCs w:val="18"/>
              </w:rPr>
            </w:pPr>
            <w:r w:rsidRPr="00F7689A">
              <w:rPr>
                <w:rFonts w:ascii="Times New Roman" w:eastAsia="宋体" w:hAnsi="Times New Roman" w:cs="宋体" w:hint="eastAsia"/>
                <w:sz w:val="18"/>
                <w:szCs w:val="18"/>
              </w:rPr>
              <w:t>截止</w:t>
            </w:r>
            <w:r w:rsidRPr="00F7689A">
              <w:rPr>
                <w:rFonts w:ascii="Times New Roman" w:eastAsia="宋体" w:hAnsi="Times New Roman" w:cs="宋体"/>
                <w:sz w:val="18"/>
                <w:szCs w:val="18"/>
              </w:rPr>
              <w:t>2023</w:t>
            </w:r>
            <w:r w:rsidRPr="00F7689A">
              <w:rPr>
                <w:rFonts w:ascii="Times New Roman" w:eastAsia="宋体" w:hAnsi="Times New Roman" w:cs="宋体"/>
                <w:sz w:val="18"/>
                <w:szCs w:val="18"/>
              </w:rPr>
              <w:t>年底，尚未完全投入使用</w:t>
            </w:r>
          </w:p>
        </w:tc>
        <w:tc>
          <w:tcPr>
            <w:tcW w:w="850" w:type="dxa"/>
            <w:tcBorders>
              <w:top w:val="single" w:sz="2" w:space="0" w:color="auto"/>
              <w:left w:val="single" w:sz="2" w:space="0" w:color="auto"/>
              <w:bottom w:val="single" w:sz="2" w:space="0" w:color="auto"/>
              <w:right w:val="single" w:sz="2" w:space="0" w:color="auto"/>
            </w:tcBorders>
            <w:vAlign w:val="center"/>
          </w:tcPr>
          <w:p w14:paraId="7A744C4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-4,458.78</w:t>
            </w:r>
          </w:p>
        </w:tc>
        <w:tc>
          <w:tcPr>
            <w:tcW w:w="618" w:type="dxa"/>
            <w:tcBorders>
              <w:top w:val="single" w:sz="2" w:space="0" w:color="auto"/>
              <w:left w:val="single" w:sz="2" w:space="0" w:color="auto"/>
              <w:bottom w:val="single" w:sz="2" w:space="0" w:color="auto"/>
              <w:right w:val="single" w:sz="2" w:space="0" w:color="auto"/>
            </w:tcBorders>
            <w:vAlign w:val="center"/>
          </w:tcPr>
          <w:p w14:paraId="5A9F222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51" w:type="dxa"/>
            <w:tcBorders>
              <w:top w:val="single" w:sz="2" w:space="0" w:color="auto"/>
              <w:left w:val="single" w:sz="2" w:space="0" w:color="auto"/>
              <w:bottom w:val="single" w:sz="2" w:space="0" w:color="auto"/>
              <w:right w:val="single" w:sz="2" w:space="0" w:color="auto"/>
            </w:tcBorders>
            <w:vAlign w:val="center"/>
          </w:tcPr>
          <w:p w14:paraId="25EEDED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663B640D" w14:textId="77777777" w:rsidTr="0089355B">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6176CC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、补充流动资金</w:t>
            </w:r>
          </w:p>
        </w:tc>
        <w:tc>
          <w:tcPr>
            <w:tcW w:w="774" w:type="dxa"/>
            <w:tcBorders>
              <w:top w:val="single" w:sz="2" w:space="0" w:color="auto"/>
              <w:left w:val="single" w:sz="2" w:space="0" w:color="auto"/>
              <w:bottom w:val="single" w:sz="2" w:space="0" w:color="auto"/>
              <w:right w:val="single" w:sz="2" w:space="0" w:color="auto"/>
            </w:tcBorders>
            <w:vAlign w:val="center"/>
          </w:tcPr>
          <w:p w14:paraId="4BB4A23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709" w:type="dxa"/>
            <w:tcBorders>
              <w:top w:val="single" w:sz="2" w:space="0" w:color="auto"/>
              <w:left w:val="single" w:sz="2" w:space="0" w:color="auto"/>
              <w:bottom w:val="single" w:sz="2" w:space="0" w:color="auto"/>
              <w:right w:val="single" w:sz="2" w:space="0" w:color="auto"/>
            </w:tcBorders>
            <w:vAlign w:val="center"/>
          </w:tcPr>
          <w:p w14:paraId="6BC04AA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45,000</w:t>
            </w:r>
          </w:p>
        </w:tc>
        <w:tc>
          <w:tcPr>
            <w:tcW w:w="992" w:type="dxa"/>
            <w:tcBorders>
              <w:top w:val="single" w:sz="2" w:space="0" w:color="auto"/>
              <w:left w:val="single" w:sz="2" w:space="0" w:color="auto"/>
              <w:bottom w:val="single" w:sz="2" w:space="0" w:color="auto"/>
              <w:right w:val="single" w:sz="2" w:space="0" w:color="auto"/>
            </w:tcBorders>
            <w:vAlign w:val="center"/>
          </w:tcPr>
          <w:p w14:paraId="4AFDFD9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18,612</w:t>
            </w:r>
          </w:p>
        </w:tc>
        <w:tc>
          <w:tcPr>
            <w:tcW w:w="851" w:type="dxa"/>
            <w:tcBorders>
              <w:top w:val="single" w:sz="2" w:space="0" w:color="auto"/>
              <w:left w:val="single" w:sz="2" w:space="0" w:color="auto"/>
              <w:bottom w:val="single" w:sz="2" w:space="0" w:color="auto"/>
              <w:right w:val="single" w:sz="2" w:space="0" w:color="auto"/>
            </w:tcBorders>
            <w:vAlign w:val="center"/>
          </w:tcPr>
          <w:p w14:paraId="0CF60716" w14:textId="77777777" w:rsidR="001D26E7" w:rsidRPr="00F614F9" w:rsidRDefault="001D26E7">
            <w:pPr>
              <w:spacing w:line="240" w:lineRule="exact"/>
              <w:jc w:val="right"/>
              <w:rPr>
                <w:rFonts w:ascii="Times New Roman" w:eastAsia="宋体" w:hAnsi="Times New Roman" w:cs="宋体"/>
                <w:sz w:val="18"/>
                <w:szCs w:val="18"/>
              </w:rPr>
            </w:pPr>
          </w:p>
        </w:tc>
        <w:tc>
          <w:tcPr>
            <w:tcW w:w="1054" w:type="dxa"/>
            <w:tcBorders>
              <w:top w:val="single" w:sz="2" w:space="0" w:color="auto"/>
              <w:left w:val="single" w:sz="2" w:space="0" w:color="auto"/>
              <w:bottom w:val="single" w:sz="2" w:space="0" w:color="auto"/>
              <w:right w:val="single" w:sz="2" w:space="0" w:color="auto"/>
            </w:tcBorders>
            <w:vAlign w:val="center"/>
          </w:tcPr>
          <w:p w14:paraId="557A952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18,612</w:t>
            </w:r>
          </w:p>
        </w:tc>
        <w:tc>
          <w:tcPr>
            <w:tcW w:w="789" w:type="dxa"/>
            <w:tcBorders>
              <w:top w:val="single" w:sz="2" w:space="0" w:color="auto"/>
              <w:left w:val="single" w:sz="2" w:space="0" w:color="auto"/>
              <w:bottom w:val="single" w:sz="2" w:space="0" w:color="auto"/>
              <w:right w:val="single" w:sz="2" w:space="0" w:color="auto"/>
            </w:tcBorders>
            <w:vAlign w:val="center"/>
          </w:tcPr>
          <w:p w14:paraId="5AB9FCC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701" w:type="dxa"/>
            <w:tcBorders>
              <w:top w:val="single" w:sz="2" w:space="0" w:color="auto"/>
              <w:left w:val="single" w:sz="2" w:space="0" w:color="auto"/>
              <w:bottom w:val="single" w:sz="2" w:space="0" w:color="auto"/>
              <w:right w:val="single" w:sz="2" w:space="0" w:color="auto"/>
            </w:tcBorders>
            <w:vAlign w:val="center"/>
          </w:tcPr>
          <w:p w14:paraId="2C230375" w14:textId="77777777" w:rsidR="001D26E7" w:rsidRPr="00F614F9" w:rsidRDefault="001D26E7">
            <w:pPr>
              <w:spacing w:line="240" w:lineRule="exac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6487CF0" w14:textId="77777777" w:rsidR="001D26E7" w:rsidRPr="00F614F9" w:rsidRDefault="001D26E7">
            <w:pPr>
              <w:spacing w:line="240" w:lineRule="exact"/>
              <w:jc w:val="right"/>
              <w:rPr>
                <w:rFonts w:ascii="Times New Roman" w:eastAsia="宋体" w:hAnsi="Times New Roman" w:cs="宋体"/>
                <w:sz w:val="18"/>
                <w:szCs w:val="18"/>
              </w:rPr>
            </w:pPr>
          </w:p>
        </w:tc>
        <w:tc>
          <w:tcPr>
            <w:tcW w:w="618" w:type="dxa"/>
            <w:tcBorders>
              <w:top w:val="single" w:sz="2" w:space="0" w:color="auto"/>
              <w:left w:val="single" w:sz="2" w:space="0" w:color="auto"/>
              <w:bottom w:val="single" w:sz="2" w:space="0" w:color="auto"/>
              <w:right w:val="single" w:sz="2" w:space="0" w:color="auto"/>
            </w:tcBorders>
            <w:vAlign w:val="center"/>
          </w:tcPr>
          <w:p w14:paraId="35EDF06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c>
          <w:tcPr>
            <w:tcW w:w="851" w:type="dxa"/>
            <w:tcBorders>
              <w:top w:val="single" w:sz="2" w:space="0" w:color="auto"/>
              <w:left w:val="single" w:sz="2" w:space="0" w:color="auto"/>
              <w:bottom w:val="single" w:sz="2" w:space="0" w:color="auto"/>
              <w:right w:val="single" w:sz="2" w:space="0" w:color="auto"/>
            </w:tcBorders>
            <w:vAlign w:val="center"/>
          </w:tcPr>
          <w:p w14:paraId="042DA5B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3091C6E" w14:textId="77777777" w:rsidTr="0089355B">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F7A294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、山东新建年出栏生猪</w:t>
            </w:r>
            <w:r w:rsidRPr="00F614F9">
              <w:rPr>
                <w:rFonts w:ascii="Times New Roman" w:eastAsia="宋体" w:hAnsi="Times New Roman" w:cs="宋体"/>
                <w:sz w:val="18"/>
                <w:szCs w:val="18"/>
              </w:rPr>
              <w:t>66</w:t>
            </w:r>
            <w:r w:rsidRPr="00F614F9">
              <w:rPr>
                <w:rFonts w:ascii="Times New Roman" w:eastAsia="宋体" w:hAnsi="Times New Roman" w:cs="宋体"/>
                <w:sz w:val="18"/>
                <w:szCs w:val="18"/>
              </w:rPr>
              <w:t>万头养殖项目（</w:t>
            </w:r>
            <w:proofErr w:type="gramStart"/>
            <w:r w:rsidRPr="00F614F9">
              <w:rPr>
                <w:rFonts w:ascii="Times New Roman" w:eastAsia="宋体" w:hAnsi="Times New Roman" w:cs="宋体"/>
                <w:sz w:val="18"/>
                <w:szCs w:val="18"/>
              </w:rPr>
              <w:t>苟</w:t>
            </w:r>
            <w:proofErr w:type="gramEnd"/>
            <w:r w:rsidRPr="00F614F9">
              <w:rPr>
                <w:rFonts w:ascii="Times New Roman" w:eastAsia="宋体" w:hAnsi="Times New Roman" w:cs="宋体"/>
                <w:sz w:val="18"/>
                <w:szCs w:val="18"/>
              </w:rPr>
              <w:t>各庄猪场、马台石猪场）</w:t>
            </w:r>
          </w:p>
        </w:tc>
        <w:tc>
          <w:tcPr>
            <w:tcW w:w="774" w:type="dxa"/>
            <w:tcBorders>
              <w:top w:val="single" w:sz="2" w:space="0" w:color="auto"/>
              <w:left w:val="single" w:sz="2" w:space="0" w:color="auto"/>
              <w:bottom w:val="single" w:sz="2" w:space="0" w:color="auto"/>
              <w:right w:val="single" w:sz="2" w:space="0" w:color="auto"/>
            </w:tcBorders>
            <w:vAlign w:val="center"/>
          </w:tcPr>
          <w:p w14:paraId="5C8D76F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709" w:type="dxa"/>
            <w:tcBorders>
              <w:top w:val="single" w:sz="2" w:space="0" w:color="auto"/>
              <w:left w:val="single" w:sz="2" w:space="0" w:color="auto"/>
              <w:bottom w:val="single" w:sz="2" w:space="0" w:color="auto"/>
              <w:right w:val="single" w:sz="2" w:space="0" w:color="auto"/>
            </w:tcBorders>
            <w:vAlign w:val="center"/>
          </w:tcPr>
          <w:p w14:paraId="3A1A694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105,000</w:t>
            </w:r>
          </w:p>
        </w:tc>
        <w:tc>
          <w:tcPr>
            <w:tcW w:w="992" w:type="dxa"/>
            <w:tcBorders>
              <w:top w:val="single" w:sz="2" w:space="0" w:color="auto"/>
              <w:left w:val="single" w:sz="2" w:space="0" w:color="auto"/>
              <w:bottom w:val="single" w:sz="2" w:space="0" w:color="auto"/>
              <w:right w:val="single" w:sz="2" w:space="0" w:color="auto"/>
            </w:tcBorders>
            <w:vAlign w:val="center"/>
          </w:tcPr>
          <w:p w14:paraId="2244B5F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42,466.64</w:t>
            </w:r>
          </w:p>
        </w:tc>
        <w:tc>
          <w:tcPr>
            <w:tcW w:w="851" w:type="dxa"/>
            <w:tcBorders>
              <w:top w:val="single" w:sz="2" w:space="0" w:color="auto"/>
              <w:left w:val="single" w:sz="2" w:space="0" w:color="auto"/>
              <w:bottom w:val="single" w:sz="2" w:space="0" w:color="auto"/>
              <w:right w:val="single" w:sz="2" w:space="0" w:color="auto"/>
            </w:tcBorders>
            <w:vAlign w:val="center"/>
          </w:tcPr>
          <w:p w14:paraId="41046B1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1,487.98</w:t>
            </w:r>
          </w:p>
        </w:tc>
        <w:tc>
          <w:tcPr>
            <w:tcW w:w="1054" w:type="dxa"/>
            <w:tcBorders>
              <w:top w:val="single" w:sz="2" w:space="0" w:color="auto"/>
              <w:left w:val="single" w:sz="2" w:space="0" w:color="auto"/>
              <w:bottom w:val="single" w:sz="2" w:space="0" w:color="auto"/>
              <w:right w:val="single" w:sz="2" w:space="0" w:color="auto"/>
            </w:tcBorders>
            <w:vAlign w:val="center"/>
          </w:tcPr>
          <w:p w14:paraId="618C2B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31,716.79</w:t>
            </w:r>
          </w:p>
        </w:tc>
        <w:tc>
          <w:tcPr>
            <w:tcW w:w="789" w:type="dxa"/>
            <w:tcBorders>
              <w:top w:val="single" w:sz="2" w:space="0" w:color="auto"/>
              <w:left w:val="single" w:sz="2" w:space="0" w:color="auto"/>
              <w:bottom w:val="single" w:sz="2" w:space="0" w:color="auto"/>
              <w:right w:val="single" w:sz="2" w:space="0" w:color="auto"/>
            </w:tcBorders>
            <w:vAlign w:val="center"/>
          </w:tcPr>
          <w:p w14:paraId="596C483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74.69%</w:t>
            </w:r>
          </w:p>
        </w:tc>
        <w:tc>
          <w:tcPr>
            <w:tcW w:w="1701" w:type="dxa"/>
            <w:tcBorders>
              <w:top w:val="single" w:sz="2" w:space="0" w:color="auto"/>
              <w:left w:val="single" w:sz="2" w:space="0" w:color="auto"/>
              <w:bottom w:val="single" w:sz="2" w:space="0" w:color="auto"/>
              <w:right w:val="single" w:sz="2" w:space="0" w:color="auto"/>
            </w:tcBorders>
            <w:vAlign w:val="center"/>
          </w:tcPr>
          <w:p w14:paraId="2A1BA44D" w14:textId="77777777" w:rsidR="001D26E7" w:rsidRPr="00F614F9" w:rsidRDefault="00F7689A">
            <w:pPr>
              <w:spacing w:line="240" w:lineRule="exact"/>
              <w:rPr>
                <w:rFonts w:ascii="Times New Roman" w:eastAsia="宋体" w:hAnsi="Times New Roman" w:cs="宋体"/>
                <w:sz w:val="18"/>
                <w:szCs w:val="18"/>
              </w:rPr>
            </w:pPr>
            <w:r w:rsidRPr="00F7689A">
              <w:rPr>
                <w:rFonts w:ascii="Times New Roman" w:eastAsia="宋体" w:hAnsi="Times New Roman" w:cs="宋体" w:hint="eastAsia"/>
                <w:sz w:val="18"/>
                <w:szCs w:val="18"/>
              </w:rPr>
              <w:t>截止</w:t>
            </w:r>
            <w:r w:rsidRPr="00F7689A">
              <w:rPr>
                <w:rFonts w:ascii="Times New Roman" w:eastAsia="宋体" w:hAnsi="Times New Roman" w:cs="宋体"/>
                <w:sz w:val="18"/>
                <w:szCs w:val="18"/>
              </w:rPr>
              <w:t>2023</w:t>
            </w:r>
            <w:r w:rsidRPr="00F7689A">
              <w:rPr>
                <w:rFonts w:ascii="Times New Roman" w:eastAsia="宋体" w:hAnsi="Times New Roman" w:cs="宋体"/>
                <w:sz w:val="18"/>
                <w:szCs w:val="18"/>
              </w:rPr>
              <w:t>年底，尚未完全投入使用</w:t>
            </w:r>
          </w:p>
        </w:tc>
        <w:tc>
          <w:tcPr>
            <w:tcW w:w="850" w:type="dxa"/>
            <w:tcBorders>
              <w:top w:val="single" w:sz="2" w:space="0" w:color="auto"/>
              <w:left w:val="single" w:sz="2" w:space="0" w:color="auto"/>
              <w:bottom w:val="single" w:sz="2" w:space="0" w:color="auto"/>
              <w:right w:val="single" w:sz="2" w:space="0" w:color="auto"/>
            </w:tcBorders>
            <w:vAlign w:val="center"/>
          </w:tcPr>
          <w:p w14:paraId="017ADF8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-4,061.61</w:t>
            </w:r>
          </w:p>
        </w:tc>
        <w:tc>
          <w:tcPr>
            <w:tcW w:w="618" w:type="dxa"/>
            <w:tcBorders>
              <w:top w:val="single" w:sz="2" w:space="0" w:color="auto"/>
              <w:left w:val="single" w:sz="2" w:space="0" w:color="auto"/>
              <w:bottom w:val="single" w:sz="2" w:space="0" w:color="auto"/>
              <w:right w:val="single" w:sz="2" w:space="0" w:color="auto"/>
            </w:tcBorders>
            <w:vAlign w:val="center"/>
          </w:tcPr>
          <w:p w14:paraId="61DE622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51" w:type="dxa"/>
            <w:tcBorders>
              <w:top w:val="single" w:sz="2" w:space="0" w:color="auto"/>
              <w:left w:val="single" w:sz="2" w:space="0" w:color="auto"/>
              <w:bottom w:val="single" w:sz="2" w:space="0" w:color="auto"/>
              <w:right w:val="single" w:sz="2" w:space="0" w:color="auto"/>
            </w:tcBorders>
            <w:vAlign w:val="center"/>
          </w:tcPr>
          <w:p w14:paraId="2B67AA9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CA1E9F2" w14:textId="77777777" w:rsidTr="0089355B">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F94882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承诺投资项目小计</w:t>
            </w:r>
          </w:p>
        </w:tc>
        <w:tc>
          <w:tcPr>
            <w:tcW w:w="774" w:type="dxa"/>
            <w:tcBorders>
              <w:top w:val="single" w:sz="2" w:space="0" w:color="auto"/>
              <w:left w:val="single" w:sz="2" w:space="0" w:color="auto"/>
              <w:bottom w:val="single" w:sz="2" w:space="0" w:color="auto"/>
              <w:right w:val="single" w:sz="2" w:space="0" w:color="auto"/>
            </w:tcBorders>
            <w:shd w:val="clear" w:color="auto" w:fill="D3D3D3"/>
            <w:vAlign w:val="center"/>
          </w:tcPr>
          <w:p w14:paraId="1038BC2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6B96F88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245,000</w:t>
            </w:r>
          </w:p>
        </w:tc>
        <w:tc>
          <w:tcPr>
            <w:tcW w:w="992" w:type="dxa"/>
            <w:tcBorders>
              <w:top w:val="single" w:sz="2" w:space="0" w:color="auto"/>
              <w:left w:val="single" w:sz="2" w:space="0" w:color="auto"/>
              <w:bottom w:val="single" w:sz="2" w:space="0" w:color="auto"/>
              <w:right w:val="single" w:sz="2" w:space="0" w:color="auto"/>
            </w:tcBorders>
            <w:vAlign w:val="center"/>
          </w:tcPr>
          <w:p w14:paraId="19C98DD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156,078.64</w:t>
            </w:r>
          </w:p>
        </w:tc>
        <w:tc>
          <w:tcPr>
            <w:tcW w:w="851" w:type="dxa"/>
            <w:tcBorders>
              <w:top w:val="single" w:sz="2" w:space="0" w:color="auto"/>
              <w:left w:val="single" w:sz="2" w:space="0" w:color="auto"/>
              <w:bottom w:val="single" w:sz="2" w:space="0" w:color="auto"/>
              <w:right w:val="single" w:sz="2" w:space="0" w:color="auto"/>
            </w:tcBorders>
            <w:vAlign w:val="center"/>
          </w:tcPr>
          <w:p w14:paraId="6453448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3,285.44</w:t>
            </w:r>
          </w:p>
        </w:tc>
        <w:tc>
          <w:tcPr>
            <w:tcW w:w="1054" w:type="dxa"/>
            <w:tcBorders>
              <w:top w:val="single" w:sz="2" w:space="0" w:color="auto"/>
              <w:left w:val="single" w:sz="2" w:space="0" w:color="auto"/>
              <w:bottom w:val="single" w:sz="2" w:space="0" w:color="auto"/>
              <w:right w:val="single" w:sz="2" w:space="0" w:color="auto"/>
            </w:tcBorders>
            <w:vAlign w:val="center"/>
          </w:tcPr>
          <w:p w14:paraId="6977C2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106,381.16</w:t>
            </w:r>
          </w:p>
        </w:tc>
        <w:tc>
          <w:tcPr>
            <w:tcW w:w="789" w:type="dxa"/>
            <w:tcBorders>
              <w:top w:val="single" w:sz="2" w:space="0" w:color="auto"/>
              <w:left w:val="single" w:sz="2" w:space="0" w:color="auto"/>
              <w:bottom w:val="single" w:sz="2" w:space="0" w:color="auto"/>
              <w:right w:val="single" w:sz="2" w:space="0" w:color="auto"/>
            </w:tcBorders>
            <w:shd w:val="clear" w:color="auto" w:fill="D3D3D3"/>
            <w:vAlign w:val="center"/>
          </w:tcPr>
          <w:p w14:paraId="32757C4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602DD0E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850" w:type="dxa"/>
            <w:tcBorders>
              <w:top w:val="single" w:sz="2" w:space="0" w:color="auto"/>
              <w:left w:val="single" w:sz="2" w:space="0" w:color="auto"/>
              <w:bottom w:val="single" w:sz="2" w:space="0" w:color="auto"/>
              <w:right w:val="single" w:sz="2" w:space="0" w:color="auto"/>
            </w:tcBorders>
            <w:vAlign w:val="center"/>
          </w:tcPr>
          <w:p w14:paraId="58B3828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-8,520.39</w:t>
            </w:r>
          </w:p>
        </w:tc>
        <w:tc>
          <w:tcPr>
            <w:tcW w:w="618" w:type="dxa"/>
            <w:tcBorders>
              <w:top w:val="single" w:sz="2" w:space="0" w:color="auto"/>
              <w:left w:val="single" w:sz="2" w:space="0" w:color="auto"/>
              <w:bottom w:val="single" w:sz="2" w:space="0" w:color="auto"/>
              <w:right w:val="single" w:sz="2" w:space="0" w:color="auto"/>
            </w:tcBorders>
            <w:shd w:val="clear" w:color="auto" w:fill="D3D3D3"/>
            <w:vAlign w:val="center"/>
          </w:tcPr>
          <w:p w14:paraId="79A3951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139B6C9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r>
      <w:tr w:rsidR="001D26E7" w:rsidRPr="00F614F9" w14:paraId="519F55D8" w14:textId="77777777" w:rsidTr="0089355B">
        <w:trPr>
          <w:trHeight w:val="240"/>
        </w:trPr>
        <w:tc>
          <w:tcPr>
            <w:tcW w:w="10065"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7A98C3E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超募资金投向</w:t>
            </w:r>
          </w:p>
        </w:tc>
      </w:tr>
      <w:tr w:rsidR="001D26E7" w:rsidRPr="00F614F9" w14:paraId="1AA18852" w14:textId="77777777" w:rsidTr="0089355B">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8AD27D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c>
          <w:tcPr>
            <w:tcW w:w="774" w:type="dxa"/>
            <w:tcBorders>
              <w:top w:val="single" w:sz="2" w:space="0" w:color="auto"/>
              <w:left w:val="single" w:sz="2" w:space="0" w:color="auto"/>
              <w:bottom w:val="single" w:sz="2" w:space="0" w:color="auto"/>
              <w:right w:val="single" w:sz="2" w:space="0" w:color="auto"/>
            </w:tcBorders>
            <w:vAlign w:val="center"/>
          </w:tcPr>
          <w:p w14:paraId="55DE6448" w14:textId="77777777" w:rsidR="001D26E7" w:rsidRPr="00F614F9" w:rsidRDefault="001D26E7">
            <w:pPr>
              <w:spacing w:line="240" w:lineRule="exact"/>
              <w:rPr>
                <w:rFonts w:ascii="Times New Roman" w:eastAsia="宋体" w:hAnsi="Times New Roman"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FB9FDB0" w14:textId="77777777" w:rsidR="001D26E7" w:rsidRPr="00F614F9" w:rsidRDefault="001D26E7">
            <w:pPr>
              <w:spacing w:line="240" w:lineRule="exact"/>
              <w:jc w:val="right"/>
              <w:rPr>
                <w:rFonts w:ascii="Times New Roman" w:eastAsia="宋体" w:hAnsi="Times New Roman"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D46397B" w14:textId="77777777" w:rsidR="001D26E7" w:rsidRPr="00F614F9" w:rsidRDefault="001D26E7">
            <w:pPr>
              <w:spacing w:line="240" w:lineRule="exact"/>
              <w:jc w:val="right"/>
              <w:rPr>
                <w:rFonts w:ascii="Times New Roman" w:eastAsia="宋体" w:hAnsi="Times New Roman"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7A17F6C7" w14:textId="77777777" w:rsidR="001D26E7" w:rsidRPr="00F614F9" w:rsidRDefault="001D26E7">
            <w:pPr>
              <w:spacing w:line="240" w:lineRule="exact"/>
              <w:jc w:val="right"/>
              <w:rPr>
                <w:rFonts w:ascii="Times New Roman" w:eastAsia="宋体" w:hAnsi="Times New Roman" w:cs="宋体"/>
                <w:sz w:val="18"/>
                <w:szCs w:val="18"/>
              </w:rPr>
            </w:pPr>
          </w:p>
        </w:tc>
        <w:tc>
          <w:tcPr>
            <w:tcW w:w="1054" w:type="dxa"/>
            <w:tcBorders>
              <w:top w:val="single" w:sz="2" w:space="0" w:color="auto"/>
              <w:left w:val="single" w:sz="2" w:space="0" w:color="auto"/>
              <w:bottom w:val="single" w:sz="2" w:space="0" w:color="auto"/>
              <w:right w:val="single" w:sz="2" w:space="0" w:color="auto"/>
            </w:tcBorders>
            <w:vAlign w:val="center"/>
          </w:tcPr>
          <w:p w14:paraId="04631AFF" w14:textId="77777777" w:rsidR="001D26E7" w:rsidRPr="00F614F9" w:rsidRDefault="001D26E7">
            <w:pPr>
              <w:spacing w:line="240" w:lineRule="exact"/>
              <w:jc w:val="right"/>
              <w:rPr>
                <w:rFonts w:ascii="Times New Roman" w:eastAsia="宋体" w:hAnsi="Times New Roman" w:cs="宋体"/>
                <w:sz w:val="18"/>
                <w:szCs w:val="18"/>
              </w:rPr>
            </w:pPr>
          </w:p>
        </w:tc>
        <w:tc>
          <w:tcPr>
            <w:tcW w:w="789" w:type="dxa"/>
            <w:tcBorders>
              <w:top w:val="single" w:sz="2" w:space="0" w:color="auto"/>
              <w:left w:val="single" w:sz="2" w:space="0" w:color="auto"/>
              <w:bottom w:val="single" w:sz="2" w:space="0" w:color="auto"/>
              <w:right w:val="single" w:sz="2" w:space="0" w:color="auto"/>
            </w:tcBorders>
            <w:vAlign w:val="center"/>
          </w:tcPr>
          <w:p w14:paraId="690F4EEC"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0B53ACF9" w14:textId="77777777" w:rsidR="001D26E7" w:rsidRPr="00F614F9" w:rsidRDefault="001D26E7">
            <w:pPr>
              <w:spacing w:line="240" w:lineRule="exac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41F7BE4" w14:textId="77777777" w:rsidR="001D26E7" w:rsidRPr="00F614F9" w:rsidRDefault="001D26E7">
            <w:pPr>
              <w:spacing w:line="240" w:lineRule="exact"/>
              <w:jc w:val="right"/>
              <w:rPr>
                <w:rFonts w:ascii="Times New Roman" w:eastAsia="宋体" w:hAnsi="Times New Roman" w:cs="宋体"/>
                <w:sz w:val="18"/>
                <w:szCs w:val="18"/>
              </w:rPr>
            </w:pPr>
          </w:p>
        </w:tc>
        <w:tc>
          <w:tcPr>
            <w:tcW w:w="618" w:type="dxa"/>
            <w:tcBorders>
              <w:top w:val="single" w:sz="2" w:space="0" w:color="auto"/>
              <w:left w:val="single" w:sz="2" w:space="0" w:color="auto"/>
              <w:bottom w:val="single" w:sz="2" w:space="0" w:color="auto"/>
              <w:right w:val="single" w:sz="2" w:space="0" w:color="auto"/>
            </w:tcBorders>
            <w:vAlign w:val="center"/>
          </w:tcPr>
          <w:p w14:paraId="66E08C7A" w14:textId="77777777" w:rsidR="001D26E7" w:rsidRPr="00F614F9" w:rsidRDefault="001D26E7">
            <w:pPr>
              <w:spacing w:line="240" w:lineRule="exact"/>
              <w:rPr>
                <w:rFonts w:ascii="Times New Roman" w:eastAsia="宋体" w:hAnsi="Times New Roman"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4F7A1C6E"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719D0339" w14:textId="77777777" w:rsidTr="0089355B">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1F77BE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774" w:type="dxa"/>
            <w:tcBorders>
              <w:top w:val="single" w:sz="2" w:space="0" w:color="auto"/>
              <w:left w:val="single" w:sz="2" w:space="0" w:color="auto"/>
              <w:bottom w:val="single" w:sz="2" w:space="0" w:color="auto"/>
              <w:right w:val="single" w:sz="2" w:space="0" w:color="auto"/>
            </w:tcBorders>
            <w:shd w:val="clear" w:color="auto" w:fill="D3D3D3"/>
            <w:vAlign w:val="center"/>
          </w:tcPr>
          <w:p w14:paraId="4E58CC5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3FA32E3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245,000</w:t>
            </w:r>
          </w:p>
        </w:tc>
        <w:tc>
          <w:tcPr>
            <w:tcW w:w="992" w:type="dxa"/>
            <w:tcBorders>
              <w:top w:val="single" w:sz="2" w:space="0" w:color="auto"/>
              <w:left w:val="single" w:sz="2" w:space="0" w:color="auto"/>
              <w:bottom w:val="single" w:sz="2" w:space="0" w:color="auto"/>
              <w:right w:val="single" w:sz="2" w:space="0" w:color="auto"/>
            </w:tcBorders>
            <w:vAlign w:val="center"/>
          </w:tcPr>
          <w:p w14:paraId="7231F32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156,078.64</w:t>
            </w:r>
          </w:p>
        </w:tc>
        <w:tc>
          <w:tcPr>
            <w:tcW w:w="851" w:type="dxa"/>
            <w:tcBorders>
              <w:top w:val="single" w:sz="2" w:space="0" w:color="auto"/>
              <w:left w:val="single" w:sz="2" w:space="0" w:color="auto"/>
              <w:bottom w:val="single" w:sz="2" w:space="0" w:color="auto"/>
              <w:right w:val="single" w:sz="2" w:space="0" w:color="auto"/>
            </w:tcBorders>
            <w:vAlign w:val="center"/>
          </w:tcPr>
          <w:p w14:paraId="014A68A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3,285.44</w:t>
            </w:r>
          </w:p>
        </w:tc>
        <w:tc>
          <w:tcPr>
            <w:tcW w:w="1054" w:type="dxa"/>
            <w:tcBorders>
              <w:top w:val="single" w:sz="2" w:space="0" w:color="auto"/>
              <w:left w:val="single" w:sz="2" w:space="0" w:color="auto"/>
              <w:bottom w:val="single" w:sz="2" w:space="0" w:color="auto"/>
              <w:right w:val="single" w:sz="2" w:space="0" w:color="auto"/>
            </w:tcBorders>
            <w:vAlign w:val="center"/>
          </w:tcPr>
          <w:p w14:paraId="1E9D92C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106,381.16</w:t>
            </w:r>
          </w:p>
        </w:tc>
        <w:tc>
          <w:tcPr>
            <w:tcW w:w="789" w:type="dxa"/>
            <w:tcBorders>
              <w:top w:val="single" w:sz="2" w:space="0" w:color="auto"/>
              <w:left w:val="single" w:sz="2" w:space="0" w:color="auto"/>
              <w:bottom w:val="single" w:sz="2" w:space="0" w:color="auto"/>
              <w:right w:val="single" w:sz="2" w:space="0" w:color="auto"/>
            </w:tcBorders>
            <w:shd w:val="clear" w:color="auto" w:fill="D3D3D3"/>
            <w:vAlign w:val="center"/>
          </w:tcPr>
          <w:p w14:paraId="1E14BA6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1C3FEC2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850" w:type="dxa"/>
            <w:tcBorders>
              <w:top w:val="single" w:sz="2" w:space="0" w:color="auto"/>
              <w:left w:val="single" w:sz="2" w:space="0" w:color="auto"/>
              <w:bottom w:val="single" w:sz="2" w:space="0" w:color="auto"/>
              <w:right w:val="single" w:sz="2" w:space="0" w:color="auto"/>
            </w:tcBorders>
            <w:vAlign w:val="center"/>
          </w:tcPr>
          <w:p w14:paraId="5B53777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-8,520.39</w:t>
            </w:r>
          </w:p>
        </w:tc>
        <w:tc>
          <w:tcPr>
            <w:tcW w:w="618" w:type="dxa"/>
            <w:tcBorders>
              <w:top w:val="single" w:sz="2" w:space="0" w:color="auto"/>
              <w:left w:val="single" w:sz="2" w:space="0" w:color="auto"/>
              <w:bottom w:val="single" w:sz="2" w:space="0" w:color="auto"/>
              <w:right w:val="single" w:sz="2" w:space="0" w:color="auto"/>
            </w:tcBorders>
            <w:shd w:val="clear" w:color="auto" w:fill="D3D3D3"/>
            <w:vAlign w:val="center"/>
          </w:tcPr>
          <w:p w14:paraId="2C1BB40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3DD6B9A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r>
      <w:tr w:rsidR="001D26E7" w:rsidRPr="00F614F9" w14:paraId="725973C2" w14:textId="77777777" w:rsidTr="0089355B">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F918D7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分项目说明未达到计划进度、预计收益的情况和原因（含</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是否达到预计效益</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选择</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不适用</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的原因）</w:t>
            </w:r>
          </w:p>
        </w:tc>
        <w:tc>
          <w:tcPr>
            <w:tcW w:w="9189" w:type="dxa"/>
            <w:gridSpan w:val="10"/>
            <w:tcBorders>
              <w:top w:val="single" w:sz="2" w:space="0" w:color="auto"/>
              <w:left w:val="single" w:sz="2" w:space="0" w:color="auto"/>
              <w:bottom w:val="single" w:sz="2" w:space="0" w:color="auto"/>
              <w:right w:val="single" w:sz="2" w:space="0" w:color="auto"/>
            </w:tcBorders>
            <w:vAlign w:val="center"/>
          </w:tcPr>
          <w:p w14:paraId="7DEC7CC5" w14:textId="77777777" w:rsidR="001D26E7" w:rsidRPr="00F614F9" w:rsidRDefault="00000000" w:rsidP="0089355B">
            <w:pPr>
              <w:spacing w:line="276" w:lineRule="auto"/>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、补充流动资金：</w:t>
            </w:r>
          </w:p>
          <w:p w14:paraId="747B8567" w14:textId="77777777" w:rsidR="001D26E7" w:rsidRPr="00F614F9" w:rsidRDefault="00000000" w:rsidP="0089355B">
            <w:pPr>
              <w:spacing w:line="276" w:lineRule="auto"/>
              <w:ind w:firstLineChars="200" w:firstLine="360"/>
              <w:jc w:val="both"/>
              <w:rPr>
                <w:rFonts w:ascii="Times New Roman" w:eastAsia="宋体" w:hAnsi="Times New Roman" w:cs="宋体"/>
                <w:sz w:val="18"/>
                <w:szCs w:val="18"/>
              </w:rPr>
            </w:pPr>
            <w:r w:rsidRPr="00F614F9">
              <w:rPr>
                <w:rFonts w:ascii="Times New Roman" w:eastAsia="宋体" w:hAnsi="Times New Roman" w:cs="宋体"/>
                <w:sz w:val="18"/>
                <w:szCs w:val="18"/>
              </w:rPr>
              <w:t>补充流动资金无法单独核算效益，但通过增加公司营运资金，提高公司资产运转能力和支付能力，提高公司经营抗风险能力，对公司经营业绩产生积极影响，从而间接提高公司效益。</w:t>
            </w:r>
          </w:p>
          <w:p w14:paraId="41B9B9BA" w14:textId="77777777" w:rsidR="001D26E7" w:rsidRPr="00F614F9" w:rsidRDefault="00000000" w:rsidP="0089355B">
            <w:pPr>
              <w:spacing w:line="276" w:lineRule="auto"/>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、安丘市</w:t>
            </w:r>
            <w:proofErr w:type="gramStart"/>
            <w:r w:rsidRPr="00F614F9">
              <w:rPr>
                <w:rFonts w:ascii="Times New Roman" w:eastAsia="宋体" w:hAnsi="Times New Roman" w:cs="宋体"/>
                <w:sz w:val="18"/>
                <w:szCs w:val="18"/>
              </w:rPr>
              <w:t>石埠子镇</w:t>
            </w:r>
            <w:proofErr w:type="gramEnd"/>
            <w:r w:rsidRPr="00F614F9">
              <w:rPr>
                <w:rFonts w:ascii="Times New Roman" w:eastAsia="宋体" w:hAnsi="Times New Roman" w:cs="宋体"/>
                <w:sz w:val="18"/>
                <w:szCs w:val="18"/>
              </w:rPr>
              <w:t>新建年出栏</w:t>
            </w:r>
            <w:r w:rsidRPr="00F614F9">
              <w:rPr>
                <w:rFonts w:ascii="Times New Roman" w:eastAsia="宋体" w:hAnsi="Times New Roman" w:cs="宋体"/>
                <w:sz w:val="18"/>
                <w:szCs w:val="18"/>
              </w:rPr>
              <w:t>50</w:t>
            </w:r>
            <w:r w:rsidRPr="00F614F9">
              <w:rPr>
                <w:rFonts w:ascii="Times New Roman" w:eastAsia="宋体" w:hAnsi="Times New Roman" w:cs="宋体"/>
                <w:sz w:val="18"/>
                <w:szCs w:val="18"/>
              </w:rPr>
              <w:t>万头商品猪项目：</w:t>
            </w:r>
          </w:p>
          <w:p w14:paraId="0D16F169" w14:textId="77777777" w:rsidR="001D26E7" w:rsidRPr="00F614F9" w:rsidRDefault="00F7689A" w:rsidP="0089355B">
            <w:pPr>
              <w:spacing w:line="276" w:lineRule="auto"/>
              <w:ind w:firstLineChars="200" w:firstLine="360"/>
              <w:jc w:val="both"/>
              <w:rPr>
                <w:rFonts w:ascii="Times New Roman" w:eastAsia="宋体" w:hAnsi="Times New Roman" w:cs="宋体"/>
                <w:sz w:val="18"/>
                <w:szCs w:val="18"/>
              </w:rPr>
            </w:pPr>
            <w:r w:rsidRPr="00F7689A">
              <w:rPr>
                <w:rFonts w:ascii="Times New Roman" w:eastAsia="宋体" w:hAnsi="Times New Roman" w:cs="宋体" w:hint="eastAsia"/>
                <w:sz w:val="18"/>
                <w:szCs w:val="18"/>
              </w:rPr>
              <w:t>受行业周期影响，自</w:t>
            </w:r>
            <w:r w:rsidRPr="00F7689A">
              <w:rPr>
                <w:rFonts w:ascii="Times New Roman" w:eastAsia="宋体" w:hAnsi="Times New Roman" w:cs="宋体"/>
                <w:sz w:val="18"/>
                <w:szCs w:val="18"/>
              </w:rPr>
              <w:t>2021</w:t>
            </w:r>
            <w:r w:rsidRPr="00F7689A">
              <w:rPr>
                <w:rFonts w:ascii="Times New Roman" w:eastAsia="宋体" w:hAnsi="Times New Roman" w:cs="宋体"/>
                <w:sz w:val="18"/>
                <w:szCs w:val="18"/>
              </w:rPr>
              <w:t>年生猪产能全面恢复以来，猪周期进入下行通道，生猪销售价格持续下跌，且</w:t>
            </w:r>
            <w:r w:rsidRPr="00F7689A">
              <w:rPr>
                <w:rFonts w:ascii="Times New Roman" w:eastAsia="宋体" w:hAnsi="Times New Roman" w:cs="宋体"/>
                <w:sz w:val="18"/>
                <w:szCs w:val="18"/>
              </w:rPr>
              <w:t>2023</w:t>
            </w:r>
            <w:r w:rsidRPr="00F7689A">
              <w:rPr>
                <w:rFonts w:ascii="Times New Roman" w:eastAsia="宋体" w:hAnsi="Times New Roman" w:cs="宋体"/>
                <w:sz w:val="18"/>
                <w:szCs w:val="18"/>
              </w:rPr>
              <w:t>年度生猪销售价格持续在低位徘徊，导致生猪养殖行业主要上市公司经营业绩均出现较大亏损。因公司募集资金投资项目主要为生猪养殖，且目前疫病对生猪养殖影响也较为突出，生物安全风险较大，该项目生物安全和场区宿舍等配套设施尚未全部完成。为保证募集资金安全、合理运用，严格把控风险，公司结合行业的整体发展状况，并按照谨慎性原则对本项目实施进度进行一定的放缓；截止</w:t>
            </w:r>
            <w:r w:rsidRPr="00F7689A">
              <w:rPr>
                <w:rFonts w:ascii="Times New Roman" w:eastAsia="宋体" w:hAnsi="Times New Roman" w:cs="宋体"/>
                <w:sz w:val="18"/>
                <w:szCs w:val="18"/>
              </w:rPr>
              <w:t>2023</w:t>
            </w:r>
            <w:r w:rsidRPr="00F7689A">
              <w:rPr>
                <w:rFonts w:ascii="Times New Roman" w:eastAsia="宋体" w:hAnsi="Times New Roman" w:cs="宋体"/>
                <w:sz w:val="18"/>
                <w:szCs w:val="18"/>
              </w:rPr>
              <w:t>年底，项目尚未全部投入使用因此，该项目尚未达到预计收益</w:t>
            </w:r>
            <w:r w:rsidRPr="00F614F9">
              <w:rPr>
                <w:rFonts w:ascii="Times New Roman" w:eastAsia="宋体" w:hAnsi="Times New Roman" w:cs="宋体"/>
                <w:sz w:val="18"/>
                <w:szCs w:val="18"/>
              </w:rPr>
              <w:t>。</w:t>
            </w:r>
          </w:p>
          <w:p w14:paraId="4437FEA5" w14:textId="77777777" w:rsidR="001D26E7" w:rsidRPr="00F614F9" w:rsidRDefault="00000000" w:rsidP="0089355B">
            <w:pPr>
              <w:spacing w:line="276" w:lineRule="auto"/>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、山东新建年出栏生猪</w:t>
            </w:r>
            <w:r w:rsidRPr="00F614F9">
              <w:rPr>
                <w:rFonts w:ascii="Times New Roman" w:eastAsia="宋体" w:hAnsi="Times New Roman" w:cs="宋体"/>
                <w:sz w:val="18"/>
                <w:szCs w:val="18"/>
              </w:rPr>
              <w:t>66</w:t>
            </w:r>
            <w:r w:rsidRPr="00F614F9">
              <w:rPr>
                <w:rFonts w:ascii="Times New Roman" w:eastAsia="宋体" w:hAnsi="Times New Roman" w:cs="宋体"/>
                <w:sz w:val="18"/>
                <w:szCs w:val="18"/>
              </w:rPr>
              <w:t>万头养殖项目：</w:t>
            </w:r>
          </w:p>
          <w:p w14:paraId="3330CDF1" w14:textId="77777777" w:rsidR="001D26E7" w:rsidRPr="00F614F9" w:rsidRDefault="00F7689A" w:rsidP="0089355B">
            <w:pPr>
              <w:spacing w:line="276" w:lineRule="auto"/>
              <w:ind w:firstLineChars="200" w:firstLine="360"/>
              <w:jc w:val="both"/>
              <w:rPr>
                <w:rFonts w:ascii="Times New Roman" w:eastAsia="宋体" w:hAnsi="Times New Roman" w:cs="宋体"/>
                <w:sz w:val="18"/>
                <w:szCs w:val="18"/>
              </w:rPr>
            </w:pPr>
            <w:r w:rsidRPr="00F7689A">
              <w:rPr>
                <w:rFonts w:ascii="Times New Roman" w:eastAsia="宋体" w:hAnsi="Times New Roman" w:cs="宋体" w:hint="eastAsia"/>
                <w:sz w:val="18"/>
                <w:szCs w:val="18"/>
              </w:rPr>
              <w:t>受行业周期影响，自</w:t>
            </w:r>
            <w:r w:rsidRPr="00F7689A">
              <w:rPr>
                <w:rFonts w:ascii="Times New Roman" w:eastAsia="宋体" w:hAnsi="Times New Roman" w:cs="宋体"/>
                <w:sz w:val="18"/>
                <w:szCs w:val="18"/>
              </w:rPr>
              <w:t>2021</w:t>
            </w:r>
            <w:r w:rsidRPr="00F7689A">
              <w:rPr>
                <w:rFonts w:ascii="Times New Roman" w:eastAsia="宋体" w:hAnsi="Times New Roman" w:cs="宋体"/>
                <w:sz w:val="18"/>
                <w:szCs w:val="18"/>
              </w:rPr>
              <w:t>年生猪产能全面恢复以来，猪周期进入下行通道，生猪销售价格持续下跌，且</w:t>
            </w:r>
            <w:r w:rsidRPr="00F7689A">
              <w:rPr>
                <w:rFonts w:ascii="Times New Roman" w:eastAsia="宋体" w:hAnsi="Times New Roman" w:cs="宋体"/>
                <w:sz w:val="18"/>
                <w:szCs w:val="18"/>
              </w:rPr>
              <w:t>2023</w:t>
            </w:r>
            <w:r w:rsidRPr="00F7689A">
              <w:rPr>
                <w:rFonts w:ascii="Times New Roman" w:eastAsia="宋体" w:hAnsi="Times New Roman" w:cs="宋体"/>
                <w:sz w:val="18"/>
                <w:szCs w:val="18"/>
              </w:rPr>
              <w:t>年度生猪销售价格持续在低位徘徊，导致生猪养殖行业主要上市公司经营业绩均出现较大亏损。因公司募集资金投资项目主要为生猪养殖，且目前疫病对生猪养殖影响也较为突出，生物安全风险较大，该项目生物安全和场区宿舍等配套设施尚未全部完成。为保证募集资金安全、合理运用，严格把控风险，公司结合行业的整体发展状况，并按照谨慎性原则对本项目实施进度进行一定的放缓；截止</w:t>
            </w:r>
            <w:r w:rsidRPr="00F7689A">
              <w:rPr>
                <w:rFonts w:ascii="Times New Roman" w:eastAsia="宋体" w:hAnsi="Times New Roman" w:cs="宋体"/>
                <w:sz w:val="18"/>
                <w:szCs w:val="18"/>
              </w:rPr>
              <w:t>2023</w:t>
            </w:r>
            <w:r w:rsidRPr="00F7689A">
              <w:rPr>
                <w:rFonts w:ascii="Times New Roman" w:eastAsia="宋体" w:hAnsi="Times New Roman" w:cs="宋体"/>
                <w:sz w:val="18"/>
                <w:szCs w:val="18"/>
              </w:rPr>
              <w:t>年底，项目尚未全部投入使用因此，该项目尚未达到预</w:t>
            </w:r>
            <w:r w:rsidRPr="00F7689A">
              <w:rPr>
                <w:rFonts w:ascii="Times New Roman" w:eastAsia="宋体" w:hAnsi="Times New Roman" w:cs="宋体"/>
                <w:sz w:val="18"/>
                <w:szCs w:val="18"/>
              </w:rPr>
              <w:lastRenderedPageBreak/>
              <w:t>计收益</w:t>
            </w:r>
            <w:r w:rsidRPr="00F7689A">
              <w:rPr>
                <w:rFonts w:ascii="Times New Roman" w:eastAsia="宋体" w:hAnsi="Times New Roman" w:cs="宋体" w:hint="eastAsia"/>
                <w:sz w:val="18"/>
                <w:szCs w:val="18"/>
              </w:rPr>
              <w:t>。</w:t>
            </w:r>
          </w:p>
        </w:tc>
      </w:tr>
      <w:tr w:rsidR="001D26E7" w:rsidRPr="00F614F9" w14:paraId="5893869F" w14:textId="77777777" w:rsidTr="0089355B">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CBAD82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项目可行性发生重大变化的情况说明</w:t>
            </w:r>
          </w:p>
        </w:tc>
        <w:tc>
          <w:tcPr>
            <w:tcW w:w="9189" w:type="dxa"/>
            <w:gridSpan w:val="10"/>
            <w:tcBorders>
              <w:top w:val="single" w:sz="2" w:space="0" w:color="auto"/>
              <w:left w:val="single" w:sz="2" w:space="0" w:color="auto"/>
              <w:bottom w:val="single" w:sz="2" w:space="0" w:color="auto"/>
              <w:right w:val="single" w:sz="2" w:space="0" w:color="auto"/>
            </w:tcBorders>
            <w:vAlign w:val="center"/>
          </w:tcPr>
          <w:p w14:paraId="57043C8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无</w:t>
            </w:r>
          </w:p>
        </w:tc>
      </w:tr>
      <w:tr w:rsidR="001D26E7" w:rsidRPr="00F614F9" w14:paraId="42673089" w14:textId="77777777" w:rsidTr="0089355B">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EA071B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超募资金的金额、用途及使用进展情况</w:t>
            </w:r>
          </w:p>
        </w:tc>
        <w:tc>
          <w:tcPr>
            <w:tcW w:w="9189" w:type="dxa"/>
            <w:gridSpan w:val="10"/>
            <w:tcBorders>
              <w:top w:val="single" w:sz="2" w:space="0" w:color="auto"/>
              <w:left w:val="single" w:sz="2" w:space="0" w:color="auto"/>
              <w:bottom w:val="single" w:sz="2" w:space="0" w:color="auto"/>
              <w:right w:val="single" w:sz="2" w:space="0" w:color="auto"/>
            </w:tcBorders>
            <w:vAlign w:val="center"/>
          </w:tcPr>
          <w:p w14:paraId="5C36EE7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1598F3FA" w14:textId="77777777" w:rsidTr="0089355B">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BBDC16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募集资金投资项目实施地点变更情况</w:t>
            </w:r>
          </w:p>
        </w:tc>
        <w:tc>
          <w:tcPr>
            <w:tcW w:w="9189" w:type="dxa"/>
            <w:gridSpan w:val="10"/>
            <w:tcBorders>
              <w:top w:val="single" w:sz="2" w:space="0" w:color="auto"/>
              <w:left w:val="single" w:sz="2" w:space="0" w:color="auto"/>
              <w:bottom w:val="single" w:sz="2" w:space="0" w:color="auto"/>
              <w:right w:val="single" w:sz="2" w:space="0" w:color="auto"/>
            </w:tcBorders>
            <w:vAlign w:val="center"/>
          </w:tcPr>
          <w:p w14:paraId="09B23B4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1FC51EA3" w14:textId="77777777" w:rsidTr="0089355B">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7D487D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募集资金投资项目实施方式调整情况</w:t>
            </w:r>
          </w:p>
        </w:tc>
        <w:tc>
          <w:tcPr>
            <w:tcW w:w="9189" w:type="dxa"/>
            <w:gridSpan w:val="10"/>
            <w:tcBorders>
              <w:top w:val="single" w:sz="2" w:space="0" w:color="auto"/>
              <w:left w:val="single" w:sz="2" w:space="0" w:color="auto"/>
              <w:bottom w:val="single" w:sz="2" w:space="0" w:color="auto"/>
              <w:right w:val="single" w:sz="2" w:space="0" w:color="auto"/>
            </w:tcBorders>
            <w:vAlign w:val="center"/>
          </w:tcPr>
          <w:p w14:paraId="1F6C7B5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2E215334" w14:textId="77777777" w:rsidTr="0089355B">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8351F1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募集资金投资项目先期投入及置换情况</w:t>
            </w:r>
          </w:p>
        </w:tc>
        <w:tc>
          <w:tcPr>
            <w:tcW w:w="9189" w:type="dxa"/>
            <w:gridSpan w:val="10"/>
            <w:tcBorders>
              <w:top w:val="single" w:sz="2" w:space="0" w:color="auto"/>
              <w:left w:val="single" w:sz="2" w:space="0" w:color="auto"/>
              <w:bottom w:val="single" w:sz="2" w:space="0" w:color="auto"/>
              <w:right w:val="single" w:sz="2" w:space="0" w:color="auto"/>
            </w:tcBorders>
            <w:vAlign w:val="center"/>
          </w:tcPr>
          <w:p w14:paraId="58F79BD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适用</w:t>
            </w:r>
          </w:p>
        </w:tc>
      </w:tr>
      <w:tr w:rsidR="001D26E7" w:rsidRPr="00F614F9" w14:paraId="0AD08DF0" w14:textId="77777777" w:rsidTr="0089355B">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F81C729" w14:textId="77777777" w:rsidR="001D26E7" w:rsidRPr="00F614F9" w:rsidRDefault="001D26E7">
            <w:pPr>
              <w:rPr>
                <w:rFonts w:ascii="Times New Roman" w:hAnsi="Times New Roman"/>
              </w:rPr>
            </w:pPr>
          </w:p>
        </w:tc>
        <w:tc>
          <w:tcPr>
            <w:tcW w:w="9189" w:type="dxa"/>
            <w:gridSpan w:val="10"/>
            <w:tcBorders>
              <w:top w:val="single" w:sz="2" w:space="0" w:color="auto"/>
              <w:left w:val="single" w:sz="2" w:space="0" w:color="auto"/>
              <w:bottom w:val="single" w:sz="2" w:space="0" w:color="auto"/>
              <w:right w:val="single" w:sz="2" w:space="0" w:color="auto"/>
            </w:tcBorders>
            <w:vAlign w:val="center"/>
          </w:tcPr>
          <w:p w14:paraId="40C23E7F" w14:textId="77777777" w:rsidR="001D26E7" w:rsidRPr="00F614F9" w:rsidRDefault="00000000" w:rsidP="0089355B">
            <w:pPr>
              <w:spacing w:line="276" w:lineRule="auto"/>
              <w:ind w:firstLineChars="200" w:firstLine="360"/>
              <w:jc w:val="both"/>
              <w:rPr>
                <w:rFonts w:ascii="Times New Roman" w:eastAsia="宋体" w:hAnsi="Times New Roman" w:cs="宋体"/>
                <w:sz w:val="18"/>
                <w:szCs w:val="18"/>
              </w:rPr>
            </w:pPr>
            <w:r w:rsidRPr="00F614F9">
              <w:rPr>
                <w:rFonts w:ascii="Times New Roman" w:eastAsia="宋体" w:hAnsi="Times New Roman" w:cs="宋体"/>
                <w:sz w:val="18"/>
                <w:szCs w:val="18"/>
              </w:rPr>
              <w:t>2020</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日，经公司董事会审议通过，公司以募集资金</w:t>
            </w:r>
            <w:r w:rsidRPr="00F614F9">
              <w:rPr>
                <w:rFonts w:ascii="Times New Roman" w:eastAsia="宋体" w:hAnsi="Times New Roman" w:cs="宋体"/>
                <w:sz w:val="18"/>
                <w:szCs w:val="18"/>
              </w:rPr>
              <w:t>3,581.42</w:t>
            </w:r>
            <w:r w:rsidRPr="00F614F9">
              <w:rPr>
                <w:rFonts w:ascii="Times New Roman" w:eastAsia="宋体" w:hAnsi="Times New Roman" w:cs="宋体"/>
                <w:sz w:val="18"/>
                <w:szCs w:val="18"/>
              </w:rPr>
              <w:t>万元对先期投入的</w:t>
            </w:r>
            <w:r w:rsidRPr="00F614F9">
              <w:rPr>
                <w:rFonts w:ascii="Times New Roman" w:eastAsia="宋体" w:hAnsi="Times New Roman" w:cs="宋体"/>
                <w:sz w:val="18"/>
                <w:szCs w:val="18"/>
              </w:rPr>
              <w:t>3,581.42</w:t>
            </w:r>
            <w:r w:rsidRPr="00F614F9">
              <w:rPr>
                <w:rFonts w:ascii="Times New Roman" w:eastAsia="宋体" w:hAnsi="Times New Roman" w:cs="宋体"/>
                <w:sz w:val="18"/>
                <w:szCs w:val="18"/>
              </w:rPr>
              <w:t>万元自筹资金进行了置换。该事项已经中</w:t>
            </w:r>
            <w:proofErr w:type="gramStart"/>
            <w:r w:rsidRPr="00F614F9">
              <w:rPr>
                <w:rFonts w:ascii="Times New Roman" w:eastAsia="宋体" w:hAnsi="Times New Roman" w:cs="宋体"/>
                <w:sz w:val="18"/>
                <w:szCs w:val="18"/>
              </w:rPr>
              <w:t>审众环</w:t>
            </w:r>
            <w:proofErr w:type="gramEnd"/>
            <w:r w:rsidRPr="00F614F9">
              <w:rPr>
                <w:rFonts w:ascii="Times New Roman" w:eastAsia="宋体" w:hAnsi="Times New Roman" w:cs="宋体"/>
                <w:sz w:val="18"/>
                <w:szCs w:val="18"/>
              </w:rPr>
              <w:t>会计师事务所（特殊普通合伙）于</w:t>
            </w:r>
            <w:r w:rsidRPr="00F614F9">
              <w:rPr>
                <w:rFonts w:ascii="Times New Roman" w:eastAsia="宋体" w:hAnsi="Times New Roman" w:cs="宋体"/>
                <w:sz w:val="18"/>
                <w:szCs w:val="18"/>
              </w:rPr>
              <w:t>2020</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4</w:t>
            </w:r>
            <w:r w:rsidRPr="00F614F9">
              <w:rPr>
                <w:rFonts w:ascii="Times New Roman" w:eastAsia="宋体" w:hAnsi="Times New Roman" w:cs="宋体"/>
                <w:sz w:val="18"/>
                <w:szCs w:val="18"/>
              </w:rPr>
              <w:t>日出具</w:t>
            </w:r>
            <w:proofErr w:type="gramStart"/>
            <w:r w:rsidRPr="00F614F9">
              <w:rPr>
                <w:rFonts w:ascii="Times New Roman" w:eastAsia="宋体" w:hAnsi="Times New Roman" w:cs="宋体"/>
                <w:sz w:val="18"/>
                <w:szCs w:val="18"/>
              </w:rPr>
              <w:t>众环专字</w:t>
            </w:r>
            <w:proofErr w:type="gramEnd"/>
            <w:r w:rsidRPr="00F614F9">
              <w:rPr>
                <w:rFonts w:ascii="Times New Roman" w:eastAsia="宋体" w:hAnsi="Times New Roman" w:cs="宋体"/>
                <w:sz w:val="18"/>
                <w:szCs w:val="18"/>
              </w:rPr>
              <w:t>[2020]280025</w:t>
            </w:r>
            <w:r w:rsidRPr="00F614F9">
              <w:rPr>
                <w:rFonts w:ascii="Times New Roman" w:eastAsia="宋体" w:hAnsi="Times New Roman" w:cs="宋体"/>
                <w:sz w:val="18"/>
                <w:szCs w:val="18"/>
              </w:rPr>
              <w:t>号专项报告予以</w:t>
            </w:r>
            <w:proofErr w:type="gramStart"/>
            <w:r w:rsidRPr="00F614F9">
              <w:rPr>
                <w:rFonts w:ascii="Times New Roman" w:eastAsia="宋体" w:hAnsi="Times New Roman" w:cs="宋体"/>
                <w:sz w:val="18"/>
                <w:szCs w:val="18"/>
              </w:rPr>
              <w:t>鉴证</w:t>
            </w:r>
            <w:proofErr w:type="gramEnd"/>
            <w:r w:rsidRPr="00F614F9">
              <w:rPr>
                <w:rFonts w:ascii="Times New Roman" w:eastAsia="宋体" w:hAnsi="Times New Roman" w:cs="宋体"/>
                <w:sz w:val="18"/>
                <w:szCs w:val="18"/>
              </w:rPr>
              <w:t>。</w:t>
            </w:r>
          </w:p>
          <w:p w14:paraId="76E4565D" w14:textId="77777777" w:rsidR="001D26E7" w:rsidRPr="00F614F9" w:rsidRDefault="00000000" w:rsidP="0089355B">
            <w:pPr>
              <w:spacing w:line="276" w:lineRule="auto"/>
              <w:ind w:firstLineChars="200" w:firstLine="360"/>
              <w:jc w:val="both"/>
              <w:rPr>
                <w:rFonts w:ascii="Times New Roman" w:eastAsia="宋体" w:hAnsi="Times New Roman" w:cs="宋体"/>
                <w:sz w:val="18"/>
                <w:szCs w:val="18"/>
              </w:rPr>
            </w:pP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日，公司第四届董事会第三十四次会议审议通过了《关于使用非公开发行股票募集资金置换预先投入募投项目自筹资金的议案》，同意公司使用非公开发行股票募集资金置换已投入募集资金项目的自筹资金，合计金额为</w:t>
            </w:r>
            <w:r w:rsidRPr="00F614F9">
              <w:rPr>
                <w:rFonts w:ascii="Times New Roman" w:eastAsia="宋体" w:hAnsi="Times New Roman" w:cs="宋体"/>
                <w:sz w:val="18"/>
                <w:szCs w:val="18"/>
              </w:rPr>
              <w:t>12,210.29</w:t>
            </w:r>
            <w:r w:rsidRPr="00F614F9">
              <w:rPr>
                <w:rFonts w:ascii="Times New Roman" w:eastAsia="宋体" w:hAnsi="Times New Roman" w:cs="宋体"/>
                <w:sz w:val="18"/>
                <w:szCs w:val="18"/>
              </w:rPr>
              <w:t>万元。该事项已经中</w:t>
            </w:r>
            <w:proofErr w:type="gramStart"/>
            <w:r w:rsidRPr="00F614F9">
              <w:rPr>
                <w:rFonts w:ascii="Times New Roman" w:eastAsia="宋体" w:hAnsi="Times New Roman" w:cs="宋体"/>
                <w:sz w:val="18"/>
                <w:szCs w:val="18"/>
              </w:rPr>
              <w:t>审众环</w:t>
            </w:r>
            <w:proofErr w:type="gramEnd"/>
            <w:r w:rsidRPr="00F614F9">
              <w:rPr>
                <w:rFonts w:ascii="Times New Roman" w:eastAsia="宋体" w:hAnsi="Times New Roman" w:cs="宋体"/>
                <w:sz w:val="18"/>
                <w:szCs w:val="18"/>
              </w:rPr>
              <w:t>会计师事务所（特殊普通合伙）出具《山东龙大肉食品股份有限公司以自筹资金预先投入募集资金投资项目情况报告的</w:t>
            </w:r>
            <w:proofErr w:type="gramStart"/>
            <w:r w:rsidRPr="00F614F9">
              <w:rPr>
                <w:rFonts w:ascii="Times New Roman" w:eastAsia="宋体" w:hAnsi="Times New Roman" w:cs="宋体"/>
                <w:sz w:val="18"/>
                <w:szCs w:val="18"/>
              </w:rPr>
              <w:t>鉴证</w:t>
            </w:r>
            <w:proofErr w:type="gramEnd"/>
            <w:r w:rsidRPr="00F614F9">
              <w:rPr>
                <w:rFonts w:ascii="Times New Roman" w:eastAsia="宋体" w:hAnsi="Times New Roman" w:cs="宋体"/>
                <w:sz w:val="18"/>
                <w:szCs w:val="18"/>
              </w:rPr>
              <w:t>报告》（</w:t>
            </w:r>
            <w:proofErr w:type="gramStart"/>
            <w:r w:rsidRPr="00F614F9">
              <w:rPr>
                <w:rFonts w:ascii="Times New Roman" w:eastAsia="宋体" w:hAnsi="Times New Roman" w:cs="宋体"/>
                <w:sz w:val="18"/>
                <w:szCs w:val="18"/>
              </w:rPr>
              <w:t>众环专字</w:t>
            </w:r>
            <w:proofErr w:type="gramEnd"/>
            <w:r w:rsidRPr="00F614F9">
              <w:rPr>
                <w:rFonts w:ascii="Times New Roman" w:eastAsia="宋体" w:hAnsi="Times New Roman" w:cs="宋体"/>
                <w:sz w:val="18"/>
                <w:szCs w:val="18"/>
              </w:rPr>
              <w:t>（</w:t>
            </w: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2800021</w:t>
            </w:r>
            <w:r w:rsidRPr="00F614F9">
              <w:rPr>
                <w:rFonts w:ascii="Times New Roman" w:eastAsia="宋体" w:hAnsi="Times New Roman" w:cs="宋体"/>
                <w:sz w:val="18"/>
                <w:szCs w:val="18"/>
              </w:rPr>
              <w:t>号）予以</w:t>
            </w:r>
            <w:proofErr w:type="gramStart"/>
            <w:r w:rsidRPr="00F614F9">
              <w:rPr>
                <w:rFonts w:ascii="Times New Roman" w:eastAsia="宋体" w:hAnsi="Times New Roman" w:cs="宋体"/>
                <w:sz w:val="18"/>
                <w:szCs w:val="18"/>
              </w:rPr>
              <w:t>鉴证</w:t>
            </w:r>
            <w:proofErr w:type="gramEnd"/>
            <w:r w:rsidRPr="00F614F9">
              <w:rPr>
                <w:rFonts w:ascii="Times New Roman" w:eastAsia="宋体" w:hAnsi="Times New Roman" w:cs="宋体"/>
                <w:sz w:val="18"/>
                <w:szCs w:val="18"/>
              </w:rPr>
              <w:t>。</w:t>
            </w:r>
          </w:p>
          <w:p w14:paraId="30D231E3" w14:textId="77777777" w:rsidR="001D26E7" w:rsidRPr="00F614F9" w:rsidRDefault="00000000" w:rsidP="0089355B">
            <w:pPr>
              <w:spacing w:line="276" w:lineRule="auto"/>
              <w:jc w:val="both"/>
              <w:rPr>
                <w:rFonts w:ascii="Times New Roman" w:eastAsia="宋体" w:hAnsi="Times New Roman" w:cs="宋体"/>
                <w:sz w:val="18"/>
                <w:szCs w:val="18"/>
              </w:rPr>
            </w:pPr>
            <w:r w:rsidRPr="00F614F9">
              <w:rPr>
                <w:rFonts w:ascii="Times New Roman" w:eastAsia="宋体" w:hAnsi="Times New Roman" w:cs="宋体"/>
                <w:sz w:val="18"/>
                <w:szCs w:val="18"/>
              </w:rPr>
              <w:t>公司独立董事、监事会及保荐机构已分别对上述事项发表同意意见。</w:t>
            </w:r>
          </w:p>
        </w:tc>
      </w:tr>
      <w:tr w:rsidR="001D26E7" w:rsidRPr="00F614F9" w14:paraId="5E84B4B6" w14:textId="77777777" w:rsidTr="0089355B">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DE1D3B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用闲置募集资金暂时补充流动资金情况</w:t>
            </w:r>
          </w:p>
        </w:tc>
        <w:tc>
          <w:tcPr>
            <w:tcW w:w="9189" w:type="dxa"/>
            <w:gridSpan w:val="10"/>
            <w:tcBorders>
              <w:top w:val="single" w:sz="2" w:space="0" w:color="auto"/>
              <w:left w:val="single" w:sz="2" w:space="0" w:color="auto"/>
              <w:bottom w:val="single" w:sz="2" w:space="0" w:color="auto"/>
              <w:right w:val="single" w:sz="2" w:space="0" w:color="auto"/>
            </w:tcBorders>
            <w:vAlign w:val="center"/>
          </w:tcPr>
          <w:p w14:paraId="5B837DF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适用</w:t>
            </w:r>
          </w:p>
        </w:tc>
      </w:tr>
      <w:tr w:rsidR="001D26E7" w:rsidRPr="00F614F9" w14:paraId="35E43F6A" w14:textId="77777777" w:rsidTr="0089355B">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415A29B" w14:textId="77777777" w:rsidR="001D26E7" w:rsidRPr="00F614F9" w:rsidRDefault="001D26E7">
            <w:pPr>
              <w:rPr>
                <w:rFonts w:ascii="Times New Roman" w:hAnsi="Times New Roman"/>
              </w:rPr>
            </w:pPr>
          </w:p>
        </w:tc>
        <w:tc>
          <w:tcPr>
            <w:tcW w:w="9189" w:type="dxa"/>
            <w:gridSpan w:val="10"/>
            <w:tcBorders>
              <w:top w:val="single" w:sz="2" w:space="0" w:color="auto"/>
              <w:left w:val="single" w:sz="2" w:space="0" w:color="auto"/>
              <w:bottom w:val="single" w:sz="2" w:space="0" w:color="auto"/>
              <w:right w:val="single" w:sz="2" w:space="0" w:color="auto"/>
            </w:tcBorders>
            <w:vAlign w:val="center"/>
          </w:tcPr>
          <w:p w14:paraId="6D0BCAC7" w14:textId="77777777" w:rsidR="00C00C4E" w:rsidRPr="00C00C4E" w:rsidRDefault="00C00C4E" w:rsidP="00C00C4E">
            <w:pPr>
              <w:spacing w:line="276" w:lineRule="auto"/>
              <w:ind w:firstLineChars="200" w:firstLine="360"/>
              <w:rPr>
                <w:rFonts w:ascii="Times New Roman" w:eastAsia="宋体" w:hAnsi="Times New Roman" w:cs="宋体"/>
                <w:sz w:val="18"/>
                <w:szCs w:val="18"/>
              </w:rPr>
            </w:pPr>
            <w:r w:rsidRPr="00C00C4E">
              <w:rPr>
                <w:rFonts w:ascii="Times New Roman" w:eastAsia="宋体" w:hAnsi="Times New Roman" w:cs="宋体"/>
                <w:sz w:val="18"/>
                <w:szCs w:val="18"/>
              </w:rPr>
              <w:t>2021</w:t>
            </w:r>
            <w:r w:rsidRPr="00C00C4E">
              <w:rPr>
                <w:rFonts w:ascii="Times New Roman" w:eastAsia="宋体" w:hAnsi="Times New Roman" w:cs="宋体"/>
                <w:sz w:val="18"/>
                <w:szCs w:val="18"/>
              </w:rPr>
              <w:t>年</w:t>
            </w:r>
            <w:r w:rsidRPr="00C00C4E">
              <w:rPr>
                <w:rFonts w:ascii="Times New Roman" w:eastAsia="宋体" w:hAnsi="Times New Roman" w:cs="宋体"/>
                <w:sz w:val="18"/>
                <w:szCs w:val="18"/>
              </w:rPr>
              <w:t>8</w:t>
            </w:r>
            <w:r w:rsidRPr="00C00C4E">
              <w:rPr>
                <w:rFonts w:ascii="Times New Roman" w:eastAsia="宋体" w:hAnsi="Times New Roman" w:cs="宋体"/>
                <w:sz w:val="18"/>
                <w:szCs w:val="18"/>
              </w:rPr>
              <w:t>月</w:t>
            </w:r>
            <w:r w:rsidRPr="00C00C4E">
              <w:rPr>
                <w:rFonts w:ascii="Times New Roman" w:eastAsia="宋体" w:hAnsi="Times New Roman" w:cs="宋体"/>
                <w:sz w:val="18"/>
                <w:szCs w:val="18"/>
              </w:rPr>
              <w:t>12</w:t>
            </w:r>
            <w:r w:rsidRPr="00C00C4E">
              <w:rPr>
                <w:rFonts w:ascii="Times New Roman" w:eastAsia="宋体" w:hAnsi="Times New Roman" w:cs="宋体"/>
                <w:sz w:val="18"/>
                <w:szCs w:val="18"/>
              </w:rPr>
              <w:t>日，经公司第四届董事会第三十四次会议审议通过了《关于使用部分闲置募集资金暂时补充流动资金的议案》，公司决定使用可转换债券部分闲置募集资金</w:t>
            </w:r>
            <w:r w:rsidRPr="00C00C4E">
              <w:rPr>
                <w:rFonts w:ascii="Times New Roman" w:eastAsia="宋体" w:hAnsi="Times New Roman" w:cs="宋体"/>
                <w:sz w:val="18"/>
                <w:szCs w:val="18"/>
              </w:rPr>
              <w:t>46,247.96</w:t>
            </w:r>
            <w:r w:rsidRPr="00C00C4E">
              <w:rPr>
                <w:rFonts w:ascii="Times New Roman" w:eastAsia="宋体" w:hAnsi="Times New Roman" w:cs="宋体"/>
                <w:sz w:val="18"/>
                <w:szCs w:val="18"/>
              </w:rPr>
              <w:t>万元（含本数）暂时补充流动资金，该笔资金仅限于公司主营业务相关的生产经营使用，使用期限自董事会审议通过之日起十二个月内，在决议有效期内上述额度可以滚动使用，到期后将及时归还到公司募集资金专项存储账户。</w:t>
            </w:r>
          </w:p>
          <w:p w14:paraId="786F3684" w14:textId="77777777" w:rsidR="00C00C4E" w:rsidRPr="00C00C4E" w:rsidRDefault="00C00C4E" w:rsidP="00C00C4E">
            <w:pPr>
              <w:spacing w:line="276" w:lineRule="auto"/>
              <w:ind w:firstLineChars="200" w:firstLine="360"/>
              <w:rPr>
                <w:rFonts w:ascii="Times New Roman" w:eastAsia="宋体" w:hAnsi="Times New Roman" w:cs="宋体"/>
                <w:sz w:val="18"/>
                <w:szCs w:val="18"/>
              </w:rPr>
            </w:pPr>
            <w:r w:rsidRPr="00C00C4E">
              <w:rPr>
                <w:rFonts w:ascii="Times New Roman" w:eastAsia="宋体" w:hAnsi="Times New Roman" w:cs="宋体" w:hint="eastAsia"/>
                <w:sz w:val="18"/>
                <w:szCs w:val="18"/>
              </w:rPr>
              <w:t>截至</w:t>
            </w:r>
            <w:r w:rsidRPr="00C00C4E">
              <w:rPr>
                <w:rFonts w:ascii="Times New Roman" w:eastAsia="宋体" w:hAnsi="Times New Roman" w:cs="宋体"/>
                <w:sz w:val="18"/>
                <w:szCs w:val="18"/>
              </w:rPr>
              <w:t>2022</w:t>
            </w:r>
            <w:r w:rsidRPr="00C00C4E">
              <w:rPr>
                <w:rFonts w:ascii="Times New Roman" w:eastAsia="宋体" w:hAnsi="Times New Roman" w:cs="宋体"/>
                <w:sz w:val="18"/>
                <w:szCs w:val="18"/>
              </w:rPr>
              <w:t>年</w:t>
            </w:r>
            <w:r w:rsidRPr="00C00C4E">
              <w:rPr>
                <w:rFonts w:ascii="Times New Roman" w:eastAsia="宋体" w:hAnsi="Times New Roman" w:cs="宋体"/>
                <w:sz w:val="18"/>
                <w:szCs w:val="18"/>
              </w:rPr>
              <w:t>8</w:t>
            </w:r>
            <w:r w:rsidRPr="00C00C4E">
              <w:rPr>
                <w:rFonts w:ascii="Times New Roman" w:eastAsia="宋体" w:hAnsi="Times New Roman" w:cs="宋体"/>
                <w:sz w:val="18"/>
                <w:szCs w:val="18"/>
              </w:rPr>
              <w:t>月</w:t>
            </w:r>
            <w:r w:rsidRPr="00C00C4E">
              <w:rPr>
                <w:rFonts w:ascii="Times New Roman" w:eastAsia="宋体" w:hAnsi="Times New Roman" w:cs="宋体"/>
                <w:sz w:val="18"/>
                <w:szCs w:val="18"/>
              </w:rPr>
              <w:t>5</w:t>
            </w:r>
            <w:r w:rsidRPr="00C00C4E">
              <w:rPr>
                <w:rFonts w:ascii="Times New Roman" w:eastAsia="宋体" w:hAnsi="Times New Roman" w:cs="宋体"/>
                <w:sz w:val="18"/>
                <w:szCs w:val="18"/>
              </w:rPr>
              <w:t>日，公司已按规定将上述用于暂时补充流动资金的募集资金全部归还至募集资金专项账户，使用期限均未超过</w:t>
            </w:r>
            <w:r w:rsidRPr="00C00C4E">
              <w:rPr>
                <w:rFonts w:ascii="Times New Roman" w:eastAsia="宋体" w:hAnsi="Times New Roman" w:cs="宋体"/>
                <w:sz w:val="18"/>
                <w:szCs w:val="18"/>
              </w:rPr>
              <w:t>12</w:t>
            </w:r>
            <w:r w:rsidRPr="00C00C4E">
              <w:rPr>
                <w:rFonts w:ascii="Times New Roman" w:eastAsia="宋体" w:hAnsi="Times New Roman" w:cs="宋体"/>
                <w:sz w:val="18"/>
                <w:szCs w:val="18"/>
              </w:rPr>
              <w:t>个月。</w:t>
            </w:r>
          </w:p>
          <w:p w14:paraId="5D8B5A77" w14:textId="77777777" w:rsidR="00C00C4E" w:rsidRDefault="00C00C4E" w:rsidP="00C00C4E">
            <w:pPr>
              <w:spacing w:line="276" w:lineRule="auto"/>
              <w:ind w:firstLineChars="200" w:firstLine="360"/>
              <w:rPr>
                <w:rFonts w:ascii="Times New Roman" w:eastAsia="宋体" w:hAnsi="Times New Roman" w:cs="宋体"/>
                <w:sz w:val="18"/>
                <w:szCs w:val="18"/>
              </w:rPr>
            </w:pPr>
            <w:r w:rsidRPr="00C00C4E">
              <w:rPr>
                <w:rFonts w:ascii="Times New Roman" w:eastAsia="宋体" w:hAnsi="Times New Roman" w:cs="宋体"/>
                <w:sz w:val="18"/>
                <w:szCs w:val="18"/>
              </w:rPr>
              <w:t>2022</w:t>
            </w:r>
            <w:r w:rsidRPr="00C00C4E">
              <w:rPr>
                <w:rFonts w:ascii="Times New Roman" w:eastAsia="宋体" w:hAnsi="Times New Roman" w:cs="宋体"/>
                <w:sz w:val="18"/>
                <w:szCs w:val="18"/>
              </w:rPr>
              <w:t>年</w:t>
            </w:r>
            <w:r w:rsidRPr="00C00C4E">
              <w:rPr>
                <w:rFonts w:ascii="Times New Roman" w:eastAsia="宋体" w:hAnsi="Times New Roman" w:cs="宋体"/>
                <w:sz w:val="18"/>
                <w:szCs w:val="18"/>
              </w:rPr>
              <w:t>8</w:t>
            </w:r>
            <w:r w:rsidRPr="00C00C4E">
              <w:rPr>
                <w:rFonts w:ascii="Times New Roman" w:eastAsia="宋体" w:hAnsi="Times New Roman" w:cs="宋体"/>
                <w:sz w:val="18"/>
                <w:szCs w:val="18"/>
              </w:rPr>
              <w:t>月</w:t>
            </w:r>
            <w:r w:rsidRPr="00C00C4E">
              <w:rPr>
                <w:rFonts w:ascii="Times New Roman" w:eastAsia="宋体" w:hAnsi="Times New Roman" w:cs="宋体"/>
                <w:sz w:val="18"/>
                <w:szCs w:val="18"/>
              </w:rPr>
              <w:t>12</w:t>
            </w:r>
            <w:r w:rsidRPr="00C00C4E">
              <w:rPr>
                <w:rFonts w:ascii="Times New Roman" w:eastAsia="宋体" w:hAnsi="Times New Roman" w:cs="宋体"/>
                <w:sz w:val="18"/>
                <w:szCs w:val="18"/>
              </w:rPr>
              <w:t>日，经公司第五届董事会第五次会议审议通过了《关于继续使用部分闲置募集资金暂时补充流动资金的议案》，公司决定使用可转换债券部分闲置募集资金</w:t>
            </w:r>
            <w:r w:rsidRPr="00C00C4E">
              <w:rPr>
                <w:rFonts w:ascii="Times New Roman" w:eastAsia="宋体" w:hAnsi="Times New Roman" w:cs="宋体"/>
                <w:sz w:val="18"/>
                <w:szCs w:val="18"/>
              </w:rPr>
              <w:t>40,572.67</w:t>
            </w:r>
            <w:r w:rsidRPr="00C00C4E">
              <w:rPr>
                <w:rFonts w:ascii="Times New Roman" w:eastAsia="宋体" w:hAnsi="Times New Roman" w:cs="宋体"/>
                <w:sz w:val="18"/>
                <w:szCs w:val="18"/>
              </w:rPr>
              <w:t>万元（含本数）暂时补充流动资金，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p w14:paraId="461A7274" w14:textId="77777777" w:rsidR="00C00C4E" w:rsidRPr="00C00C4E" w:rsidRDefault="00C00C4E" w:rsidP="00C00C4E">
            <w:pPr>
              <w:spacing w:line="276" w:lineRule="auto"/>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截至</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日，公司已按规定将上述用于暂时补充流动资金的募集资金全部归还至募集资金专项账户，使用期限均未超过</w:t>
            </w:r>
            <w:r w:rsidRPr="00F614F9">
              <w:rPr>
                <w:rFonts w:ascii="Times New Roman" w:eastAsia="宋体" w:hAnsi="Times New Roman" w:cs="宋体"/>
                <w:sz w:val="18"/>
                <w:szCs w:val="18"/>
              </w:rPr>
              <w:t xml:space="preserve"> 12 </w:t>
            </w:r>
            <w:proofErr w:type="gramStart"/>
            <w:r w:rsidRPr="00F614F9">
              <w:rPr>
                <w:rFonts w:ascii="Times New Roman" w:eastAsia="宋体" w:hAnsi="Times New Roman" w:cs="宋体"/>
                <w:sz w:val="18"/>
                <w:szCs w:val="18"/>
              </w:rPr>
              <w:t>个</w:t>
            </w:r>
            <w:proofErr w:type="gramEnd"/>
            <w:r w:rsidRPr="00F614F9">
              <w:rPr>
                <w:rFonts w:ascii="Times New Roman" w:eastAsia="宋体" w:hAnsi="Times New Roman" w:cs="宋体"/>
                <w:sz w:val="18"/>
                <w:szCs w:val="18"/>
              </w:rPr>
              <w:t>月。</w:t>
            </w:r>
          </w:p>
          <w:p w14:paraId="7FA5A334" w14:textId="77777777" w:rsidR="001D26E7" w:rsidRPr="00F614F9" w:rsidRDefault="00C00C4E" w:rsidP="0080112C">
            <w:pPr>
              <w:spacing w:line="276" w:lineRule="auto"/>
              <w:ind w:firstLineChars="200" w:firstLine="360"/>
              <w:rPr>
                <w:rFonts w:ascii="Times New Roman" w:eastAsia="宋体" w:hAnsi="Times New Roman" w:cs="宋体"/>
                <w:sz w:val="18"/>
                <w:szCs w:val="18"/>
              </w:rPr>
            </w:pPr>
            <w:r w:rsidRPr="00C00C4E">
              <w:rPr>
                <w:rFonts w:ascii="Times New Roman" w:eastAsia="宋体" w:hAnsi="Times New Roman" w:cs="宋体"/>
                <w:sz w:val="18"/>
                <w:szCs w:val="18"/>
              </w:rPr>
              <w:t>2023</w:t>
            </w:r>
            <w:r w:rsidRPr="00C00C4E">
              <w:rPr>
                <w:rFonts w:ascii="Times New Roman" w:eastAsia="宋体" w:hAnsi="Times New Roman" w:cs="宋体"/>
                <w:sz w:val="18"/>
                <w:szCs w:val="18"/>
              </w:rPr>
              <w:t>年</w:t>
            </w:r>
            <w:r w:rsidRPr="00C00C4E">
              <w:rPr>
                <w:rFonts w:ascii="Times New Roman" w:eastAsia="宋体" w:hAnsi="Times New Roman" w:cs="宋体"/>
                <w:sz w:val="18"/>
                <w:szCs w:val="18"/>
              </w:rPr>
              <w:t>8</w:t>
            </w:r>
            <w:r w:rsidRPr="00C00C4E">
              <w:rPr>
                <w:rFonts w:ascii="Times New Roman" w:eastAsia="宋体" w:hAnsi="Times New Roman" w:cs="宋体"/>
                <w:sz w:val="18"/>
                <w:szCs w:val="18"/>
              </w:rPr>
              <w:t>月</w:t>
            </w:r>
            <w:r w:rsidRPr="00C00C4E">
              <w:rPr>
                <w:rFonts w:ascii="Times New Roman" w:eastAsia="宋体" w:hAnsi="Times New Roman" w:cs="宋体"/>
                <w:sz w:val="18"/>
                <w:szCs w:val="18"/>
              </w:rPr>
              <w:t>15</w:t>
            </w:r>
            <w:r w:rsidRPr="00C00C4E">
              <w:rPr>
                <w:rFonts w:ascii="Times New Roman" w:eastAsia="宋体" w:hAnsi="Times New Roman" w:cs="宋体"/>
                <w:sz w:val="18"/>
                <w:szCs w:val="18"/>
              </w:rPr>
              <w:t>日，经公司第五届董事会第十五次会议审议通过了《关于继续使用部分闲置募集资金暂时补充流动资金的议案》，公司决定使用可转换债券部分闲置募集资金</w:t>
            </w:r>
            <w:r w:rsidRPr="00C00C4E">
              <w:rPr>
                <w:rFonts w:ascii="Times New Roman" w:eastAsia="宋体" w:hAnsi="Times New Roman" w:cs="宋体"/>
                <w:sz w:val="18"/>
                <w:szCs w:val="18"/>
              </w:rPr>
              <w:t>39,900.00</w:t>
            </w:r>
            <w:r w:rsidRPr="00C00C4E">
              <w:rPr>
                <w:rFonts w:ascii="Times New Roman" w:eastAsia="宋体" w:hAnsi="Times New Roman" w:cs="宋体"/>
                <w:sz w:val="18"/>
                <w:szCs w:val="18"/>
              </w:rPr>
              <w:t>万元（含本数）暂时补充流动资金，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p w14:paraId="107304A5" w14:textId="77777777" w:rsidR="0080112C" w:rsidRPr="0080112C" w:rsidRDefault="0080112C" w:rsidP="0080112C">
            <w:pPr>
              <w:spacing w:line="276" w:lineRule="auto"/>
              <w:ind w:firstLineChars="200" w:firstLine="360"/>
              <w:rPr>
                <w:rFonts w:ascii="Times New Roman" w:eastAsia="宋体" w:hAnsi="Times New Roman" w:cs="宋体"/>
                <w:sz w:val="18"/>
                <w:szCs w:val="18"/>
              </w:rPr>
            </w:pPr>
            <w:r w:rsidRPr="0080112C">
              <w:rPr>
                <w:rFonts w:ascii="Times New Roman" w:eastAsia="宋体" w:hAnsi="Times New Roman" w:cs="宋体"/>
                <w:sz w:val="18"/>
                <w:szCs w:val="18"/>
              </w:rPr>
              <w:t>2021</w:t>
            </w:r>
            <w:r w:rsidRPr="0080112C">
              <w:rPr>
                <w:rFonts w:ascii="Times New Roman" w:eastAsia="宋体" w:hAnsi="Times New Roman" w:cs="宋体"/>
                <w:sz w:val="18"/>
                <w:szCs w:val="18"/>
              </w:rPr>
              <w:t>年</w:t>
            </w:r>
            <w:r w:rsidRPr="0080112C">
              <w:rPr>
                <w:rFonts w:ascii="Times New Roman" w:eastAsia="宋体" w:hAnsi="Times New Roman" w:cs="宋体"/>
                <w:sz w:val="18"/>
                <w:szCs w:val="18"/>
              </w:rPr>
              <w:t>8</w:t>
            </w:r>
            <w:r w:rsidRPr="0080112C">
              <w:rPr>
                <w:rFonts w:ascii="Times New Roman" w:eastAsia="宋体" w:hAnsi="Times New Roman" w:cs="宋体"/>
                <w:sz w:val="18"/>
                <w:szCs w:val="18"/>
              </w:rPr>
              <w:t>月</w:t>
            </w:r>
            <w:r w:rsidRPr="0080112C">
              <w:rPr>
                <w:rFonts w:ascii="Times New Roman" w:eastAsia="宋体" w:hAnsi="Times New Roman" w:cs="宋体"/>
                <w:sz w:val="18"/>
                <w:szCs w:val="18"/>
              </w:rPr>
              <w:t>12</w:t>
            </w:r>
            <w:r w:rsidRPr="0080112C">
              <w:rPr>
                <w:rFonts w:ascii="Times New Roman" w:eastAsia="宋体" w:hAnsi="Times New Roman" w:cs="宋体"/>
                <w:sz w:val="18"/>
                <w:szCs w:val="18"/>
              </w:rPr>
              <w:t>日，经公司第四届董事会第三十四次会议审议通过了《关于使用部分闲置募集资金暂时补充流动资金的议案》，公司决定使用非公开发行股票部分闲置募集资金</w:t>
            </w:r>
            <w:r w:rsidRPr="0080112C">
              <w:rPr>
                <w:rFonts w:ascii="Times New Roman" w:eastAsia="宋体" w:hAnsi="Times New Roman" w:cs="宋体"/>
                <w:sz w:val="18"/>
                <w:szCs w:val="18"/>
              </w:rPr>
              <w:t>28,256.35</w:t>
            </w:r>
            <w:r w:rsidRPr="0080112C">
              <w:rPr>
                <w:rFonts w:ascii="Times New Roman" w:eastAsia="宋体" w:hAnsi="Times New Roman" w:cs="宋体"/>
                <w:sz w:val="18"/>
                <w:szCs w:val="18"/>
              </w:rPr>
              <w:t>万元（含本数）暂时补充流动资金，该笔资金仅限于公司主营业务相关的生产经营使用，使用期限自董事会审议通过之日起十二个月内，在决议有效期内上述额度可以滚动使用，到期后将及时归还到公司募集资金专项存储账户。</w:t>
            </w:r>
          </w:p>
          <w:p w14:paraId="2785E012" w14:textId="77777777" w:rsidR="0080112C" w:rsidRPr="0080112C" w:rsidRDefault="0080112C" w:rsidP="0080112C">
            <w:pPr>
              <w:spacing w:line="276" w:lineRule="auto"/>
              <w:ind w:firstLineChars="200" w:firstLine="360"/>
              <w:rPr>
                <w:rFonts w:ascii="Times New Roman" w:eastAsia="宋体" w:hAnsi="Times New Roman" w:cs="宋体"/>
                <w:sz w:val="18"/>
                <w:szCs w:val="18"/>
              </w:rPr>
            </w:pPr>
            <w:r w:rsidRPr="0080112C">
              <w:rPr>
                <w:rFonts w:ascii="Times New Roman" w:eastAsia="宋体" w:hAnsi="Times New Roman" w:cs="宋体" w:hint="eastAsia"/>
                <w:sz w:val="18"/>
                <w:szCs w:val="18"/>
              </w:rPr>
              <w:t>截至</w:t>
            </w:r>
            <w:r w:rsidRPr="0080112C">
              <w:rPr>
                <w:rFonts w:ascii="Times New Roman" w:eastAsia="宋体" w:hAnsi="Times New Roman" w:cs="宋体"/>
                <w:sz w:val="18"/>
                <w:szCs w:val="18"/>
              </w:rPr>
              <w:t>2022</w:t>
            </w:r>
            <w:r w:rsidRPr="0080112C">
              <w:rPr>
                <w:rFonts w:ascii="Times New Roman" w:eastAsia="宋体" w:hAnsi="Times New Roman" w:cs="宋体"/>
                <w:sz w:val="18"/>
                <w:szCs w:val="18"/>
              </w:rPr>
              <w:t>年</w:t>
            </w:r>
            <w:r w:rsidRPr="0080112C">
              <w:rPr>
                <w:rFonts w:ascii="Times New Roman" w:eastAsia="宋体" w:hAnsi="Times New Roman" w:cs="宋体"/>
                <w:sz w:val="18"/>
                <w:szCs w:val="18"/>
              </w:rPr>
              <w:t>8</w:t>
            </w:r>
            <w:r w:rsidRPr="0080112C">
              <w:rPr>
                <w:rFonts w:ascii="Times New Roman" w:eastAsia="宋体" w:hAnsi="Times New Roman" w:cs="宋体"/>
                <w:sz w:val="18"/>
                <w:szCs w:val="18"/>
              </w:rPr>
              <w:t>月</w:t>
            </w:r>
            <w:r w:rsidRPr="0080112C">
              <w:rPr>
                <w:rFonts w:ascii="Times New Roman" w:eastAsia="宋体" w:hAnsi="Times New Roman" w:cs="宋体"/>
                <w:sz w:val="18"/>
                <w:szCs w:val="18"/>
              </w:rPr>
              <w:t>5</w:t>
            </w:r>
            <w:r w:rsidRPr="0080112C">
              <w:rPr>
                <w:rFonts w:ascii="Times New Roman" w:eastAsia="宋体" w:hAnsi="Times New Roman" w:cs="宋体"/>
                <w:sz w:val="18"/>
                <w:szCs w:val="18"/>
              </w:rPr>
              <w:t>日，公司已按规定将上述用于暂时补充流动资金的募集资金全部归还至募集资金专项账户，使用期限均未超过</w:t>
            </w:r>
            <w:r w:rsidRPr="0080112C">
              <w:rPr>
                <w:rFonts w:ascii="Times New Roman" w:eastAsia="宋体" w:hAnsi="Times New Roman" w:cs="宋体"/>
                <w:sz w:val="18"/>
                <w:szCs w:val="18"/>
              </w:rPr>
              <w:t>12</w:t>
            </w:r>
            <w:r w:rsidRPr="0080112C">
              <w:rPr>
                <w:rFonts w:ascii="Times New Roman" w:eastAsia="宋体" w:hAnsi="Times New Roman" w:cs="宋体"/>
                <w:sz w:val="18"/>
                <w:szCs w:val="18"/>
              </w:rPr>
              <w:t>个月。</w:t>
            </w:r>
          </w:p>
          <w:p w14:paraId="55F1D9DF" w14:textId="77777777" w:rsidR="0080112C" w:rsidRDefault="0080112C" w:rsidP="0080112C">
            <w:pPr>
              <w:spacing w:line="276" w:lineRule="auto"/>
              <w:ind w:firstLineChars="200" w:firstLine="360"/>
              <w:rPr>
                <w:rFonts w:ascii="Times New Roman" w:eastAsia="宋体" w:hAnsi="Times New Roman" w:cs="宋体"/>
                <w:sz w:val="18"/>
                <w:szCs w:val="18"/>
              </w:rPr>
            </w:pPr>
            <w:r w:rsidRPr="0080112C">
              <w:rPr>
                <w:rFonts w:ascii="Times New Roman" w:eastAsia="宋体" w:hAnsi="Times New Roman" w:cs="宋体"/>
                <w:sz w:val="18"/>
                <w:szCs w:val="18"/>
              </w:rPr>
              <w:lastRenderedPageBreak/>
              <w:t>2022</w:t>
            </w:r>
            <w:r w:rsidRPr="0080112C">
              <w:rPr>
                <w:rFonts w:ascii="Times New Roman" w:eastAsia="宋体" w:hAnsi="Times New Roman" w:cs="宋体"/>
                <w:sz w:val="18"/>
                <w:szCs w:val="18"/>
              </w:rPr>
              <w:t>年</w:t>
            </w:r>
            <w:r w:rsidRPr="0080112C">
              <w:rPr>
                <w:rFonts w:ascii="Times New Roman" w:eastAsia="宋体" w:hAnsi="Times New Roman" w:cs="宋体"/>
                <w:sz w:val="18"/>
                <w:szCs w:val="18"/>
              </w:rPr>
              <w:t>8</w:t>
            </w:r>
            <w:r w:rsidRPr="0080112C">
              <w:rPr>
                <w:rFonts w:ascii="Times New Roman" w:eastAsia="宋体" w:hAnsi="Times New Roman" w:cs="宋体"/>
                <w:sz w:val="18"/>
                <w:szCs w:val="18"/>
              </w:rPr>
              <w:t>月</w:t>
            </w:r>
            <w:r w:rsidRPr="0080112C">
              <w:rPr>
                <w:rFonts w:ascii="Times New Roman" w:eastAsia="宋体" w:hAnsi="Times New Roman" w:cs="宋体"/>
                <w:sz w:val="18"/>
                <w:szCs w:val="18"/>
              </w:rPr>
              <w:t>12</w:t>
            </w:r>
            <w:r w:rsidRPr="0080112C">
              <w:rPr>
                <w:rFonts w:ascii="Times New Roman" w:eastAsia="宋体" w:hAnsi="Times New Roman" w:cs="宋体"/>
                <w:sz w:val="18"/>
                <w:szCs w:val="18"/>
              </w:rPr>
              <w:t>日，经公司第五届董事会第五次会议审议通过了《关于继续使用部分闲置募集资金暂时补充流动资金的议案》，公司决定</w:t>
            </w:r>
            <w:proofErr w:type="gramStart"/>
            <w:r w:rsidRPr="0080112C">
              <w:rPr>
                <w:rFonts w:ascii="Times New Roman" w:eastAsia="宋体" w:hAnsi="Times New Roman" w:cs="宋体"/>
                <w:sz w:val="18"/>
                <w:szCs w:val="18"/>
              </w:rPr>
              <w:t>使用使用</w:t>
            </w:r>
            <w:proofErr w:type="gramEnd"/>
            <w:r w:rsidRPr="0080112C">
              <w:rPr>
                <w:rFonts w:ascii="Times New Roman" w:eastAsia="宋体" w:hAnsi="Times New Roman" w:cs="宋体"/>
                <w:sz w:val="18"/>
                <w:szCs w:val="18"/>
              </w:rPr>
              <w:t>非公开发行股票部分闲置募集资金补充流动资金的金额不超过</w:t>
            </w:r>
            <w:r w:rsidRPr="0080112C">
              <w:rPr>
                <w:rFonts w:ascii="Times New Roman" w:eastAsia="宋体" w:hAnsi="Times New Roman" w:cs="宋体"/>
                <w:sz w:val="18"/>
                <w:szCs w:val="18"/>
              </w:rPr>
              <w:t xml:space="preserve"> 12,182.35</w:t>
            </w:r>
            <w:r w:rsidRPr="0080112C">
              <w:rPr>
                <w:rFonts w:ascii="Times New Roman" w:eastAsia="宋体" w:hAnsi="Times New Roman" w:cs="宋体"/>
                <w:sz w:val="18"/>
                <w:szCs w:val="18"/>
              </w:rPr>
              <w:t>（含本数）暂时补充流动资金，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p w14:paraId="3A4016DB" w14:textId="77777777" w:rsidR="0080112C" w:rsidRPr="0080112C" w:rsidRDefault="0080112C" w:rsidP="0080112C">
            <w:pPr>
              <w:spacing w:line="276" w:lineRule="auto"/>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截至</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日，公司已按规定将上述用于暂时补充流动资金的募集资金全部归还至募集资金专项账户，使用期限均未超过</w:t>
            </w:r>
            <w:r w:rsidRPr="00F614F9">
              <w:rPr>
                <w:rFonts w:ascii="Times New Roman" w:eastAsia="宋体" w:hAnsi="Times New Roman" w:cs="宋体"/>
                <w:sz w:val="18"/>
                <w:szCs w:val="18"/>
              </w:rPr>
              <w:t xml:space="preserve"> 12 </w:t>
            </w:r>
            <w:proofErr w:type="gramStart"/>
            <w:r w:rsidRPr="00F614F9">
              <w:rPr>
                <w:rFonts w:ascii="Times New Roman" w:eastAsia="宋体" w:hAnsi="Times New Roman" w:cs="宋体"/>
                <w:sz w:val="18"/>
                <w:szCs w:val="18"/>
              </w:rPr>
              <w:t>个</w:t>
            </w:r>
            <w:proofErr w:type="gramEnd"/>
            <w:r w:rsidRPr="00F614F9">
              <w:rPr>
                <w:rFonts w:ascii="Times New Roman" w:eastAsia="宋体" w:hAnsi="Times New Roman" w:cs="宋体"/>
                <w:sz w:val="18"/>
                <w:szCs w:val="18"/>
              </w:rPr>
              <w:t>月。</w:t>
            </w:r>
          </w:p>
          <w:p w14:paraId="47B9970A" w14:textId="77777777" w:rsidR="001D26E7" w:rsidRPr="00F614F9" w:rsidRDefault="0080112C" w:rsidP="0080112C">
            <w:pPr>
              <w:spacing w:line="276" w:lineRule="auto"/>
              <w:ind w:firstLineChars="200" w:firstLine="360"/>
              <w:rPr>
                <w:rFonts w:ascii="Times New Roman" w:eastAsia="宋体" w:hAnsi="Times New Roman" w:cs="宋体"/>
                <w:sz w:val="18"/>
                <w:szCs w:val="18"/>
              </w:rPr>
            </w:pPr>
            <w:r w:rsidRPr="0080112C">
              <w:rPr>
                <w:rFonts w:ascii="Times New Roman" w:eastAsia="宋体" w:hAnsi="Times New Roman" w:cs="宋体"/>
                <w:sz w:val="18"/>
                <w:szCs w:val="18"/>
              </w:rPr>
              <w:t>2023</w:t>
            </w:r>
            <w:r w:rsidRPr="0080112C">
              <w:rPr>
                <w:rFonts w:ascii="Times New Roman" w:eastAsia="宋体" w:hAnsi="Times New Roman" w:cs="宋体"/>
                <w:sz w:val="18"/>
                <w:szCs w:val="18"/>
              </w:rPr>
              <w:t>年</w:t>
            </w:r>
            <w:r w:rsidRPr="0080112C">
              <w:rPr>
                <w:rFonts w:ascii="Times New Roman" w:eastAsia="宋体" w:hAnsi="Times New Roman" w:cs="宋体"/>
                <w:sz w:val="18"/>
                <w:szCs w:val="18"/>
              </w:rPr>
              <w:t>8</w:t>
            </w:r>
            <w:r w:rsidRPr="0080112C">
              <w:rPr>
                <w:rFonts w:ascii="Times New Roman" w:eastAsia="宋体" w:hAnsi="Times New Roman" w:cs="宋体"/>
                <w:sz w:val="18"/>
                <w:szCs w:val="18"/>
              </w:rPr>
              <w:t>月</w:t>
            </w:r>
            <w:r w:rsidRPr="0080112C">
              <w:rPr>
                <w:rFonts w:ascii="Times New Roman" w:eastAsia="宋体" w:hAnsi="Times New Roman" w:cs="宋体"/>
                <w:sz w:val="18"/>
                <w:szCs w:val="18"/>
              </w:rPr>
              <w:t>15</w:t>
            </w:r>
            <w:r w:rsidRPr="0080112C">
              <w:rPr>
                <w:rFonts w:ascii="Times New Roman" w:eastAsia="宋体" w:hAnsi="Times New Roman" w:cs="宋体"/>
                <w:sz w:val="18"/>
                <w:szCs w:val="18"/>
              </w:rPr>
              <w:t>日，经公司第五届董事会第十五次会议审议通过了《关于继续使用部分闲置募集资金暂时补充流动资金的议案》，公司决定使用非公开发行股票部分闲置募集资金补充流动资金的金额不超过</w:t>
            </w:r>
            <w:r w:rsidRPr="0080112C">
              <w:rPr>
                <w:rFonts w:ascii="Times New Roman" w:eastAsia="宋体" w:hAnsi="Times New Roman" w:cs="宋体"/>
                <w:sz w:val="18"/>
                <w:szCs w:val="18"/>
              </w:rPr>
              <w:t xml:space="preserve"> 10,100.00</w:t>
            </w:r>
            <w:r w:rsidRPr="0080112C">
              <w:rPr>
                <w:rFonts w:ascii="Times New Roman" w:eastAsia="宋体" w:hAnsi="Times New Roman" w:cs="宋体"/>
                <w:sz w:val="18"/>
                <w:szCs w:val="18"/>
              </w:rPr>
              <w:t>（含本数）暂时补充流动资金，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tc>
      </w:tr>
      <w:tr w:rsidR="001D26E7" w:rsidRPr="00F614F9" w14:paraId="79E18790" w14:textId="77777777" w:rsidTr="0089355B">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06184C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项目实施出现募集资金结余的金额及原因</w:t>
            </w:r>
          </w:p>
        </w:tc>
        <w:tc>
          <w:tcPr>
            <w:tcW w:w="9189" w:type="dxa"/>
            <w:gridSpan w:val="10"/>
            <w:tcBorders>
              <w:top w:val="single" w:sz="2" w:space="0" w:color="auto"/>
              <w:left w:val="single" w:sz="2" w:space="0" w:color="auto"/>
              <w:bottom w:val="single" w:sz="2" w:space="0" w:color="auto"/>
              <w:right w:val="single" w:sz="2" w:space="0" w:color="auto"/>
            </w:tcBorders>
            <w:vAlign w:val="center"/>
          </w:tcPr>
          <w:p w14:paraId="082E78E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19A77451" w14:textId="77777777" w:rsidTr="0089355B">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C1AA85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尚未使用的募集资金用途及去向</w:t>
            </w:r>
          </w:p>
        </w:tc>
        <w:tc>
          <w:tcPr>
            <w:tcW w:w="9189" w:type="dxa"/>
            <w:gridSpan w:val="10"/>
            <w:tcBorders>
              <w:top w:val="single" w:sz="2" w:space="0" w:color="auto"/>
              <w:left w:val="single" w:sz="2" w:space="0" w:color="auto"/>
              <w:bottom w:val="single" w:sz="2" w:space="0" w:color="auto"/>
              <w:right w:val="single" w:sz="2" w:space="0" w:color="auto"/>
            </w:tcBorders>
            <w:vAlign w:val="center"/>
          </w:tcPr>
          <w:p w14:paraId="05B98D71" w14:textId="77777777" w:rsidR="001D26E7" w:rsidRPr="00F614F9" w:rsidRDefault="00000000" w:rsidP="0089355B">
            <w:pPr>
              <w:spacing w:line="276" w:lineRule="auto"/>
              <w:rPr>
                <w:rFonts w:ascii="Times New Roman" w:eastAsia="宋体" w:hAnsi="Times New Roman" w:cs="宋体"/>
                <w:sz w:val="18"/>
                <w:szCs w:val="18"/>
              </w:rPr>
            </w:pPr>
            <w:r w:rsidRPr="00F614F9">
              <w:rPr>
                <w:rFonts w:ascii="Times New Roman" w:eastAsia="宋体" w:hAnsi="Times New Roman" w:cs="宋体"/>
                <w:sz w:val="18"/>
                <w:szCs w:val="18"/>
              </w:rPr>
              <w:t>尚未使用的募集资金主要用于以下用途：</w:t>
            </w:r>
          </w:p>
          <w:p w14:paraId="3A73EE7C" w14:textId="77777777" w:rsidR="001D26E7" w:rsidRPr="00F614F9" w:rsidRDefault="00000000" w:rsidP="0089355B">
            <w:pPr>
              <w:spacing w:line="276" w:lineRule="auto"/>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）暂时补充流动资金</w:t>
            </w:r>
            <w:r w:rsidRPr="00F614F9">
              <w:rPr>
                <w:rFonts w:ascii="Times New Roman" w:eastAsia="宋体" w:hAnsi="Times New Roman" w:cs="宋体"/>
                <w:sz w:val="18"/>
                <w:szCs w:val="18"/>
              </w:rPr>
              <w:t>39,900.00</w:t>
            </w:r>
            <w:r w:rsidRPr="00F614F9">
              <w:rPr>
                <w:rFonts w:ascii="Times New Roman" w:eastAsia="宋体" w:hAnsi="Times New Roman" w:cs="宋体"/>
                <w:sz w:val="18"/>
                <w:szCs w:val="18"/>
              </w:rPr>
              <w:t>万元；</w:t>
            </w:r>
          </w:p>
          <w:p w14:paraId="0C90DB00" w14:textId="77777777" w:rsidR="001D26E7" w:rsidRPr="00F614F9" w:rsidRDefault="00000000" w:rsidP="0089355B">
            <w:pPr>
              <w:spacing w:line="276" w:lineRule="auto"/>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）其余未使用的募集资金人民币</w:t>
            </w:r>
            <w:r w:rsidRPr="00F614F9">
              <w:rPr>
                <w:rFonts w:ascii="Times New Roman" w:eastAsia="宋体" w:hAnsi="Times New Roman" w:cs="宋体"/>
                <w:sz w:val="18"/>
                <w:szCs w:val="18"/>
              </w:rPr>
              <w:t>295.85</w:t>
            </w:r>
            <w:r w:rsidRPr="00F614F9">
              <w:rPr>
                <w:rFonts w:ascii="Times New Roman" w:eastAsia="宋体" w:hAnsi="Times New Roman" w:cs="宋体"/>
                <w:sz w:val="18"/>
                <w:szCs w:val="18"/>
              </w:rPr>
              <w:t>万元存放于募集资金专用账户。</w:t>
            </w:r>
          </w:p>
          <w:p w14:paraId="2C2E3B36" w14:textId="77777777" w:rsidR="001D26E7" w:rsidRPr="00F614F9" w:rsidRDefault="00000000" w:rsidP="0089355B">
            <w:pPr>
              <w:spacing w:line="276" w:lineRule="auto"/>
              <w:rPr>
                <w:rFonts w:ascii="Times New Roman" w:eastAsia="宋体" w:hAnsi="Times New Roman" w:cs="宋体"/>
                <w:sz w:val="18"/>
                <w:szCs w:val="18"/>
              </w:rPr>
            </w:pPr>
            <w:r w:rsidRPr="00F614F9">
              <w:rPr>
                <w:rFonts w:ascii="Times New Roman" w:eastAsia="宋体" w:hAnsi="Times New Roman" w:cs="宋体"/>
                <w:sz w:val="18"/>
                <w:szCs w:val="18"/>
              </w:rPr>
              <w:t>尚未使用的募集资金主要用于以下用途：</w:t>
            </w:r>
          </w:p>
          <w:p w14:paraId="04A2408A" w14:textId="77777777" w:rsidR="001D26E7" w:rsidRPr="00F614F9" w:rsidRDefault="00000000" w:rsidP="0089355B">
            <w:pPr>
              <w:spacing w:line="276" w:lineRule="auto"/>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）暂时补充流动资金</w:t>
            </w:r>
            <w:r w:rsidRPr="00F614F9">
              <w:rPr>
                <w:rFonts w:ascii="Times New Roman" w:eastAsia="宋体" w:hAnsi="Times New Roman" w:cs="宋体"/>
                <w:sz w:val="18"/>
                <w:szCs w:val="18"/>
              </w:rPr>
              <w:t>10,049.68</w:t>
            </w:r>
            <w:r w:rsidRPr="00F614F9">
              <w:rPr>
                <w:rFonts w:ascii="Times New Roman" w:eastAsia="宋体" w:hAnsi="Times New Roman" w:cs="宋体"/>
                <w:sz w:val="18"/>
                <w:szCs w:val="18"/>
              </w:rPr>
              <w:t>万元；</w:t>
            </w:r>
          </w:p>
          <w:p w14:paraId="5F92B144" w14:textId="77777777" w:rsidR="001D26E7" w:rsidRPr="00F614F9" w:rsidRDefault="00000000" w:rsidP="0089355B">
            <w:pPr>
              <w:spacing w:line="276" w:lineRule="auto"/>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）其余未使用的募集资金人民币</w:t>
            </w:r>
            <w:r w:rsidRPr="00F614F9">
              <w:rPr>
                <w:rFonts w:ascii="Times New Roman" w:eastAsia="宋体" w:hAnsi="Times New Roman" w:cs="宋体"/>
                <w:sz w:val="18"/>
                <w:szCs w:val="18"/>
              </w:rPr>
              <w:t>714.22</w:t>
            </w:r>
            <w:r w:rsidRPr="00F614F9">
              <w:rPr>
                <w:rFonts w:ascii="Times New Roman" w:eastAsia="宋体" w:hAnsi="Times New Roman" w:cs="宋体"/>
                <w:sz w:val="18"/>
                <w:szCs w:val="18"/>
              </w:rPr>
              <w:t>万元存放于募集资金专用账户。</w:t>
            </w:r>
          </w:p>
        </w:tc>
      </w:tr>
      <w:tr w:rsidR="001D26E7" w:rsidRPr="00F614F9" w14:paraId="30DFD72E" w14:textId="77777777" w:rsidTr="0089355B">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8260F8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募集资金使用及披露中存在的问题或其他情况</w:t>
            </w:r>
          </w:p>
        </w:tc>
        <w:tc>
          <w:tcPr>
            <w:tcW w:w="9189" w:type="dxa"/>
            <w:gridSpan w:val="10"/>
            <w:tcBorders>
              <w:top w:val="single" w:sz="2" w:space="0" w:color="auto"/>
              <w:left w:val="single" w:sz="2" w:space="0" w:color="auto"/>
              <w:bottom w:val="single" w:sz="2" w:space="0" w:color="auto"/>
              <w:right w:val="single" w:sz="2" w:space="0" w:color="auto"/>
            </w:tcBorders>
            <w:vAlign w:val="center"/>
          </w:tcPr>
          <w:p w14:paraId="772DBE0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无</w:t>
            </w:r>
          </w:p>
        </w:tc>
      </w:tr>
    </w:tbl>
    <w:p w14:paraId="164EC1E0"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62" w:name="_Toc988935"/>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3</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募集资金变更项目情况</w:t>
      </w:r>
      <w:bookmarkEnd w:id="62"/>
    </w:p>
    <w:p w14:paraId="667070C2" w14:textId="77777777" w:rsidR="001D26E7" w:rsidRPr="00F614F9" w:rsidRDefault="00000000">
      <w:pPr>
        <w:spacing w:before="40" w:after="4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02A2C02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公司报告期不存在募集资金变更项目情况。</w:t>
      </w:r>
    </w:p>
    <w:p w14:paraId="38B1A348"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63" w:name="_Toc988936"/>
      <w:bookmarkStart w:id="64" w:name="_Toc164024762"/>
      <w:r w:rsidRPr="00F614F9">
        <w:rPr>
          <w:rFonts w:ascii="Times New Roman" w:eastAsia="宋体" w:hAnsi="Times New Roman" w:cs="宋体"/>
          <w:b/>
          <w:bCs/>
          <w:sz w:val="24"/>
          <w:szCs w:val="24"/>
        </w:rPr>
        <w:t>八、重大资产和股权出售</w:t>
      </w:r>
      <w:bookmarkEnd w:id="63"/>
      <w:bookmarkEnd w:id="64"/>
    </w:p>
    <w:p w14:paraId="11D1CD37" w14:textId="77777777" w:rsidR="001D26E7" w:rsidRPr="00F614F9" w:rsidRDefault="00000000">
      <w:pPr>
        <w:pStyle w:val="3"/>
        <w:spacing w:line="280" w:lineRule="exact"/>
        <w:jc w:val="left"/>
        <w:rPr>
          <w:rFonts w:ascii="Times New Roman" w:hAnsi="Times New Roman" w:cs="宋体"/>
          <w:b/>
          <w:bCs/>
        </w:rPr>
      </w:pPr>
      <w:bookmarkStart w:id="65" w:name="_Toc988937"/>
      <w:r w:rsidRPr="00F614F9">
        <w:rPr>
          <w:rFonts w:ascii="Times New Roman" w:hAnsi="Times New Roman" w:cs="宋体"/>
          <w:b/>
          <w:bCs/>
        </w:rPr>
        <w:t>1</w:t>
      </w:r>
      <w:r w:rsidRPr="00F614F9">
        <w:rPr>
          <w:rFonts w:ascii="Times New Roman" w:hAnsi="Times New Roman" w:cs="宋体"/>
          <w:b/>
          <w:bCs/>
        </w:rPr>
        <w:t>、出售重大资产情况</w:t>
      </w:r>
      <w:bookmarkEnd w:id="65"/>
    </w:p>
    <w:p w14:paraId="38BA691C"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625F1E80"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公司报告期未出售重大资产。</w:t>
      </w:r>
    </w:p>
    <w:p w14:paraId="762211B4" w14:textId="77777777" w:rsidR="001D26E7" w:rsidRPr="00F614F9" w:rsidRDefault="00000000">
      <w:pPr>
        <w:pStyle w:val="3"/>
        <w:spacing w:line="280" w:lineRule="exact"/>
        <w:jc w:val="left"/>
        <w:rPr>
          <w:rFonts w:ascii="Times New Roman" w:hAnsi="Times New Roman" w:cs="宋体"/>
          <w:b/>
          <w:bCs/>
        </w:rPr>
      </w:pPr>
      <w:bookmarkStart w:id="66" w:name="_Toc988938"/>
      <w:r w:rsidRPr="00F614F9">
        <w:rPr>
          <w:rFonts w:ascii="Times New Roman" w:hAnsi="Times New Roman" w:cs="宋体"/>
          <w:b/>
          <w:bCs/>
        </w:rPr>
        <w:t>2</w:t>
      </w:r>
      <w:r w:rsidRPr="00F614F9">
        <w:rPr>
          <w:rFonts w:ascii="Times New Roman" w:hAnsi="Times New Roman" w:cs="宋体"/>
          <w:b/>
          <w:bCs/>
        </w:rPr>
        <w:t>、出售重大股权情况</w:t>
      </w:r>
      <w:bookmarkEnd w:id="66"/>
    </w:p>
    <w:p w14:paraId="140E143D"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7B2B26B9"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67" w:name="_Toc988939"/>
      <w:bookmarkStart w:id="68" w:name="_Toc164024763"/>
      <w:r w:rsidRPr="00F614F9">
        <w:rPr>
          <w:rFonts w:ascii="Times New Roman" w:eastAsia="宋体" w:hAnsi="Times New Roman" w:cs="宋体"/>
          <w:b/>
          <w:bCs/>
          <w:sz w:val="24"/>
          <w:szCs w:val="24"/>
        </w:rPr>
        <w:t>九、主要控股参股公司分析</w:t>
      </w:r>
      <w:bookmarkEnd w:id="67"/>
      <w:bookmarkEnd w:id="68"/>
    </w:p>
    <w:p w14:paraId="41797ABF"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6C66CED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主要子公司及对公司净利润</w:t>
      </w:r>
      <w:proofErr w:type="gramStart"/>
      <w:r w:rsidRPr="00F614F9">
        <w:rPr>
          <w:rFonts w:ascii="Times New Roman" w:eastAsia="宋体" w:hAnsi="Times New Roman" w:cs="宋体"/>
          <w:sz w:val="18"/>
          <w:szCs w:val="18"/>
        </w:rPr>
        <w:t>影响达</w:t>
      </w:r>
      <w:proofErr w:type="gramEnd"/>
      <w:r w:rsidRPr="00F614F9">
        <w:rPr>
          <w:rFonts w:ascii="Times New Roman" w:eastAsia="宋体" w:hAnsi="Times New Roman" w:cs="宋体"/>
          <w:sz w:val="18"/>
          <w:szCs w:val="18"/>
        </w:rPr>
        <w:t>10%</w:t>
      </w:r>
      <w:r w:rsidRPr="00F614F9">
        <w:rPr>
          <w:rFonts w:ascii="Times New Roman" w:eastAsia="宋体" w:hAnsi="Times New Roman" w:cs="宋体"/>
          <w:sz w:val="18"/>
          <w:szCs w:val="18"/>
        </w:rPr>
        <w:t>以上的参股公司情况</w:t>
      </w:r>
    </w:p>
    <w:p w14:paraId="3F193B89" w14:textId="77777777" w:rsidR="00C9135A" w:rsidRDefault="00C9135A">
      <w:pPr>
        <w:spacing w:before="120" w:after="120" w:line="240" w:lineRule="exact"/>
        <w:jc w:val="right"/>
        <w:rPr>
          <w:rFonts w:ascii="Times New Roman" w:eastAsia="宋体" w:hAnsi="Times New Roman" w:cs="宋体"/>
          <w:sz w:val="18"/>
          <w:szCs w:val="18"/>
        </w:rPr>
      </w:pPr>
    </w:p>
    <w:p w14:paraId="460DCA51"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lastRenderedPageBreak/>
        <w:t>单位：万元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56"/>
        <w:gridCol w:w="992"/>
        <w:gridCol w:w="1165"/>
        <w:gridCol w:w="1071"/>
        <w:gridCol w:w="1071"/>
        <w:gridCol w:w="1071"/>
        <w:gridCol w:w="1071"/>
        <w:gridCol w:w="1071"/>
      </w:tblGrid>
      <w:tr w:rsidR="001D26E7" w:rsidRPr="00F614F9" w14:paraId="69C0E982" w14:textId="77777777" w:rsidTr="0089355B">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A174D3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公司名称</w:t>
            </w:r>
          </w:p>
        </w:tc>
        <w:tc>
          <w:tcPr>
            <w:tcW w:w="1056" w:type="dxa"/>
            <w:tcBorders>
              <w:top w:val="single" w:sz="2" w:space="0" w:color="auto"/>
              <w:left w:val="single" w:sz="2" w:space="0" w:color="auto"/>
              <w:bottom w:val="single" w:sz="2" w:space="0" w:color="auto"/>
              <w:right w:val="single" w:sz="2" w:space="0" w:color="auto"/>
            </w:tcBorders>
            <w:shd w:val="clear" w:color="auto" w:fill="D3D3D3"/>
            <w:vAlign w:val="center"/>
          </w:tcPr>
          <w:p w14:paraId="0AF9C48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公司类型</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2AF5DD9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主要业务</w:t>
            </w:r>
          </w:p>
        </w:tc>
        <w:tc>
          <w:tcPr>
            <w:tcW w:w="1165" w:type="dxa"/>
            <w:tcBorders>
              <w:top w:val="single" w:sz="2" w:space="0" w:color="auto"/>
              <w:left w:val="single" w:sz="2" w:space="0" w:color="auto"/>
              <w:bottom w:val="single" w:sz="2" w:space="0" w:color="auto"/>
              <w:right w:val="single" w:sz="2" w:space="0" w:color="auto"/>
            </w:tcBorders>
            <w:shd w:val="clear" w:color="auto" w:fill="D3D3D3"/>
            <w:vAlign w:val="center"/>
          </w:tcPr>
          <w:p w14:paraId="3543B71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注册资本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1D2B14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总资产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AE81A8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净资产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54DB0A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07F468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营业利润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DC0D53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净利润</w:t>
            </w:r>
          </w:p>
        </w:tc>
      </w:tr>
      <w:tr w:rsidR="001D26E7" w:rsidRPr="00F614F9" w14:paraId="76922FEC" w14:textId="77777777" w:rsidTr="0089355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8CB1F8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青岛中和盛杰食品有限公司</w:t>
            </w:r>
          </w:p>
        </w:tc>
        <w:tc>
          <w:tcPr>
            <w:tcW w:w="1056" w:type="dxa"/>
            <w:tcBorders>
              <w:top w:val="single" w:sz="2" w:space="0" w:color="auto"/>
              <w:left w:val="single" w:sz="2" w:space="0" w:color="auto"/>
              <w:bottom w:val="single" w:sz="2" w:space="0" w:color="auto"/>
              <w:right w:val="single" w:sz="2" w:space="0" w:color="auto"/>
            </w:tcBorders>
            <w:vAlign w:val="center"/>
          </w:tcPr>
          <w:p w14:paraId="13856F3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子公司</w:t>
            </w:r>
          </w:p>
        </w:tc>
        <w:tc>
          <w:tcPr>
            <w:tcW w:w="992" w:type="dxa"/>
            <w:tcBorders>
              <w:top w:val="single" w:sz="2" w:space="0" w:color="auto"/>
              <w:left w:val="single" w:sz="2" w:space="0" w:color="auto"/>
              <w:bottom w:val="single" w:sz="2" w:space="0" w:color="auto"/>
              <w:right w:val="single" w:sz="2" w:space="0" w:color="auto"/>
            </w:tcBorders>
            <w:vAlign w:val="center"/>
          </w:tcPr>
          <w:p w14:paraId="0107428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进口贸易</w:t>
            </w:r>
          </w:p>
        </w:tc>
        <w:tc>
          <w:tcPr>
            <w:tcW w:w="1165" w:type="dxa"/>
            <w:tcBorders>
              <w:top w:val="single" w:sz="2" w:space="0" w:color="auto"/>
              <w:left w:val="single" w:sz="2" w:space="0" w:color="auto"/>
              <w:bottom w:val="single" w:sz="2" w:space="0" w:color="auto"/>
              <w:right w:val="single" w:sz="2" w:space="0" w:color="auto"/>
            </w:tcBorders>
            <w:vAlign w:val="center"/>
          </w:tcPr>
          <w:p w14:paraId="0E910B5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2,000.00</w:t>
            </w:r>
          </w:p>
        </w:tc>
        <w:tc>
          <w:tcPr>
            <w:tcW w:w="1071" w:type="dxa"/>
            <w:tcBorders>
              <w:top w:val="single" w:sz="2" w:space="0" w:color="auto"/>
              <w:left w:val="single" w:sz="2" w:space="0" w:color="auto"/>
              <w:bottom w:val="single" w:sz="2" w:space="0" w:color="auto"/>
              <w:right w:val="single" w:sz="2" w:space="0" w:color="auto"/>
            </w:tcBorders>
            <w:vAlign w:val="center"/>
          </w:tcPr>
          <w:p w14:paraId="6D6BF21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15,424.65</w:t>
            </w:r>
          </w:p>
        </w:tc>
        <w:tc>
          <w:tcPr>
            <w:tcW w:w="1071" w:type="dxa"/>
            <w:tcBorders>
              <w:top w:val="single" w:sz="2" w:space="0" w:color="auto"/>
              <w:left w:val="single" w:sz="2" w:space="0" w:color="auto"/>
              <w:bottom w:val="single" w:sz="2" w:space="0" w:color="auto"/>
              <w:right w:val="single" w:sz="2" w:space="0" w:color="auto"/>
            </w:tcBorders>
            <w:vAlign w:val="center"/>
          </w:tcPr>
          <w:p w14:paraId="6132AB7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-46,183.44</w:t>
            </w:r>
          </w:p>
        </w:tc>
        <w:tc>
          <w:tcPr>
            <w:tcW w:w="1071" w:type="dxa"/>
            <w:tcBorders>
              <w:top w:val="single" w:sz="2" w:space="0" w:color="auto"/>
              <w:left w:val="single" w:sz="2" w:space="0" w:color="auto"/>
              <w:bottom w:val="single" w:sz="2" w:space="0" w:color="auto"/>
              <w:right w:val="single" w:sz="2" w:space="0" w:color="auto"/>
            </w:tcBorders>
            <w:vAlign w:val="center"/>
          </w:tcPr>
          <w:p w14:paraId="6FE8CD5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112,304.21</w:t>
            </w:r>
          </w:p>
        </w:tc>
        <w:tc>
          <w:tcPr>
            <w:tcW w:w="1071" w:type="dxa"/>
            <w:tcBorders>
              <w:top w:val="single" w:sz="2" w:space="0" w:color="auto"/>
              <w:left w:val="single" w:sz="2" w:space="0" w:color="auto"/>
              <w:bottom w:val="single" w:sz="2" w:space="0" w:color="auto"/>
              <w:right w:val="single" w:sz="2" w:space="0" w:color="auto"/>
            </w:tcBorders>
            <w:vAlign w:val="center"/>
          </w:tcPr>
          <w:p w14:paraId="51199B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-21,420.74</w:t>
            </w:r>
          </w:p>
        </w:tc>
        <w:tc>
          <w:tcPr>
            <w:tcW w:w="1071" w:type="dxa"/>
            <w:tcBorders>
              <w:top w:val="single" w:sz="2" w:space="0" w:color="auto"/>
              <w:left w:val="single" w:sz="2" w:space="0" w:color="auto"/>
              <w:bottom w:val="single" w:sz="2" w:space="0" w:color="auto"/>
              <w:right w:val="single" w:sz="2" w:space="0" w:color="auto"/>
            </w:tcBorders>
            <w:vAlign w:val="center"/>
          </w:tcPr>
          <w:p w14:paraId="5E6F801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-26,195.31</w:t>
            </w:r>
          </w:p>
        </w:tc>
      </w:tr>
      <w:tr w:rsidR="001D26E7" w:rsidRPr="00F614F9" w14:paraId="47482A51" w14:textId="77777777" w:rsidTr="0089355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1455FB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河南龙大牧原肉食品有限公司</w:t>
            </w:r>
          </w:p>
        </w:tc>
        <w:tc>
          <w:tcPr>
            <w:tcW w:w="1056" w:type="dxa"/>
            <w:tcBorders>
              <w:top w:val="single" w:sz="2" w:space="0" w:color="auto"/>
              <w:left w:val="single" w:sz="2" w:space="0" w:color="auto"/>
              <w:bottom w:val="single" w:sz="2" w:space="0" w:color="auto"/>
              <w:right w:val="single" w:sz="2" w:space="0" w:color="auto"/>
            </w:tcBorders>
            <w:vAlign w:val="center"/>
          </w:tcPr>
          <w:p w14:paraId="3D7556A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子公司</w:t>
            </w:r>
          </w:p>
        </w:tc>
        <w:tc>
          <w:tcPr>
            <w:tcW w:w="992" w:type="dxa"/>
            <w:tcBorders>
              <w:top w:val="single" w:sz="2" w:space="0" w:color="auto"/>
              <w:left w:val="single" w:sz="2" w:space="0" w:color="auto"/>
              <w:bottom w:val="single" w:sz="2" w:space="0" w:color="auto"/>
              <w:right w:val="single" w:sz="2" w:space="0" w:color="auto"/>
            </w:tcBorders>
            <w:vAlign w:val="center"/>
          </w:tcPr>
          <w:p w14:paraId="598B265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生猪屠宰</w:t>
            </w:r>
          </w:p>
        </w:tc>
        <w:tc>
          <w:tcPr>
            <w:tcW w:w="1165" w:type="dxa"/>
            <w:tcBorders>
              <w:top w:val="single" w:sz="2" w:space="0" w:color="auto"/>
              <w:left w:val="single" w:sz="2" w:space="0" w:color="auto"/>
              <w:bottom w:val="single" w:sz="2" w:space="0" w:color="auto"/>
              <w:right w:val="single" w:sz="2" w:space="0" w:color="auto"/>
            </w:tcBorders>
            <w:vAlign w:val="center"/>
          </w:tcPr>
          <w:p w14:paraId="4A4A4B8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15,000.00</w:t>
            </w:r>
          </w:p>
        </w:tc>
        <w:tc>
          <w:tcPr>
            <w:tcW w:w="1071" w:type="dxa"/>
            <w:tcBorders>
              <w:top w:val="single" w:sz="2" w:space="0" w:color="auto"/>
              <w:left w:val="single" w:sz="2" w:space="0" w:color="auto"/>
              <w:bottom w:val="single" w:sz="2" w:space="0" w:color="auto"/>
              <w:right w:val="single" w:sz="2" w:space="0" w:color="auto"/>
            </w:tcBorders>
            <w:vAlign w:val="center"/>
          </w:tcPr>
          <w:p w14:paraId="1F40E3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62,946.56</w:t>
            </w:r>
          </w:p>
        </w:tc>
        <w:tc>
          <w:tcPr>
            <w:tcW w:w="1071" w:type="dxa"/>
            <w:tcBorders>
              <w:top w:val="single" w:sz="2" w:space="0" w:color="auto"/>
              <w:left w:val="single" w:sz="2" w:space="0" w:color="auto"/>
              <w:bottom w:val="single" w:sz="2" w:space="0" w:color="auto"/>
              <w:right w:val="single" w:sz="2" w:space="0" w:color="auto"/>
            </w:tcBorders>
            <w:vAlign w:val="center"/>
          </w:tcPr>
          <w:p w14:paraId="17767E1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30,028.52</w:t>
            </w:r>
          </w:p>
        </w:tc>
        <w:tc>
          <w:tcPr>
            <w:tcW w:w="1071" w:type="dxa"/>
            <w:tcBorders>
              <w:top w:val="single" w:sz="2" w:space="0" w:color="auto"/>
              <w:left w:val="single" w:sz="2" w:space="0" w:color="auto"/>
              <w:bottom w:val="single" w:sz="2" w:space="0" w:color="auto"/>
              <w:right w:val="single" w:sz="2" w:space="0" w:color="auto"/>
            </w:tcBorders>
            <w:vAlign w:val="center"/>
          </w:tcPr>
          <w:p w14:paraId="37CFAF1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247,899.02</w:t>
            </w:r>
          </w:p>
        </w:tc>
        <w:tc>
          <w:tcPr>
            <w:tcW w:w="1071" w:type="dxa"/>
            <w:tcBorders>
              <w:top w:val="single" w:sz="2" w:space="0" w:color="auto"/>
              <w:left w:val="single" w:sz="2" w:space="0" w:color="auto"/>
              <w:bottom w:val="single" w:sz="2" w:space="0" w:color="auto"/>
              <w:right w:val="single" w:sz="2" w:space="0" w:color="auto"/>
            </w:tcBorders>
            <w:vAlign w:val="center"/>
          </w:tcPr>
          <w:p w14:paraId="357BE4E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-2,786.45</w:t>
            </w:r>
          </w:p>
        </w:tc>
        <w:tc>
          <w:tcPr>
            <w:tcW w:w="1071" w:type="dxa"/>
            <w:tcBorders>
              <w:top w:val="single" w:sz="2" w:space="0" w:color="auto"/>
              <w:left w:val="single" w:sz="2" w:space="0" w:color="auto"/>
              <w:bottom w:val="single" w:sz="2" w:space="0" w:color="auto"/>
              <w:right w:val="single" w:sz="2" w:space="0" w:color="auto"/>
            </w:tcBorders>
            <w:vAlign w:val="center"/>
          </w:tcPr>
          <w:p w14:paraId="6D0A82C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-2,789.01</w:t>
            </w:r>
          </w:p>
        </w:tc>
      </w:tr>
      <w:tr w:rsidR="001D26E7" w:rsidRPr="00F614F9" w14:paraId="48DE611B" w14:textId="77777777" w:rsidTr="0089355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368C426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潍坊振</w:t>
            </w:r>
            <w:proofErr w:type="gramStart"/>
            <w:r w:rsidRPr="00F614F9">
              <w:rPr>
                <w:rFonts w:ascii="Times New Roman" w:eastAsia="宋体" w:hAnsi="Times New Roman" w:cs="宋体"/>
                <w:sz w:val="18"/>
                <w:szCs w:val="18"/>
              </w:rPr>
              <w:t>祥</w:t>
            </w:r>
            <w:proofErr w:type="gramEnd"/>
            <w:r w:rsidRPr="00F614F9">
              <w:rPr>
                <w:rFonts w:ascii="Times New Roman" w:eastAsia="宋体" w:hAnsi="Times New Roman" w:cs="宋体"/>
                <w:sz w:val="18"/>
                <w:szCs w:val="18"/>
              </w:rPr>
              <w:t>食品有限公司</w:t>
            </w:r>
          </w:p>
        </w:tc>
        <w:tc>
          <w:tcPr>
            <w:tcW w:w="1056" w:type="dxa"/>
            <w:tcBorders>
              <w:top w:val="single" w:sz="2" w:space="0" w:color="auto"/>
              <w:left w:val="single" w:sz="2" w:space="0" w:color="auto"/>
              <w:bottom w:val="single" w:sz="2" w:space="0" w:color="auto"/>
              <w:right w:val="single" w:sz="2" w:space="0" w:color="auto"/>
            </w:tcBorders>
            <w:vAlign w:val="center"/>
          </w:tcPr>
          <w:p w14:paraId="3DDC9FF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子公司</w:t>
            </w:r>
          </w:p>
        </w:tc>
        <w:tc>
          <w:tcPr>
            <w:tcW w:w="992" w:type="dxa"/>
            <w:tcBorders>
              <w:top w:val="single" w:sz="2" w:space="0" w:color="auto"/>
              <w:left w:val="single" w:sz="2" w:space="0" w:color="auto"/>
              <w:bottom w:val="single" w:sz="2" w:space="0" w:color="auto"/>
              <w:right w:val="single" w:sz="2" w:space="0" w:color="auto"/>
            </w:tcBorders>
            <w:vAlign w:val="center"/>
          </w:tcPr>
          <w:p w14:paraId="53F0CCA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生猪屠宰</w:t>
            </w:r>
          </w:p>
        </w:tc>
        <w:tc>
          <w:tcPr>
            <w:tcW w:w="1165" w:type="dxa"/>
            <w:tcBorders>
              <w:top w:val="single" w:sz="2" w:space="0" w:color="auto"/>
              <w:left w:val="single" w:sz="2" w:space="0" w:color="auto"/>
              <w:bottom w:val="single" w:sz="2" w:space="0" w:color="auto"/>
              <w:right w:val="single" w:sz="2" w:space="0" w:color="auto"/>
            </w:tcBorders>
            <w:vAlign w:val="center"/>
          </w:tcPr>
          <w:p w14:paraId="57E8C07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7,000.00</w:t>
            </w:r>
          </w:p>
        </w:tc>
        <w:tc>
          <w:tcPr>
            <w:tcW w:w="1071" w:type="dxa"/>
            <w:tcBorders>
              <w:top w:val="single" w:sz="2" w:space="0" w:color="auto"/>
              <w:left w:val="single" w:sz="2" w:space="0" w:color="auto"/>
              <w:bottom w:val="single" w:sz="2" w:space="0" w:color="auto"/>
              <w:right w:val="single" w:sz="2" w:space="0" w:color="auto"/>
            </w:tcBorders>
            <w:vAlign w:val="center"/>
          </w:tcPr>
          <w:p w14:paraId="172BA6B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60,847.27</w:t>
            </w:r>
          </w:p>
        </w:tc>
        <w:tc>
          <w:tcPr>
            <w:tcW w:w="1071" w:type="dxa"/>
            <w:tcBorders>
              <w:top w:val="single" w:sz="2" w:space="0" w:color="auto"/>
              <w:left w:val="single" w:sz="2" w:space="0" w:color="auto"/>
              <w:bottom w:val="single" w:sz="2" w:space="0" w:color="auto"/>
              <w:right w:val="single" w:sz="2" w:space="0" w:color="auto"/>
            </w:tcBorders>
            <w:vAlign w:val="center"/>
          </w:tcPr>
          <w:p w14:paraId="00A7710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12,116.01</w:t>
            </w:r>
          </w:p>
        </w:tc>
        <w:tc>
          <w:tcPr>
            <w:tcW w:w="1071" w:type="dxa"/>
            <w:tcBorders>
              <w:top w:val="single" w:sz="2" w:space="0" w:color="auto"/>
              <w:left w:val="single" w:sz="2" w:space="0" w:color="auto"/>
              <w:bottom w:val="single" w:sz="2" w:space="0" w:color="auto"/>
              <w:right w:val="single" w:sz="2" w:space="0" w:color="auto"/>
            </w:tcBorders>
            <w:vAlign w:val="center"/>
          </w:tcPr>
          <w:p w14:paraId="32A7FC6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258,081.78</w:t>
            </w:r>
          </w:p>
        </w:tc>
        <w:tc>
          <w:tcPr>
            <w:tcW w:w="1071" w:type="dxa"/>
            <w:tcBorders>
              <w:top w:val="single" w:sz="2" w:space="0" w:color="auto"/>
              <w:left w:val="single" w:sz="2" w:space="0" w:color="auto"/>
              <w:bottom w:val="single" w:sz="2" w:space="0" w:color="auto"/>
              <w:right w:val="single" w:sz="2" w:space="0" w:color="auto"/>
            </w:tcBorders>
            <w:vAlign w:val="center"/>
          </w:tcPr>
          <w:p w14:paraId="7189B8C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-5,316.73</w:t>
            </w:r>
          </w:p>
        </w:tc>
        <w:tc>
          <w:tcPr>
            <w:tcW w:w="1071" w:type="dxa"/>
            <w:tcBorders>
              <w:top w:val="single" w:sz="2" w:space="0" w:color="auto"/>
              <w:left w:val="single" w:sz="2" w:space="0" w:color="auto"/>
              <w:bottom w:val="single" w:sz="2" w:space="0" w:color="auto"/>
              <w:right w:val="single" w:sz="2" w:space="0" w:color="auto"/>
            </w:tcBorders>
            <w:vAlign w:val="center"/>
          </w:tcPr>
          <w:p w14:paraId="4B81AD3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-5,338.73</w:t>
            </w:r>
          </w:p>
        </w:tc>
      </w:tr>
      <w:tr w:rsidR="001D26E7" w:rsidRPr="00F614F9" w14:paraId="46A68D31" w14:textId="77777777" w:rsidTr="0089355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1640320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蓬莱富龙肉食品有限公司</w:t>
            </w:r>
          </w:p>
        </w:tc>
        <w:tc>
          <w:tcPr>
            <w:tcW w:w="1056" w:type="dxa"/>
            <w:tcBorders>
              <w:top w:val="single" w:sz="2" w:space="0" w:color="auto"/>
              <w:left w:val="single" w:sz="2" w:space="0" w:color="auto"/>
              <w:bottom w:val="single" w:sz="2" w:space="0" w:color="auto"/>
              <w:right w:val="single" w:sz="2" w:space="0" w:color="auto"/>
            </w:tcBorders>
            <w:vAlign w:val="center"/>
          </w:tcPr>
          <w:p w14:paraId="37CB517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子公司</w:t>
            </w:r>
          </w:p>
        </w:tc>
        <w:tc>
          <w:tcPr>
            <w:tcW w:w="992" w:type="dxa"/>
            <w:tcBorders>
              <w:top w:val="single" w:sz="2" w:space="0" w:color="auto"/>
              <w:left w:val="single" w:sz="2" w:space="0" w:color="auto"/>
              <w:bottom w:val="single" w:sz="2" w:space="0" w:color="auto"/>
              <w:right w:val="single" w:sz="2" w:space="0" w:color="auto"/>
            </w:tcBorders>
            <w:vAlign w:val="center"/>
          </w:tcPr>
          <w:p w14:paraId="0E011AC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生猪屠宰</w:t>
            </w:r>
          </w:p>
        </w:tc>
        <w:tc>
          <w:tcPr>
            <w:tcW w:w="1165" w:type="dxa"/>
            <w:tcBorders>
              <w:top w:val="single" w:sz="2" w:space="0" w:color="auto"/>
              <w:left w:val="single" w:sz="2" w:space="0" w:color="auto"/>
              <w:bottom w:val="single" w:sz="2" w:space="0" w:color="auto"/>
              <w:right w:val="single" w:sz="2" w:space="0" w:color="auto"/>
            </w:tcBorders>
            <w:vAlign w:val="center"/>
          </w:tcPr>
          <w:p w14:paraId="5B6DD26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1,400.00</w:t>
            </w:r>
          </w:p>
        </w:tc>
        <w:tc>
          <w:tcPr>
            <w:tcW w:w="1071" w:type="dxa"/>
            <w:tcBorders>
              <w:top w:val="single" w:sz="2" w:space="0" w:color="auto"/>
              <w:left w:val="single" w:sz="2" w:space="0" w:color="auto"/>
              <w:bottom w:val="single" w:sz="2" w:space="0" w:color="auto"/>
              <w:right w:val="single" w:sz="2" w:space="0" w:color="auto"/>
            </w:tcBorders>
            <w:vAlign w:val="center"/>
          </w:tcPr>
          <w:p w14:paraId="1F2DD8D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9,041.48</w:t>
            </w:r>
          </w:p>
        </w:tc>
        <w:tc>
          <w:tcPr>
            <w:tcW w:w="1071" w:type="dxa"/>
            <w:tcBorders>
              <w:top w:val="single" w:sz="2" w:space="0" w:color="auto"/>
              <w:left w:val="single" w:sz="2" w:space="0" w:color="auto"/>
              <w:bottom w:val="single" w:sz="2" w:space="0" w:color="auto"/>
              <w:right w:val="single" w:sz="2" w:space="0" w:color="auto"/>
            </w:tcBorders>
            <w:vAlign w:val="center"/>
          </w:tcPr>
          <w:p w14:paraId="3CE584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4,542.46</w:t>
            </w:r>
          </w:p>
        </w:tc>
        <w:tc>
          <w:tcPr>
            <w:tcW w:w="1071" w:type="dxa"/>
            <w:tcBorders>
              <w:top w:val="single" w:sz="2" w:space="0" w:color="auto"/>
              <w:left w:val="single" w:sz="2" w:space="0" w:color="auto"/>
              <w:bottom w:val="single" w:sz="2" w:space="0" w:color="auto"/>
              <w:right w:val="single" w:sz="2" w:space="0" w:color="auto"/>
            </w:tcBorders>
            <w:vAlign w:val="center"/>
          </w:tcPr>
          <w:p w14:paraId="4C192A1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49,939.17</w:t>
            </w:r>
          </w:p>
        </w:tc>
        <w:tc>
          <w:tcPr>
            <w:tcW w:w="1071" w:type="dxa"/>
            <w:tcBorders>
              <w:top w:val="single" w:sz="2" w:space="0" w:color="auto"/>
              <w:left w:val="single" w:sz="2" w:space="0" w:color="auto"/>
              <w:bottom w:val="single" w:sz="2" w:space="0" w:color="auto"/>
              <w:right w:val="single" w:sz="2" w:space="0" w:color="auto"/>
            </w:tcBorders>
            <w:vAlign w:val="center"/>
          </w:tcPr>
          <w:p w14:paraId="7C71B84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335.13</w:t>
            </w:r>
          </w:p>
        </w:tc>
        <w:tc>
          <w:tcPr>
            <w:tcW w:w="1071" w:type="dxa"/>
            <w:tcBorders>
              <w:top w:val="single" w:sz="2" w:space="0" w:color="auto"/>
              <w:left w:val="single" w:sz="2" w:space="0" w:color="auto"/>
              <w:bottom w:val="single" w:sz="2" w:space="0" w:color="auto"/>
              <w:right w:val="single" w:sz="2" w:space="0" w:color="auto"/>
            </w:tcBorders>
            <w:vAlign w:val="center"/>
          </w:tcPr>
          <w:p w14:paraId="31B6A36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309.28</w:t>
            </w:r>
          </w:p>
        </w:tc>
      </w:tr>
      <w:tr w:rsidR="001D26E7" w:rsidRPr="00F614F9" w14:paraId="37A958E8" w14:textId="77777777" w:rsidTr="0089355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7E83592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 </w:t>
            </w:r>
            <w:r w:rsidRPr="00F614F9">
              <w:rPr>
                <w:rFonts w:ascii="Times New Roman" w:eastAsia="宋体" w:hAnsi="Times New Roman" w:cs="宋体"/>
                <w:sz w:val="18"/>
                <w:szCs w:val="18"/>
              </w:rPr>
              <w:t>云南福照食品有限公司</w:t>
            </w:r>
          </w:p>
        </w:tc>
        <w:tc>
          <w:tcPr>
            <w:tcW w:w="1056" w:type="dxa"/>
            <w:tcBorders>
              <w:top w:val="single" w:sz="2" w:space="0" w:color="auto"/>
              <w:left w:val="single" w:sz="2" w:space="0" w:color="auto"/>
              <w:bottom w:val="single" w:sz="2" w:space="0" w:color="auto"/>
              <w:right w:val="single" w:sz="2" w:space="0" w:color="auto"/>
            </w:tcBorders>
            <w:vAlign w:val="center"/>
          </w:tcPr>
          <w:p w14:paraId="1001256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子公司</w:t>
            </w:r>
          </w:p>
        </w:tc>
        <w:tc>
          <w:tcPr>
            <w:tcW w:w="992" w:type="dxa"/>
            <w:tcBorders>
              <w:top w:val="single" w:sz="2" w:space="0" w:color="auto"/>
              <w:left w:val="single" w:sz="2" w:space="0" w:color="auto"/>
              <w:bottom w:val="single" w:sz="2" w:space="0" w:color="auto"/>
              <w:right w:val="single" w:sz="2" w:space="0" w:color="auto"/>
            </w:tcBorders>
            <w:vAlign w:val="center"/>
          </w:tcPr>
          <w:p w14:paraId="1703FB3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火腿加工</w:t>
            </w:r>
          </w:p>
        </w:tc>
        <w:tc>
          <w:tcPr>
            <w:tcW w:w="1165" w:type="dxa"/>
            <w:tcBorders>
              <w:top w:val="single" w:sz="2" w:space="0" w:color="auto"/>
              <w:left w:val="single" w:sz="2" w:space="0" w:color="auto"/>
              <w:bottom w:val="single" w:sz="2" w:space="0" w:color="auto"/>
              <w:right w:val="single" w:sz="2" w:space="0" w:color="auto"/>
            </w:tcBorders>
            <w:vAlign w:val="center"/>
          </w:tcPr>
          <w:p w14:paraId="0EC8516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2000.00</w:t>
            </w:r>
          </w:p>
        </w:tc>
        <w:tc>
          <w:tcPr>
            <w:tcW w:w="1071" w:type="dxa"/>
            <w:tcBorders>
              <w:top w:val="single" w:sz="2" w:space="0" w:color="auto"/>
              <w:left w:val="single" w:sz="2" w:space="0" w:color="auto"/>
              <w:bottom w:val="single" w:sz="2" w:space="0" w:color="auto"/>
              <w:right w:val="single" w:sz="2" w:space="0" w:color="auto"/>
            </w:tcBorders>
            <w:vAlign w:val="center"/>
          </w:tcPr>
          <w:p w14:paraId="35E8BF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1,128.65</w:t>
            </w:r>
          </w:p>
        </w:tc>
        <w:tc>
          <w:tcPr>
            <w:tcW w:w="1071" w:type="dxa"/>
            <w:tcBorders>
              <w:top w:val="single" w:sz="2" w:space="0" w:color="auto"/>
              <w:left w:val="single" w:sz="2" w:space="0" w:color="auto"/>
              <w:bottom w:val="single" w:sz="2" w:space="0" w:color="auto"/>
              <w:right w:val="single" w:sz="2" w:space="0" w:color="auto"/>
            </w:tcBorders>
            <w:vAlign w:val="center"/>
          </w:tcPr>
          <w:p w14:paraId="3D0789D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-10,528.92</w:t>
            </w:r>
          </w:p>
        </w:tc>
        <w:tc>
          <w:tcPr>
            <w:tcW w:w="1071" w:type="dxa"/>
            <w:tcBorders>
              <w:top w:val="single" w:sz="2" w:space="0" w:color="auto"/>
              <w:left w:val="single" w:sz="2" w:space="0" w:color="auto"/>
              <w:bottom w:val="single" w:sz="2" w:space="0" w:color="auto"/>
              <w:right w:val="single" w:sz="2" w:space="0" w:color="auto"/>
            </w:tcBorders>
            <w:vAlign w:val="center"/>
          </w:tcPr>
          <w:p w14:paraId="653FA5A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237.07</w:t>
            </w:r>
          </w:p>
        </w:tc>
        <w:tc>
          <w:tcPr>
            <w:tcW w:w="1071" w:type="dxa"/>
            <w:tcBorders>
              <w:top w:val="single" w:sz="2" w:space="0" w:color="auto"/>
              <w:left w:val="single" w:sz="2" w:space="0" w:color="auto"/>
              <w:bottom w:val="single" w:sz="2" w:space="0" w:color="auto"/>
              <w:right w:val="single" w:sz="2" w:space="0" w:color="auto"/>
            </w:tcBorders>
            <w:vAlign w:val="center"/>
          </w:tcPr>
          <w:p w14:paraId="55C268A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-11,895.77</w:t>
            </w:r>
          </w:p>
        </w:tc>
        <w:tc>
          <w:tcPr>
            <w:tcW w:w="1071" w:type="dxa"/>
            <w:tcBorders>
              <w:top w:val="single" w:sz="2" w:space="0" w:color="auto"/>
              <w:left w:val="single" w:sz="2" w:space="0" w:color="auto"/>
              <w:bottom w:val="single" w:sz="2" w:space="0" w:color="auto"/>
              <w:right w:val="single" w:sz="2" w:space="0" w:color="auto"/>
            </w:tcBorders>
            <w:vAlign w:val="center"/>
          </w:tcPr>
          <w:p w14:paraId="1E36CED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-11,895.79</w:t>
            </w:r>
          </w:p>
        </w:tc>
      </w:tr>
    </w:tbl>
    <w:p w14:paraId="76C4977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报告期内取得和处置子公司的情况</w:t>
      </w:r>
    </w:p>
    <w:p w14:paraId="6EF3B29A"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1D22D1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17C04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3705E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报告期内取得和处置子公司方式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EB5B8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对整体生产经营和业绩的影响</w:t>
            </w:r>
          </w:p>
        </w:tc>
      </w:tr>
      <w:tr w:rsidR="001D26E7" w:rsidRPr="00F614F9" w14:paraId="575C2A8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BDBB44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龙大美食</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北京</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食品科技有限公司</w:t>
            </w:r>
          </w:p>
        </w:tc>
        <w:tc>
          <w:tcPr>
            <w:tcW w:w="3213" w:type="dxa"/>
            <w:tcBorders>
              <w:top w:val="single" w:sz="2" w:space="0" w:color="auto"/>
              <w:left w:val="single" w:sz="2" w:space="0" w:color="auto"/>
              <w:bottom w:val="single" w:sz="2" w:space="0" w:color="auto"/>
              <w:right w:val="single" w:sz="2" w:space="0" w:color="auto"/>
            </w:tcBorders>
            <w:vAlign w:val="center"/>
          </w:tcPr>
          <w:p w14:paraId="169F0EF0" w14:textId="77777777" w:rsidR="001D26E7" w:rsidRPr="00F614F9" w:rsidRDefault="00000000" w:rsidP="0089355B">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新设</w:t>
            </w:r>
          </w:p>
        </w:tc>
        <w:tc>
          <w:tcPr>
            <w:tcW w:w="3213" w:type="dxa"/>
            <w:tcBorders>
              <w:top w:val="single" w:sz="2" w:space="0" w:color="auto"/>
              <w:left w:val="single" w:sz="2" w:space="0" w:color="auto"/>
              <w:bottom w:val="single" w:sz="2" w:space="0" w:color="auto"/>
              <w:right w:val="single" w:sz="2" w:space="0" w:color="auto"/>
            </w:tcBorders>
            <w:vAlign w:val="center"/>
          </w:tcPr>
          <w:p w14:paraId="6F0CC12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于</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15</w:t>
            </w:r>
            <w:r w:rsidRPr="00F614F9">
              <w:rPr>
                <w:rFonts w:ascii="Times New Roman" w:eastAsia="宋体" w:hAnsi="Times New Roman" w:cs="宋体"/>
                <w:sz w:val="18"/>
                <w:szCs w:val="18"/>
              </w:rPr>
              <w:t>日纳入合并范围</w:t>
            </w:r>
          </w:p>
        </w:tc>
      </w:tr>
      <w:tr w:rsidR="001D26E7" w:rsidRPr="00F614F9" w14:paraId="254B4EF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5D839A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龙大美食</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上海</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食品科技有限公司</w:t>
            </w:r>
          </w:p>
        </w:tc>
        <w:tc>
          <w:tcPr>
            <w:tcW w:w="3213" w:type="dxa"/>
            <w:tcBorders>
              <w:top w:val="single" w:sz="2" w:space="0" w:color="auto"/>
              <w:left w:val="single" w:sz="2" w:space="0" w:color="auto"/>
              <w:bottom w:val="single" w:sz="2" w:space="0" w:color="auto"/>
              <w:right w:val="single" w:sz="2" w:space="0" w:color="auto"/>
            </w:tcBorders>
            <w:vAlign w:val="center"/>
          </w:tcPr>
          <w:p w14:paraId="5328E036" w14:textId="77777777" w:rsidR="001D26E7" w:rsidRPr="00F614F9" w:rsidRDefault="00000000" w:rsidP="0089355B">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新设</w:t>
            </w:r>
          </w:p>
        </w:tc>
        <w:tc>
          <w:tcPr>
            <w:tcW w:w="3213" w:type="dxa"/>
            <w:tcBorders>
              <w:top w:val="single" w:sz="2" w:space="0" w:color="auto"/>
              <w:left w:val="single" w:sz="2" w:space="0" w:color="auto"/>
              <w:bottom w:val="single" w:sz="2" w:space="0" w:color="auto"/>
              <w:right w:val="single" w:sz="2" w:space="0" w:color="auto"/>
            </w:tcBorders>
            <w:vAlign w:val="center"/>
          </w:tcPr>
          <w:p w14:paraId="622E4CF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于</w:t>
            </w:r>
            <w:r w:rsidRPr="00F614F9">
              <w:rPr>
                <w:rFonts w:ascii="Times New Roman" w:eastAsia="宋体" w:hAnsi="Times New Roman" w:cs="宋体"/>
                <w:sz w:val="18"/>
                <w:szCs w:val="18"/>
              </w:rPr>
              <w:t xml:space="preserve">2023 </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28</w:t>
            </w:r>
            <w:r w:rsidRPr="00F614F9">
              <w:rPr>
                <w:rFonts w:ascii="Times New Roman" w:eastAsia="宋体" w:hAnsi="Times New Roman" w:cs="宋体"/>
                <w:sz w:val="18"/>
                <w:szCs w:val="18"/>
              </w:rPr>
              <w:t>日纳入合并范围</w:t>
            </w:r>
          </w:p>
        </w:tc>
      </w:tr>
      <w:tr w:rsidR="001D26E7" w:rsidRPr="00F614F9" w14:paraId="609D9BE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520114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龙大美食</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广东</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食品科技有限公司</w:t>
            </w:r>
          </w:p>
        </w:tc>
        <w:tc>
          <w:tcPr>
            <w:tcW w:w="3213" w:type="dxa"/>
            <w:tcBorders>
              <w:top w:val="single" w:sz="2" w:space="0" w:color="auto"/>
              <w:left w:val="single" w:sz="2" w:space="0" w:color="auto"/>
              <w:bottom w:val="single" w:sz="2" w:space="0" w:color="auto"/>
              <w:right w:val="single" w:sz="2" w:space="0" w:color="auto"/>
            </w:tcBorders>
            <w:vAlign w:val="center"/>
          </w:tcPr>
          <w:p w14:paraId="4A446EB8" w14:textId="77777777" w:rsidR="001D26E7" w:rsidRPr="00F614F9" w:rsidRDefault="00000000" w:rsidP="0089355B">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新设</w:t>
            </w:r>
          </w:p>
        </w:tc>
        <w:tc>
          <w:tcPr>
            <w:tcW w:w="3213" w:type="dxa"/>
            <w:tcBorders>
              <w:top w:val="single" w:sz="2" w:space="0" w:color="auto"/>
              <w:left w:val="single" w:sz="2" w:space="0" w:color="auto"/>
              <w:bottom w:val="single" w:sz="2" w:space="0" w:color="auto"/>
              <w:right w:val="single" w:sz="2" w:space="0" w:color="auto"/>
            </w:tcBorders>
            <w:vAlign w:val="center"/>
          </w:tcPr>
          <w:p w14:paraId="3E58681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于</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31</w:t>
            </w:r>
            <w:r w:rsidRPr="00F614F9">
              <w:rPr>
                <w:rFonts w:ascii="Times New Roman" w:eastAsia="宋体" w:hAnsi="Times New Roman" w:cs="宋体"/>
                <w:sz w:val="18"/>
                <w:szCs w:val="18"/>
              </w:rPr>
              <w:t>日纳入合并范围</w:t>
            </w:r>
          </w:p>
        </w:tc>
      </w:tr>
    </w:tbl>
    <w:p w14:paraId="19740368"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主要控股参股公司情况说明</w:t>
      </w:r>
    </w:p>
    <w:p w14:paraId="12B36F9F" w14:textId="77777777" w:rsidR="00872599" w:rsidRPr="00F614F9" w:rsidRDefault="00000000">
      <w:pPr>
        <w:pStyle w:val="a3"/>
        <w:divId w:val="116142784"/>
        <w:rPr>
          <w:rFonts w:ascii="Times New Roman" w:hAnsi="Times New Roman"/>
          <w:sz w:val="18"/>
          <w:szCs w:val="18"/>
        </w:rPr>
      </w:pPr>
      <w:r w:rsidRPr="00F614F9">
        <w:rPr>
          <w:rFonts w:ascii="Times New Roman" w:hAnsi="Times New Roman" w:hint="eastAsia"/>
          <w:sz w:val="18"/>
          <w:szCs w:val="18"/>
        </w:rPr>
        <w:t>无</w:t>
      </w:r>
    </w:p>
    <w:p w14:paraId="08CDDB24"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69" w:name="_Toc988940"/>
      <w:bookmarkStart w:id="70" w:name="_Toc164024764"/>
      <w:r w:rsidRPr="00F614F9">
        <w:rPr>
          <w:rFonts w:ascii="Times New Roman" w:eastAsia="宋体" w:hAnsi="Times New Roman" w:cs="宋体"/>
          <w:b/>
          <w:bCs/>
          <w:sz w:val="24"/>
          <w:szCs w:val="24"/>
        </w:rPr>
        <w:t>十、公司控制的结构化主体情况</w:t>
      </w:r>
      <w:bookmarkEnd w:id="69"/>
      <w:bookmarkEnd w:id="70"/>
    </w:p>
    <w:p w14:paraId="5C5CA647"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6963E674"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71" w:name="_Toc988941"/>
      <w:bookmarkStart w:id="72" w:name="_Toc164024765"/>
      <w:r w:rsidRPr="00F614F9">
        <w:rPr>
          <w:rFonts w:ascii="Times New Roman" w:eastAsia="宋体" w:hAnsi="Times New Roman" w:cs="宋体"/>
          <w:b/>
          <w:bCs/>
          <w:sz w:val="24"/>
          <w:szCs w:val="24"/>
        </w:rPr>
        <w:t>十一、公司未来发展的展望</w:t>
      </w:r>
      <w:bookmarkEnd w:id="71"/>
      <w:bookmarkEnd w:id="72"/>
    </w:p>
    <w:p w14:paraId="388CE93A" w14:textId="77777777" w:rsidR="00872599" w:rsidRPr="00F614F9" w:rsidRDefault="00000000">
      <w:pPr>
        <w:pStyle w:val="a3"/>
        <w:spacing w:before="0" w:beforeAutospacing="0" w:after="0" w:afterAutospacing="0"/>
        <w:ind w:firstLine="361"/>
        <w:divId w:val="431127831"/>
        <w:rPr>
          <w:rFonts w:ascii="Times New Roman" w:eastAsia="等线" w:hAnsi="Times New Roman"/>
          <w:sz w:val="21"/>
          <w:szCs w:val="21"/>
        </w:rPr>
      </w:pPr>
      <w:r w:rsidRPr="00F614F9">
        <w:rPr>
          <w:rStyle w:val="a4"/>
          <w:rFonts w:ascii="Times New Roman" w:hAnsi="Times New Roman" w:hint="eastAsia"/>
          <w:sz w:val="18"/>
          <w:szCs w:val="18"/>
        </w:rPr>
        <w:t>（一）发展战略</w:t>
      </w:r>
    </w:p>
    <w:p w14:paraId="10DC1DEE" w14:textId="77777777" w:rsidR="00872599" w:rsidRPr="00F614F9" w:rsidRDefault="00000000" w:rsidP="0089355B">
      <w:pPr>
        <w:pStyle w:val="a3"/>
        <w:spacing w:before="0" w:beforeAutospacing="0" w:after="0" w:afterAutospacing="0" w:line="276" w:lineRule="auto"/>
        <w:ind w:firstLine="360"/>
        <w:jc w:val="both"/>
        <w:divId w:val="431127831"/>
        <w:rPr>
          <w:rFonts w:ascii="Times New Roman" w:hAnsi="Times New Roman" w:cs="Times New Roman"/>
          <w:sz w:val="18"/>
          <w:szCs w:val="18"/>
        </w:rPr>
      </w:pPr>
      <w:r w:rsidRPr="00F614F9">
        <w:rPr>
          <w:rFonts w:ascii="Times New Roman" w:hAnsi="Times New Roman" w:cs="Times New Roman" w:hint="eastAsia"/>
          <w:sz w:val="18"/>
          <w:szCs w:val="18"/>
        </w:rPr>
        <w:t>公司立足全国、面向全球，以食品为核心主业，传承中华美食精髓，发扬中华美食文化，为全社会持续供应健康、美味、安全的好产品。未来将继续坚持“一体两翼”发展战略，以食品为主体、以养殖和屠宰为两翼支撑，持续深耕食品业务，为中国人健康饮食提供高品质的系统解决方案。</w:t>
      </w:r>
    </w:p>
    <w:p w14:paraId="6774EE5A" w14:textId="77777777" w:rsidR="00872599" w:rsidRPr="00F614F9" w:rsidRDefault="00000000">
      <w:pPr>
        <w:pStyle w:val="a3"/>
        <w:spacing w:before="0" w:beforeAutospacing="0" w:after="0" w:afterAutospacing="0"/>
        <w:ind w:firstLine="361"/>
        <w:divId w:val="431127831"/>
        <w:rPr>
          <w:rFonts w:ascii="Times New Roman" w:eastAsia="等线" w:hAnsi="Times New Roman"/>
          <w:sz w:val="21"/>
          <w:szCs w:val="21"/>
        </w:rPr>
      </w:pPr>
      <w:r w:rsidRPr="00F614F9">
        <w:rPr>
          <w:rStyle w:val="a4"/>
          <w:rFonts w:ascii="Times New Roman" w:hAnsi="Times New Roman" w:hint="eastAsia"/>
          <w:sz w:val="18"/>
          <w:szCs w:val="18"/>
        </w:rPr>
        <w:t>（二）</w:t>
      </w:r>
      <w:r w:rsidRPr="00F614F9">
        <w:rPr>
          <w:rStyle w:val="a4"/>
          <w:rFonts w:ascii="Times New Roman" w:hAnsi="Times New Roman" w:hint="eastAsia"/>
          <w:sz w:val="18"/>
          <w:szCs w:val="18"/>
        </w:rPr>
        <w:t>2024</w:t>
      </w:r>
      <w:r w:rsidRPr="00F614F9">
        <w:rPr>
          <w:rStyle w:val="a4"/>
          <w:rFonts w:ascii="Times New Roman" w:hAnsi="Times New Roman" w:hint="eastAsia"/>
          <w:sz w:val="18"/>
          <w:szCs w:val="18"/>
        </w:rPr>
        <w:t>年经营计划</w:t>
      </w:r>
    </w:p>
    <w:p w14:paraId="0BE8EA0F" w14:textId="77777777" w:rsidR="00872599" w:rsidRPr="00F614F9" w:rsidRDefault="00000000">
      <w:pPr>
        <w:pStyle w:val="a3"/>
        <w:spacing w:before="0" w:beforeAutospacing="0" w:after="0" w:afterAutospacing="0"/>
        <w:ind w:firstLine="361"/>
        <w:divId w:val="431127831"/>
        <w:rPr>
          <w:rFonts w:ascii="Times New Roman" w:eastAsia="等线" w:hAnsi="Times New Roman"/>
          <w:sz w:val="21"/>
          <w:szCs w:val="21"/>
        </w:rPr>
      </w:pPr>
      <w:r w:rsidRPr="00F614F9">
        <w:rPr>
          <w:rStyle w:val="a4"/>
          <w:rFonts w:ascii="Times New Roman" w:hAnsi="Times New Roman" w:hint="eastAsia"/>
          <w:sz w:val="18"/>
          <w:szCs w:val="18"/>
        </w:rPr>
        <w:t>1</w:t>
      </w:r>
      <w:r w:rsidRPr="00F614F9">
        <w:rPr>
          <w:rStyle w:val="a4"/>
          <w:rFonts w:ascii="Times New Roman" w:hAnsi="Times New Roman" w:hint="eastAsia"/>
          <w:sz w:val="18"/>
          <w:szCs w:val="18"/>
        </w:rPr>
        <w:t>、聚焦食品板块，进一步提高业务占比</w:t>
      </w:r>
    </w:p>
    <w:p w14:paraId="0168027E" w14:textId="77777777" w:rsidR="00872599" w:rsidRPr="00F614F9" w:rsidRDefault="00000000" w:rsidP="0089355B">
      <w:pPr>
        <w:pStyle w:val="a3"/>
        <w:spacing w:before="0" w:beforeAutospacing="0" w:after="0" w:afterAutospacing="0" w:line="276" w:lineRule="auto"/>
        <w:ind w:firstLine="360"/>
        <w:jc w:val="both"/>
        <w:divId w:val="431127831"/>
        <w:rPr>
          <w:rFonts w:ascii="Times New Roman" w:hAnsi="Times New Roman" w:cs="Times New Roman"/>
          <w:sz w:val="18"/>
          <w:szCs w:val="18"/>
        </w:rPr>
      </w:pPr>
      <w:r w:rsidRPr="00F614F9">
        <w:rPr>
          <w:rFonts w:ascii="Times New Roman" w:hAnsi="Times New Roman" w:cs="Times New Roman"/>
          <w:sz w:val="18"/>
          <w:szCs w:val="18"/>
        </w:rPr>
        <w:t>2024</w:t>
      </w:r>
      <w:r w:rsidRPr="00F614F9">
        <w:rPr>
          <w:rFonts w:ascii="Times New Roman" w:hAnsi="Times New Roman" w:cs="Times New Roman"/>
          <w:sz w:val="18"/>
          <w:szCs w:val="18"/>
        </w:rPr>
        <w:t>年，公司将更加聚焦食品主体业务，整体以提升规模、降本增效、强化内控、利润导向为经营方针，持续推进以食品为主体战略。同时进一步调整业务结构，抓住关键时间节点和核心业务，通过深入挖潜老客户、开发新客户、聚焦新赛道、组织人员拓充等策略，持续推动大客户业务快速增长，进一步提升食品板块的收入占比。</w:t>
      </w:r>
    </w:p>
    <w:p w14:paraId="0E34425D" w14:textId="77777777" w:rsidR="00872599" w:rsidRPr="00F614F9" w:rsidRDefault="00000000">
      <w:pPr>
        <w:pStyle w:val="a3"/>
        <w:spacing w:before="0" w:beforeAutospacing="0" w:after="0" w:afterAutospacing="0"/>
        <w:ind w:firstLine="361"/>
        <w:divId w:val="431127831"/>
        <w:rPr>
          <w:rFonts w:ascii="Times New Roman" w:eastAsia="等线" w:hAnsi="Times New Roman"/>
          <w:sz w:val="21"/>
          <w:szCs w:val="21"/>
        </w:rPr>
      </w:pPr>
      <w:r w:rsidRPr="00F614F9">
        <w:rPr>
          <w:rStyle w:val="a4"/>
          <w:rFonts w:ascii="Times New Roman" w:hAnsi="Times New Roman" w:hint="eastAsia"/>
          <w:sz w:val="18"/>
          <w:szCs w:val="18"/>
        </w:rPr>
        <w:t>2</w:t>
      </w:r>
      <w:r w:rsidRPr="00F614F9">
        <w:rPr>
          <w:rStyle w:val="a4"/>
          <w:rFonts w:ascii="Times New Roman" w:hAnsi="Times New Roman" w:hint="eastAsia"/>
          <w:sz w:val="18"/>
          <w:szCs w:val="18"/>
        </w:rPr>
        <w:t>、持续优化传统业务，做好战略支撑</w:t>
      </w:r>
    </w:p>
    <w:p w14:paraId="05E2B22C" w14:textId="77777777" w:rsidR="00872599" w:rsidRPr="00F614F9" w:rsidRDefault="00000000" w:rsidP="0089355B">
      <w:pPr>
        <w:pStyle w:val="a3"/>
        <w:spacing w:before="0" w:beforeAutospacing="0" w:after="0" w:afterAutospacing="0" w:line="276" w:lineRule="auto"/>
        <w:ind w:firstLine="360"/>
        <w:jc w:val="both"/>
        <w:divId w:val="431127831"/>
        <w:rPr>
          <w:rFonts w:ascii="Times New Roman" w:hAnsi="Times New Roman" w:cs="Times New Roman"/>
          <w:sz w:val="18"/>
          <w:szCs w:val="18"/>
        </w:rPr>
      </w:pPr>
      <w:r w:rsidRPr="00F614F9">
        <w:rPr>
          <w:rFonts w:ascii="Times New Roman" w:hAnsi="Times New Roman" w:cs="Times New Roman" w:hint="eastAsia"/>
          <w:sz w:val="18"/>
          <w:szCs w:val="18"/>
        </w:rPr>
        <w:t>传统业务作为公司食品战略的重要支撑，</w:t>
      </w:r>
      <w:r w:rsidRPr="00F614F9">
        <w:rPr>
          <w:rFonts w:ascii="Times New Roman" w:hAnsi="Times New Roman" w:cs="Times New Roman" w:hint="eastAsia"/>
          <w:sz w:val="18"/>
          <w:szCs w:val="18"/>
        </w:rPr>
        <w:t>2024</w:t>
      </w:r>
      <w:r w:rsidRPr="00F614F9">
        <w:rPr>
          <w:rFonts w:ascii="Times New Roman" w:hAnsi="Times New Roman" w:cs="Times New Roman" w:hint="eastAsia"/>
          <w:sz w:val="18"/>
          <w:szCs w:val="18"/>
        </w:rPr>
        <w:t>年，公司将对传统业务做进一步优化。其中，对于屠宰业务，将持续进行新产品和新工艺创新，并通过设备引进提升产品出成，提高人工劳效，优化产品品质。同时，进一步改善渠道和产品结构，在提升毛利水平的同时为食品板块提供更好的基础支撑；对于养殖业务，将根据市场情况灵活调整规模，并做好疫情</w:t>
      </w:r>
      <w:r w:rsidRPr="00F614F9">
        <w:rPr>
          <w:rFonts w:ascii="Times New Roman" w:hAnsi="Times New Roman" w:cs="Times New Roman" w:hint="eastAsia"/>
          <w:sz w:val="18"/>
          <w:szCs w:val="18"/>
        </w:rPr>
        <w:lastRenderedPageBreak/>
        <w:t>防控，升级和完善疫病防控系统，降低疫情损失，提升育肥成活率；同时，加强成本管控，降低饲料成本，进行管理增效，进一步降低养殖成本，减少行业周期波动对公司的影响。</w:t>
      </w:r>
    </w:p>
    <w:p w14:paraId="64D9EC6E" w14:textId="77777777" w:rsidR="00872599" w:rsidRPr="00F614F9" w:rsidRDefault="00000000">
      <w:pPr>
        <w:pStyle w:val="a3"/>
        <w:spacing w:before="0" w:beforeAutospacing="0" w:after="0" w:afterAutospacing="0"/>
        <w:ind w:firstLine="361"/>
        <w:divId w:val="431127831"/>
        <w:rPr>
          <w:rFonts w:ascii="Times New Roman" w:eastAsia="等线" w:hAnsi="Times New Roman"/>
          <w:sz w:val="21"/>
          <w:szCs w:val="21"/>
        </w:rPr>
      </w:pPr>
      <w:r w:rsidRPr="00F614F9">
        <w:rPr>
          <w:rStyle w:val="a4"/>
          <w:rFonts w:ascii="Times New Roman" w:hAnsi="Times New Roman" w:hint="eastAsia"/>
          <w:sz w:val="18"/>
          <w:szCs w:val="18"/>
        </w:rPr>
        <w:t>3</w:t>
      </w:r>
      <w:r w:rsidRPr="00F614F9">
        <w:rPr>
          <w:rStyle w:val="a4"/>
          <w:rFonts w:ascii="Times New Roman" w:hAnsi="Times New Roman" w:hint="eastAsia"/>
          <w:sz w:val="18"/>
          <w:szCs w:val="18"/>
        </w:rPr>
        <w:t>、坚持产品创新，完善产品体系</w:t>
      </w:r>
    </w:p>
    <w:p w14:paraId="17502120" w14:textId="77777777" w:rsidR="00872599" w:rsidRPr="00F614F9" w:rsidRDefault="00000000" w:rsidP="0089355B">
      <w:pPr>
        <w:pStyle w:val="a3"/>
        <w:spacing w:before="0" w:beforeAutospacing="0" w:after="0" w:afterAutospacing="0" w:line="276" w:lineRule="auto"/>
        <w:ind w:firstLine="360"/>
        <w:jc w:val="both"/>
        <w:divId w:val="431127831"/>
        <w:rPr>
          <w:rFonts w:ascii="Times New Roman" w:hAnsi="Times New Roman" w:cs="Times New Roman"/>
          <w:sz w:val="18"/>
          <w:szCs w:val="18"/>
        </w:rPr>
      </w:pPr>
      <w:r w:rsidRPr="00F614F9">
        <w:rPr>
          <w:rFonts w:ascii="Times New Roman" w:hAnsi="Times New Roman" w:cs="Times New Roman" w:hint="eastAsia"/>
          <w:sz w:val="18"/>
          <w:szCs w:val="18"/>
        </w:rPr>
        <w:t>2024</w:t>
      </w:r>
      <w:r w:rsidRPr="00F614F9">
        <w:rPr>
          <w:rFonts w:ascii="Times New Roman" w:hAnsi="Times New Roman" w:cs="Times New Roman" w:hint="eastAsia"/>
          <w:sz w:val="18"/>
          <w:szCs w:val="18"/>
        </w:rPr>
        <w:t>年，公司将继续加大对新品研发的投入，持续坚持产品创新。根据行业发展趋势和市场机会，结合公司自身研发优势，一方面对老品进行品质优化升级，重点开发西式烘焙类及健身赛道的低脂、低盐、“</w:t>
      </w:r>
      <w:r w:rsidRPr="00F614F9">
        <w:rPr>
          <w:rFonts w:ascii="Times New Roman" w:hAnsi="Times New Roman" w:cs="Times New Roman" w:hint="eastAsia"/>
          <w:sz w:val="18"/>
          <w:szCs w:val="18"/>
        </w:rPr>
        <w:t>0</w:t>
      </w:r>
      <w:r w:rsidRPr="00F614F9">
        <w:rPr>
          <w:rFonts w:ascii="Times New Roman" w:hAnsi="Times New Roman" w:cs="Times New Roman" w:hint="eastAsia"/>
          <w:sz w:val="18"/>
          <w:szCs w:val="18"/>
        </w:rPr>
        <w:t>添加概念”健康类休闲产品的开发设计，进一步完善公司的产品体系。同时，持续强化大单品战略，进一步聚焦推广</w:t>
      </w:r>
      <w:proofErr w:type="gramStart"/>
      <w:r w:rsidRPr="00F614F9">
        <w:rPr>
          <w:rFonts w:ascii="Times New Roman" w:hAnsi="Times New Roman" w:cs="Times New Roman" w:hint="eastAsia"/>
          <w:sz w:val="18"/>
          <w:szCs w:val="18"/>
        </w:rPr>
        <w:t>酥</w:t>
      </w:r>
      <w:proofErr w:type="gramEnd"/>
      <w:r w:rsidRPr="00F614F9">
        <w:rPr>
          <w:rFonts w:ascii="Times New Roman" w:hAnsi="Times New Roman" w:cs="Times New Roman" w:hint="eastAsia"/>
          <w:sz w:val="18"/>
          <w:szCs w:val="18"/>
        </w:rPr>
        <w:t>肉类、肥肠类、丸子类等大单品，不断优化工艺，提升产品力，打造流通核心标品。并以培根类、烤肠类</w:t>
      </w:r>
      <w:proofErr w:type="gramStart"/>
      <w:r w:rsidRPr="00F614F9">
        <w:rPr>
          <w:rFonts w:ascii="Times New Roman" w:hAnsi="Times New Roman" w:cs="Times New Roman" w:hint="eastAsia"/>
          <w:sz w:val="18"/>
          <w:szCs w:val="18"/>
        </w:rPr>
        <w:t>为特通餐饮</w:t>
      </w:r>
      <w:proofErr w:type="gramEnd"/>
      <w:r w:rsidRPr="00F614F9">
        <w:rPr>
          <w:rFonts w:ascii="Times New Roman" w:hAnsi="Times New Roman" w:cs="Times New Roman" w:hint="eastAsia"/>
          <w:sz w:val="18"/>
          <w:szCs w:val="18"/>
        </w:rPr>
        <w:t>定制品类为抓手，</w:t>
      </w:r>
      <w:proofErr w:type="gramStart"/>
      <w:r w:rsidRPr="00F614F9">
        <w:rPr>
          <w:rFonts w:ascii="Times New Roman" w:hAnsi="Times New Roman" w:cs="Times New Roman" w:hint="eastAsia"/>
          <w:sz w:val="18"/>
          <w:szCs w:val="18"/>
        </w:rPr>
        <w:t>聚焦西快赛道</w:t>
      </w:r>
      <w:proofErr w:type="gramEnd"/>
      <w:r w:rsidRPr="00F614F9">
        <w:rPr>
          <w:rFonts w:ascii="Times New Roman" w:hAnsi="Times New Roman" w:cs="Times New Roman" w:hint="eastAsia"/>
          <w:sz w:val="18"/>
          <w:szCs w:val="18"/>
        </w:rPr>
        <w:t>，发展新业务。</w:t>
      </w:r>
    </w:p>
    <w:p w14:paraId="78138CA8" w14:textId="77777777" w:rsidR="00872599" w:rsidRPr="00F614F9" w:rsidRDefault="00000000">
      <w:pPr>
        <w:pStyle w:val="a3"/>
        <w:spacing w:before="0" w:beforeAutospacing="0" w:after="0" w:afterAutospacing="0"/>
        <w:ind w:firstLine="361"/>
        <w:divId w:val="431127831"/>
        <w:rPr>
          <w:rFonts w:ascii="Times New Roman" w:eastAsia="等线" w:hAnsi="Times New Roman"/>
          <w:sz w:val="21"/>
          <w:szCs w:val="21"/>
        </w:rPr>
      </w:pPr>
      <w:r w:rsidRPr="00F614F9">
        <w:rPr>
          <w:rStyle w:val="a4"/>
          <w:rFonts w:ascii="Times New Roman" w:hAnsi="Times New Roman" w:hint="eastAsia"/>
          <w:sz w:val="18"/>
          <w:szCs w:val="18"/>
        </w:rPr>
        <w:t>4</w:t>
      </w:r>
      <w:r w:rsidRPr="00F614F9">
        <w:rPr>
          <w:rStyle w:val="a4"/>
          <w:rFonts w:ascii="Times New Roman" w:hAnsi="Times New Roman" w:hint="eastAsia"/>
          <w:sz w:val="18"/>
          <w:szCs w:val="18"/>
        </w:rPr>
        <w:t>、推进渠道结构优化，强化精细运营</w:t>
      </w:r>
    </w:p>
    <w:p w14:paraId="2108068A" w14:textId="77777777" w:rsidR="00872599" w:rsidRPr="00F614F9" w:rsidRDefault="00000000" w:rsidP="0089355B">
      <w:pPr>
        <w:pStyle w:val="a3"/>
        <w:spacing w:before="0" w:beforeAutospacing="0" w:after="0" w:afterAutospacing="0" w:line="276" w:lineRule="auto"/>
        <w:ind w:firstLine="360"/>
        <w:jc w:val="both"/>
        <w:divId w:val="431127831"/>
        <w:rPr>
          <w:rFonts w:ascii="Times New Roman" w:hAnsi="Times New Roman" w:cs="Times New Roman"/>
          <w:sz w:val="18"/>
          <w:szCs w:val="18"/>
        </w:rPr>
      </w:pPr>
      <w:r w:rsidRPr="00F614F9">
        <w:rPr>
          <w:rFonts w:ascii="Times New Roman" w:hAnsi="Times New Roman" w:cs="Times New Roman" w:hint="eastAsia"/>
          <w:sz w:val="18"/>
          <w:szCs w:val="18"/>
        </w:rPr>
        <w:t>2024</w:t>
      </w:r>
      <w:r w:rsidRPr="00F614F9">
        <w:rPr>
          <w:rFonts w:ascii="Times New Roman" w:hAnsi="Times New Roman" w:cs="Times New Roman" w:hint="eastAsia"/>
          <w:sz w:val="18"/>
          <w:szCs w:val="18"/>
        </w:rPr>
        <w:t>年，公司将继续扩充客户数量，持续完善公司销售网络，并通过明确区域主体客户，分级价格管理，</w:t>
      </w:r>
      <w:proofErr w:type="gramStart"/>
      <w:r w:rsidRPr="00F614F9">
        <w:rPr>
          <w:rFonts w:ascii="Times New Roman" w:hAnsi="Times New Roman" w:cs="Times New Roman" w:hint="eastAsia"/>
          <w:sz w:val="18"/>
          <w:szCs w:val="18"/>
        </w:rPr>
        <w:t>搭赠返利</w:t>
      </w:r>
      <w:proofErr w:type="gramEnd"/>
      <w:r w:rsidRPr="00F614F9">
        <w:rPr>
          <w:rFonts w:ascii="Times New Roman" w:hAnsi="Times New Roman" w:cs="Times New Roman" w:hint="eastAsia"/>
          <w:sz w:val="18"/>
          <w:szCs w:val="18"/>
        </w:rPr>
        <w:t>等政策，培育核心客户，不断优化客户结构，实现客户数量规模增长的同时向质量转变。同时，高速发展新零售渠道，整合公司资源，储备开发适用电</w:t>
      </w:r>
      <w:proofErr w:type="gramStart"/>
      <w:r w:rsidRPr="00F614F9">
        <w:rPr>
          <w:rFonts w:ascii="Times New Roman" w:hAnsi="Times New Roman" w:cs="Times New Roman" w:hint="eastAsia"/>
          <w:sz w:val="18"/>
          <w:szCs w:val="18"/>
        </w:rPr>
        <w:t>商渠道</w:t>
      </w:r>
      <w:proofErr w:type="gramEnd"/>
      <w:r w:rsidRPr="00F614F9">
        <w:rPr>
          <w:rFonts w:ascii="Times New Roman" w:hAnsi="Times New Roman" w:cs="Times New Roman" w:hint="eastAsia"/>
          <w:sz w:val="18"/>
          <w:szCs w:val="18"/>
        </w:rPr>
        <w:t>的高性价比特色化产品，通过精细化运营，以产品为主体，打造主播矩阵，依托各类短视频、直播进行线上营销，不断扩充销量，打造新的增长点。</w:t>
      </w:r>
    </w:p>
    <w:p w14:paraId="4BEF9933" w14:textId="77777777" w:rsidR="00872599" w:rsidRPr="00F614F9" w:rsidRDefault="00000000">
      <w:pPr>
        <w:pStyle w:val="a3"/>
        <w:spacing w:before="0" w:beforeAutospacing="0" w:after="0" w:afterAutospacing="0"/>
        <w:ind w:firstLine="361"/>
        <w:divId w:val="431127831"/>
        <w:rPr>
          <w:rFonts w:ascii="Times New Roman" w:eastAsia="等线" w:hAnsi="Times New Roman"/>
          <w:sz w:val="21"/>
          <w:szCs w:val="21"/>
        </w:rPr>
      </w:pPr>
      <w:r w:rsidRPr="00F614F9">
        <w:rPr>
          <w:rStyle w:val="a4"/>
          <w:rFonts w:ascii="Times New Roman" w:hAnsi="Times New Roman" w:hint="eastAsia"/>
          <w:sz w:val="18"/>
          <w:szCs w:val="18"/>
        </w:rPr>
        <w:t>5</w:t>
      </w:r>
      <w:r w:rsidRPr="00F614F9">
        <w:rPr>
          <w:rStyle w:val="a4"/>
          <w:rFonts w:ascii="Times New Roman" w:hAnsi="Times New Roman" w:hint="eastAsia"/>
          <w:sz w:val="18"/>
          <w:szCs w:val="18"/>
        </w:rPr>
        <w:t>、加强品控管理，提升产品质量，保障食品安全</w:t>
      </w:r>
    </w:p>
    <w:p w14:paraId="41D514CA" w14:textId="77777777" w:rsidR="00872599" w:rsidRPr="00F614F9" w:rsidRDefault="00000000" w:rsidP="0089355B">
      <w:pPr>
        <w:pStyle w:val="a3"/>
        <w:spacing w:before="0" w:beforeAutospacing="0" w:after="0" w:afterAutospacing="0" w:line="276" w:lineRule="auto"/>
        <w:ind w:firstLine="360"/>
        <w:jc w:val="both"/>
        <w:divId w:val="431127831"/>
        <w:rPr>
          <w:rFonts w:ascii="Times New Roman" w:hAnsi="Times New Roman" w:cs="Times New Roman"/>
          <w:sz w:val="18"/>
          <w:szCs w:val="18"/>
        </w:rPr>
      </w:pPr>
      <w:r w:rsidRPr="00F614F9">
        <w:rPr>
          <w:rFonts w:ascii="Times New Roman" w:hAnsi="Times New Roman" w:cs="Times New Roman" w:hint="eastAsia"/>
          <w:sz w:val="18"/>
          <w:szCs w:val="18"/>
        </w:rPr>
        <w:t>食品安全是公司立根之本，公司始终坚持把食品安全放在第一位。</w:t>
      </w:r>
      <w:r w:rsidRPr="00F614F9">
        <w:rPr>
          <w:rFonts w:ascii="Times New Roman" w:hAnsi="Times New Roman" w:cs="Times New Roman" w:hint="eastAsia"/>
          <w:sz w:val="18"/>
          <w:szCs w:val="18"/>
        </w:rPr>
        <w:t>2024</w:t>
      </w:r>
      <w:r w:rsidRPr="00F614F9">
        <w:rPr>
          <w:rFonts w:ascii="Times New Roman" w:hAnsi="Times New Roman" w:cs="Times New Roman" w:hint="eastAsia"/>
          <w:sz w:val="18"/>
          <w:szCs w:val="18"/>
        </w:rPr>
        <w:t>年，公司将持续强化食品安全管控力度，不断完善食品安全保障制度，严格按照国家及省、市食品安全相关法律和规定，积极开展食品安全隐患和重点生产加工部位的检查力度，不断提升产品质量抽检频率和抽检数量，对药残、食品添加剂、微生物三大风险进行严格把控，有效确保食品生产加工的安全。同时，公司将持续加强品控管理，加快产品质量体系建设，通过各类产品数据的阶段性跟进，对原料、生产过程、人员、环境等因素进行</w:t>
      </w:r>
      <w:proofErr w:type="gramStart"/>
      <w:r w:rsidRPr="00F614F9">
        <w:rPr>
          <w:rFonts w:ascii="Times New Roman" w:hAnsi="Times New Roman" w:cs="Times New Roman" w:hint="eastAsia"/>
          <w:sz w:val="18"/>
          <w:szCs w:val="18"/>
        </w:rPr>
        <w:t>有效把</w:t>
      </w:r>
      <w:proofErr w:type="gramEnd"/>
      <w:r w:rsidRPr="00F614F9">
        <w:rPr>
          <w:rFonts w:ascii="Times New Roman" w:hAnsi="Times New Roman" w:cs="Times New Roman" w:hint="eastAsia"/>
          <w:sz w:val="18"/>
          <w:szCs w:val="18"/>
        </w:rPr>
        <w:t>控，进一步提升公司的产品质量。</w:t>
      </w:r>
    </w:p>
    <w:p w14:paraId="268B6C5D" w14:textId="77777777" w:rsidR="00872599" w:rsidRPr="00F614F9" w:rsidRDefault="00000000">
      <w:pPr>
        <w:pStyle w:val="a3"/>
        <w:spacing w:before="0" w:beforeAutospacing="0" w:after="0" w:afterAutospacing="0"/>
        <w:ind w:firstLine="361"/>
        <w:divId w:val="431127831"/>
        <w:rPr>
          <w:rFonts w:ascii="Times New Roman" w:eastAsia="等线" w:hAnsi="Times New Roman"/>
          <w:sz w:val="21"/>
          <w:szCs w:val="21"/>
        </w:rPr>
      </w:pPr>
      <w:r w:rsidRPr="00F614F9">
        <w:rPr>
          <w:rStyle w:val="a4"/>
          <w:rFonts w:ascii="Times New Roman" w:hAnsi="Times New Roman" w:hint="eastAsia"/>
          <w:sz w:val="18"/>
          <w:szCs w:val="18"/>
        </w:rPr>
        <w:t>6</w:t>
      </w:r>
      <w:r w:rsidRPr="00F614F9">
        <w:rPr>
          <w:rStyle w:val="a4"/>
          <w:rFonts w:ascii="Times New Roman" w:hAnsi="Times New Roman" w:hint="eastAsia"/>
          <w:sz w:val="18"/>
          <w:szCs w:val="18"/>
        </w:rPr>
        <w:t>、储备人力资源，提升企业能力</w:t>
      </w:r>
    </w:p>
    <w:p w14:paraId="4DC9039A" w14:textId="77777777" w:rsidR="00872599" w:rsidRPr="00F614F9" w:rsidRDefault="00000000" w:rsidP="0089355B">
      <w:pPr>
        <w:pStyle w:val="a3"/>
        <w:spacing w:before="0" w:beforeAutospacing="0" w:after="0" w:afterAutospacing="0" w:line="276" w:lineRule="auto"/>
        <w:ind w:firstLine="360"/>
        <w:jc w:val="both"/>
        <w:divId w:val="431127831"/>
        <w:rPr>
          <w:rFonts w:ascii="Times New Roman" w:hAnsi="Times New Roman" w:cs="Times New Roman"/>
          <w:sz w:val="18"/>
          <w:szCs w:val="18"/>
        </w:rPr>
      </w:pPr>
      <w:r w:rsidRPr="00F614F9">
        <w:rPr>
          <w:rFonts w:ascii="Times New Roman" w:hAnsi="Times New Roman" w:cs="Times New Roman" w:hint="eastAsia"/>
          <w:sz w:val="18"/>
          <w:szCs w:val="18"/>
        </w:rPr>
        <w:t>2024</w:t>
      </w:r>
      <w:r w:rsidRPr="00F614F9">
        <w:rPr>
          <w:rFonts w:ascii="Times New Roman" w:hAnsi="Times New Roman" w:cs="Times New Roman" w:hint="eastAsia"/>
          <w:sz w:val="18"/>
          <w:szCs w:val="18"/>
        </w:rPr>
        <w:t>年，公司将持续完善人力资源管理体系建设，开设专业技术培训、关键性岗位技能培训，提升员工专业素养，积极做好人才储备，为公司未来发展提供充足的人力保障。同时，公司将不断完善</w:t>
      </w:r>
      <w:proofErr w:type="gramStart"/>
      <w:r w:rsidRPr="00F614F9">
        <w:rPr>
          <w:rFonts w:ascii="Times New Roman" w:hAnsi="Times New Roman" w:cs="Times New Roman" w:hint="eastAsia"/>
          <w:sz w:val="18"/>
          <w:szCs w:val="18"/>
        </w:rPr>
        <w:t>薪</w:t>
      </w:r>
      <w:proofErr w:type="gramEnd"/>
      <w:r w:rsidRPr="00F614F9">
        <w:rPr>
          <w:rFonts w:ascii="Times New Roman" w:hAnsi="Times New Roman" w:cs="Times New Roman" w:hint="eastAsia"/>
          <w:sz w:val="18"/>
          <w:szCs w:val="18"/>
        </w:rPr>
        <w:t>酬和考核管理制度，持续强化以公司经营目标为导向的考核机制，并根据不同岗位，不同职级设置不同的考核内容，激发员工工作积极性，为公司长期可持续发展提供坚实保障。</w:t>
      </w:r>
    </w:p>
    <w:p w14:paraId="339C004A" w14:textId="77777777" w:rsidR="00872599" w:rsidRPr="00F614F9" w:rsidRDefault="00000000">
      <w:pPr>
        <w:pStyle w:val="a3"/>
        <w:spacing w:before="0" w:beforeAutospacing="0" w:after="0" w:afterAutospacing="0"/>
        <w:ind w:firstLine="361"/>
        <w:divId w:val="431127831"/>
        <w:rPr>
          <w:rFonts w:ascii="Times New Roman" w:eastAsia="等线" w:hAnsi="Times New Roman"/>
          <w:sz w:val="21"/>
          <w:szCs w:val="21"/>
        </w:rPr>
      </w:pPr>
      <w:r w:rsidRPr="00F614F9">
        <w:rPr>
          <w:rStyle w:val="a4"/>
          <w:rFonts w:ascii="Times New Roman" w:hAnsi="Times New Roman" w:hint="eastAsia"/>
          <w:sz w:val="18"/>
          <w:szCs w:val="18"/>
        </w:rPr>
        <w:t>（三）可能面对的风险</w:t>
      </w:r>
    </w:p>
    <w:p w14:paraId="02C3EC74" w14:textId="77777777" w:rsidR="00872599" w:rsidRPr="00F614F9" w:rsidRDefault="00000000">
      <w:pPr>
        <w:pStyle w:val="a3"/>
        <w:spacing w:before="0" w:beforeAutospacing="0" w:after="0" w:afterAutospacing="0"/>
        <w:ind w:firstLine="361"/>
        <w:divId w:val="431127831"/>
        <w:rPr>
          <w:rFonts w:ascii="Times New Roman" w:eastAsia="等线" w:hAnsi="Times New Roman"/>
          <w:sz w:val="21"/>
          <w:szCs w:val="21"/>
        </w:rPr>
      </w:pPr>
      <w:r w:rsidRPr="00F614F9">
        <w:rPr>
          <w:rStyle w:val="a4"/>
          <w:rFonts w:ascii="Times New Roman" w:hAnsi="Times New Roman" w:hint="eastAsia"/>
          <w:sz w:val="18"/>
          <w:szCs w:val="18"/>
        </w:rPr>
        <w:t>1</w:t>
      </w:r>
      <w:r w:rsidRPr="00F614F9">
        <w:rPr>
          <w:rStyle w:val="a4"/>
          <w:rFonts w:ascii="Times New Roman" w:hAnsi="Times New Roman" w:hint="eastAsia"/>
          <w:sz w:val="18"/>
          <w:szCs w:val="18"/>
        </w:rPr>
        <w:t>、发生疫病的风险</w:t>
      </w:r>
    </w:p>
    <w:p w14:paraId="3152E240" w14:textId="77777777" w:rsidR="00872599" w:rsidRPr="00F614F9" w:rsidRDefault="00000000" w:rsidP="0089355B">
      <w:pPr>
        <w:pStyle w:val="a3"/>
        <w:spacing w:before="0" w:beforeAutospacing="0" w:after="0" w:afterAutospacing="0" w:line="276" w:lineRule="auto"/>
        <w:ind w:firstLine="360"/>
        <w:jc w:val="both"/>
        <w:divId w:val="431127831"/>
        <w:rPr>
          <w:rFonts w:ascii="Times New Roman" w:hAnsi="Times New Roman" w:cs="Times New Roman"/>
          <w:sz w:val="18"/>
          <w:szCs w:val="18"/>
        </w:rPr>
      </w:pPr>
      <w:r w:rsidRPr="00F614F9">
        <w:rPr>
          <w:rFonts w:ascii="Times New Roman" w:hAnsi="Times New Roman" w:cs="Times New Roman" w:hint="eastAsia"/>
          <w:sz w:val="18"/>
          <w:szCs w:val="18"/>
        </w:rPr>
        <w:t>公司业务为食品、屠宰、养殖等，主要原料为生猪，生猪存在动物疫病风险。</w:t>
      </w:r>
      <w:r w:rsidRPr="00F614F9">
        <w:rPr>
          <w:rFonts w:ascii="Times New Roman" w:hAnsi="Times New Roman" w:cs="Times New Roman" w:hint="eastAsia"/>
          <w:sz w:val="18"/>
          <w:szCs w:val="18"/>
        </w:rPr>
        <w:t>2018</w:t>
      </w:r>
      <w:r w:rsidRPr="00F614F9">
        <w:rPr>
          <w:rFonts w:ascii="Times New Roman" w:hAnsi="Times New Roman" w:cs="Times New Roman" w:hint="eastAsia"/>
          <w:sz w:val="18"/>
          <w:szCs w:val="18"/>
        </w:rPr>
        <w:t>年爆发的非洲猪瘟，由于高传染性和高致死率，对生猪养殖行业产生了重大的影响，对生猪养殖场的生物防护体系和管理措施提出了更高的要求。一旦发生非洲猪瘟，由于非洲猪瘟的高传染性和高致死率，将对公司生猪养殖业务产生很大的不利影响。</w:t>
      </w:r>
    </w:p>
    <w:p w14:paraId="53BE8F5D" w14:textId="77777777" w:rsidR="00872599" w:rsidRPr="00F614F9" w:rsidRDefault="00000000">
      <w:pPr>
        <w:pStyle w:val="a3"/>
        <w:spacing w:before="0" w:beforeAutospacing="0" w:after="0" w:afterAutospacing="0"/>
        <w:ind w:firstLine="361"/>
        <w:divId w:val="431127831"/>
        <w:rPr>
          <w:rFonts w:ascii="Times New Roman" w:eastAsia="等线" w:hAnsi="Times New Roman"/>
          <w:sz w:val="21"/>
          <w:szCs w:val="21"/>
        </w:rPr>
      </w:pPr>
      <w:r w:rsidRPr="00F614F9">
        <w:rPr>
          <w:rStyle w:val="a4"/>
          <w:rFonts w:ascii="Times New Roman" w:hAnsi="Times New Roman" w:hint="eastAsia"/>
          <w:sz w:val="18"/>
          <w:szCs w:val="18"/>
        </w:rPr>
        <w:t>2</w:t>
      </w:r>
      <w:r w:rsidRPr="00F614F9">
        <w:rPr>
          <w:rStyle w:val="a4"/>
          <w:rFonts w:ascii="Times New Roman" w:hAnsi="Times New Roman" w:hint="eastAsia"/>
          <w:sz w:val="18"/>
          <w:szCs w:val="18"/>
        </w:rPr>
        <w:t>、食品安全风险</w:t>
      </w:r>
    </w:p>
    <w:p w14:paraId="508EB2A8" w14:textId="77777777" w:rsidR="00872599" w:rsidRPr="00F614F9" w:rsidRDefault="00000000" w:rsidP="0089355B">
      <w:pPr>
        <w:pStyle w:val="a3"/>
        <w:spacing w:before="0" w:beforeAutospacing="0" w:after="0" w:afterAutospacing="0" w:line="276" w:lineRule="auto"/>
        <w:ind w:firstLine="360"/>
        <w:jc w:val="both"/>
        <w:divId w:val="431127831"/>
        <w:rPr>
          <w:rFonts w:ascii="Times New Roman" w:hAnsi="Times New Roman" w:cs="Times New Roman"/>
          <w:sz w:val="18"/>
          <w:szCs w:val="18"/>
        </w:rPr>
      </w:pPr>
      <w:r w:rsidRPr="00F614F9">
        <w:rPr>
          <w:rFonts w:ascii="Times New Roman" w:hAnsi="Times New Roman" w:cs="Times New Roman" w:hint="eastAsia"/>
          <w:sz w:val="18"/>
          <w:szCs w:val="18"/>
        </w:rPr>
        <w:t>近年来，消费者对食品安全的要求与日俱增，食品安全问题也日益受到监管部门和社会舆论的高度关注。虽然公司建立了严格的食品安全控制体系，但食品安全的风险仍然是公司关注的重中之重，一旦出现食品安全问题，将对公司的品牌形象以及相关产品的销售造成不良影响。</w:t>
      </w:r>
    </w:p>
    <w:p w14:paraId="0D68C900" w14:textId="77777777" w:rsidR="00872599" w:rsidRPr="00F614F9" w:rsidRDefault="00000000" w:rsidP="0089355B">
      <w:pPr>
        <w:pStyle w:val="a3"/>
        <w:spacing w:before="0" w:beforeAutospacing="0" w:after="0" w:afterAutospacing="0" w:line="276" w:lineRule="auto"/>
        <w:ind w:firstLine="360"/>
        <w:jc w:val="both"/>
        <w:divId w:val="431127831"/>
        <w:rPr>
          <w:rFonts w:ascii="Times New Roman" w:hAnsi="Times New Roman" w:cs="Times New Roman"/>
          <w:sz w:val="18"/>
          <w:szCs w:val="18"/>
        </w:rPr>
      </w:pPr>
      <w:r w:rsidRPr="00F614F9">
        <w:rPr>
          <w:rFonts w:ascii="Times New Roman" w:hAnsi="Times New Roman" w:cs="Times New Roman" w:hint="eastAsia"/>
          <w:sz w:val="18"/>
          <w:szCs w:val="18"/>
        </w:rPr>
        <w:t>虽然国家不断强化食品安全方面的监管，但食品行业分支众多，企业数量庞大，难免存在部分企业不规范运作的情况，若某个食品子行业的个别企业发生严重食品安全事故，也将可能给整个食品行业经营发展造成负面影响。</w:t>
      </w:r>
    </w:p>
    <w:p w14:paraId="07F3C30B" w14:textId="77777777" w:rsidR="00872599" w:rsidRPr="00F614F9" w:rsidRDefault="00000000">
      <w:pPr>
        <w:pStyle w:val="a3"/>
        <w:spacing w:before="0" w:beforeAutospacing="0" w:after="0" w:afterAutospacing="0"/>
        <w:ind w:firstLine="361"/>
        <w:divId w:val="431127831"/>
        <w:rPr>
          <w:rFonts w:ascii="Times New Roman" w:eastAsia="等线" w:hAnsi="Times New Roman"/>
          <w:sz w:val="21"/>
          <w:szCs w:val="21"/>
        </w:rPr>
      </w:pPr>
      <w:r w:rsidRPr="00F614F9">
        <w:rPr>
          <w:rStyle w:val="a4"/>
          <w:rFonts w:ascii="Times New Roman" w:hAnsi="Times New Roman" w:hint="eastAsia"/>
          <w:sz w:val="18"/>
          <w:szCs w:val="18"/>
        </w:rPr>
        <w:t>3</w:t>
      </w:r>
      <w:r w:rsidRPr="00F614F9">
        <w:rPr>
          <w:rStyle w:val="a4"/>
          <w:rFonts w:ascii="Times New Roman" w:hAnsi="Times New Roman" w:hint="eastAsia"/>
          <w:sz w:val="18"/>
          <w:szCs w:val="18"/>
        </w:rPr>
        <w:t>、市场开拓风险</w:t>
      </w:r>
    </w:p>
    <w:p w14:paraId="2D8E3FC2" w14:textId="77777777" w:rsidR="00872599" w:rsidRPr="00F614F9" w:rsidRDefault="00000000" w:rsidP="0089355B">
      <w:pPr>
        <w:pStyle w:val="a3"/>
        <w:spacing w:before="0" w:beforeAutospacing="0" w:after="0" w:afterAutospacing="0" w:line="276" w:lineRule="auto"/>
        <w:ind w:firstLine="360"/>
        <w:jc w:val="both"/>
        <w:divId w:val="431127831"/>
        <w:rPr>
          <w:rFonts w:ascii="Times New Roman" w:hAnsi="Times New Roman" w:cs="Times New Roman"/>
          <w:sz w:val="18"/>
          <w:szCs w:val="18"/>
        </w:rPr>
      </w:pPr>
      <w:r w:rsidRPr="00F614F9">
        <w:rPr>
          <w:rFonts w:ascii="Times New Roman" w:hAnsi="Times New Roman" w:cs="Times New Roman" w:hint="eastAsia"/>
          <w:sz w:val="18"/>
          <w:szCs w:val="18"/>
        </w:rPr>
        <w:t>在战略的指导下，公司加速推进食品业务的发展，并在全国范围内进行了一系列产能布局，拓展市场，如果公司的市场开拓未取得预期效果，将对公司生产经营产生不利影响。</w:t>
      </w:r>
    </w:p>
    <w:p w14:paraId="4530C93F" w14:textId="77777777" w:rsidR="00872599" w:rsidRPr="00F614F9" w:rsidRDefault="00000000">
      <w:pPr>
        <w:pStyle w:val="a3"/>
        <w:spacing w:before="0" w:beforeAutospacing="0" w:after="0" w:afterAutospacing="0"/>
        <w:ind w:firstLine="361"/>
        <w:divId w:val="431127831"/>
        <w:rPr>
          <w:rFonts w:ascii="Times New Roman" w:eastAsia="等线" w:hAnsi="Times New Roman"/>
          <w:sz w:val="21"/>
          <w:szCs w:val="21"/>
        </w:rPr>
      </w:pPr>
      <w:r w:rsidRPr="00F614F9">
        <w:rPr>
          <w:rStyle w:val="a4"/>
          <w:rFonts w:ascii="Times New Roman" w:hAnsi="Times New Roman" w:hint="eastAsia"/>
          <w:sz w:val="18"/>
          <w:szCs w:val="18"/>
        </w:rPr>
        <w:t>4</w:t>
      </w:r>
      <w:r w:rsidRPr="00F614F9">
        <w:rPr>
          <w:rStyle w:val="a4"/>
          <w:rFonts w:ascii="Times New Roman" w:hAnsi="Times New Roman" w:hint="eastAsia"/>
          <w:sz w:val="18"/>
          <w:szCs w:val="18"/>
        </w:rPr>
        <w:t>、材料价格波动风险</w:t>
      </w:r>
    </w:p>
    <w:p w14:paraId="7BA55292" w14:textId="77777777" w:rsidR="00872599" w:rsidRPr="00F614F9" w:rsidRDefault="00000000" w:rsidP="0089355B">
      <w:pPr>
        <w:pStyle w:val="a3"/>
        <w:spacing w:before="0" w:beforeAutospacing="0" w:after="0" w:afterAutospacing="0" w:line="276" w:lineRule="auto"/>
        <w:ind w:firstLine="360"/>
        <w:jc w:val="both"/>
        <w:divId w:val="431127831"/>
        <w:rPr>
          <w:rFonts w:ascii="Times New Roman" w:hAnsi="Times New Roman" w:cs="Times New Roman"/>
          <w:sz w:val="18"/>
          <w:szCs w:val="18"/>
        </w:rPr>
      </w:pPr>
      <w:r w:rsidRPr="00F614F9">
        <w:rPr>
          <w:rFonts w:ascii="Times New Roman" w:hAnsi="Times New Roman" w:cs="Times New Roman" w:hint="eastAsia"/>
          <w:sz w:val="18"/>
          <w:szCs w:val="18"/>
        </w:rPr>
        <w:lastRenderedPageBreak/>
        <w:t>公司材料成本包括包装纸箱、包装袋等。未来各类原料采购价格出现大幅波动，公司不能及时适度调整产品价格并保持合理存货规模，将存在主营业务毛利率波动的风险，从而影响经营业绩稳定性。</w:t>
      </w:r>
    </w:p>
    <w:p w14:paraId="105D9F55" w14:textId="77777777" w:rsidR="00872599" w:rsidRPr="00F614F9" w:rsidRDefault="00000000">
      <w:pPr>
        <w:pStyle w:val="a3"/>
        <w:spacing w:before="0" w:beforeAutospacing="0" w:after="0" w:afterAutospacing="0"/>
        <w:ind w:firstLine="361"/>
        <w:divId w:val="431127831"/>
        <w:rPr>
          <w:rFonts w:ascii="Times New Roman" w:eastAsia="等线" w:hAnsi="Times New Roman"/>
          <w:sz w:val="21"/>
          <w:szCs w:val="21"/>
        </w:rPr>
      </w:pPr>
      <w:r w:rsidRPr="00F614F9">
        <w:rPr>
          <w:rStyle w:val="a4"/>
          <w:rFonts w:ascii="Times New Roman" w:hAnsi="Times New Roman" w:hint="eastAsia"/>
          <w:sz w:val="18"/>
          <w:szCs w:val="18"/>
        </w:rPr>
        <w:t>5</w:t>
      </w:r>
      <w:r w:rsidRPr="00F614F9">
        <w:rPr>
          <w:rStyle w:val="a4"/>
          <w:rFonts w:ascii="Times New Roman" w:hAnsi="Times New Roman" w:hint="eastAsia"/>
          <w:sz w:val="18"/>
          <w:szCs w:val="18"/>
        </w:rPr>
        <w:t>、不可抗力风险</w:t>
      </w:r>
    </w:p>
    <w:p w14:paraId="72B62FC1" w14:textId="77777777" w:rsidR="00872599" w:rsidRPr="00F614F9" w:rsidRDefault="00000000" w:rsidP="0089355B">
      <w:pPr>
        <w:pStyle w:val="a3"/>
        <w:spacing w:before="0" w:beforeAutospacing="0" w:after="0" w:afterAutospacing="0" w:line="276" w:lineRule="auto"/>
        <w:ind w:firstLine="360"/>
        <w:jc w:val="both"/>
        <w:divId w:val="431127831"/>
        <w:rPr>
          <w:rFonts w:ascii="Times New Roman" w:hAnsi="Times New Roman" w:cs="Times New Roman"/>
          <w:sz w:val="18"/>
          <w:szCs w:val="18"/>
        </w:rPr>
      </w:pPr>
      <w:r w:rsidRPr="00F614F9">
        <w:rPr>
          <w:rFonts w:ascii="Times New Roman" w:hAnsi="Times New Roman" w:cs="Times New Roman" w:hint="eastAsia"/>
          <w:sz w:val="18"/>
          <w:szCs w:val="18"/>
        </w:rPr>
        <w:t>自然灾害、突发性公共卫生事件可能会对公司的财产、人员造成损害，并有可能影响公司的正常生产经营，此类不可抗力的发生可能还会给公司增加额外成本，从而影响公司的盈利水平。</w:t>
      </w:r>
    </w:p>
    <w:p w14:paraId="525301F0" w14:textId="77777777" w:rsidR="00872599" w:rsidRPr="00F614F9" w:rsidRDefault="00000000">
      <w:pPr>
        <w:pStyle w:val="a3"/>
        <w:spacing w:before="0" w:beforeAutospacing="0" w:after="0" w:afterAutospacing="0"/>
        <w:ind w:firstLine="361"/>
        <w:divId w:val="431127831"/>
        <w:rPr>
          <w:rFonts w:ascii="Times New Roman" w:eastAsia="等线" w:hAnsi="Times New Roman"/>
          <w:sz w:val="21"/>
          <w:szCs w:val="21"/>
        </w:rPr>
      </w:pPr>
      <w:r w:rsidRPr="00F614F9">
        <w:rPr>
          <w:rStyle w:val="a4"/>
          <w:rFonts w:ascii="Times New Roman" w:hAnsi="Times New Roman" w:hint="eastAsia"/>
          <w:sz w:val="18"/>
          <w:szCs w:val="18"/>
        </w:rPr>
        <w:t>（四）应对措施</w:t>
      </w:r>
    </w:p>
    <w:p w14:paraId="557E33B8" w14:textId="77777777" w:rsidR="00872599" w:rsidRPr="00F614F9" w:rsidRDefault="00000000" w:rsidP="0089355B">
      <w:pPr>
        <w:pStyle w:val="a3"/>
        <w:spacing w:before="0" w:beforeAutospacing="0" w:after="0" w:afterAutospacing="0" w:line="276" w:lineRule="auto"/>
        <w:ind w:firstLine="360"/>
        <w:jc w:val="both"/>
        <w:divId w:val="431127831"/>
        <w:rPr>
          <w:rFonts w:ascii="Times New Roman" w:hAnsi="Times New Roman" w:cs="Times New Roman"/>
          <w:sz w:val="18"/>
          <w:szCs w:val="18"/>
        </w:rPr>
      </w:pPr>
      <w:r w:rsidRPr="00F614F9">
        <w:rPr>
          <w:rFonts w:ascii="Times New Roman" w:hAnsi="Times New Roman" w:cs="Times New Roman" w:hint="eastAsia"/>
          <w:sz w:val="18"/>
          <w:szCs w:val="18"/>
        </w:rPr>
        <w:t>1</w:t>
      </w:r>
      <w:r w:rsidRPr="00F614F9">
        <w:rPr>
          <w:rFonts w:ascii="Times New Roman" w:hAnsi="Times New Roman" w:cs="Times New Roman" w:hint="eastAsia"/>
          <w:sz w:val="18"/>
          <w:szCs w:val="18"/>
        </w:rPr>
        <w:t>、</w:t>
      </w:r>
      <w:r w:rsidRPr="00F614F9">
        <w:rPr>
          <w:rFonts w:ascii="Times New Roman" w:hAnsi="Times New Roman" w:cs="Times New Roman" w:hint="eastAsia"/>
          <w:sz w:val="18"/>
          <w:szCs w:val="18"/>
        </w:rPr>
        <w:t xml:space="preserve"> </w:t>
      </w:r>
      <w:r w:rsidRPr="00F614F9">
        <w:rPr>
          <w:rFonts w:ascii="Times New Roman" w:hAnsi="Times New Roman" w:cs="Times New Roman" w:hint="eastAsia"/>
          <w:sz w:val="18"/>
          <w:szCs w:val="18"/>
        </w:rPr>
        <w:t>公司将持续做好疫病防疫防控工作，并在各个生产环节疫病防疫体系进行季节性系统化升级，同时一如既往的严格执行防疫防控措施，确保公司所有单位生产经营有序进行。</w:t>
      </w:r>
    </w:p>
    <w:p w14:paraId="65930A62" w14:textId="77777777" w:rsidR="00872599" w:rsidRPr="00F614F9" w:rsidRDefault="00000000" w:rsidP="0089355B">
      <w:pPr>
        <w:pStyle w:val="a3"/>
        <w:spacing w:before="0" w:beforeAutospacing="0" w:after="0" w:afterAutospacing="0" w:line="276" w:lineRule="auto"/>
        <w:ind w:firstLine="360"/>
        <w:jc w:val="both"/>
        <w:divId w:val="431127831"/>
        <w:rPr>
          <w:rFonts w:ascii="Times New Roman" w:hAnsi="Times New Roman" w:cs="Times New Roman"/>
          <w:sz w:val="18"/>
          <w:szCs w:val="18"/>
        </w:rPr>
      </w:pPr>
      <w:r w:rsidRPr="00F614F9">
        <w:rPr>
          <w:rFonts w:ascii="Times New Roman" w:hAnsi="Times New Roman" w:cs="Times New Roman" w:hint="eastAsia"/>
          <w:sz w:val="18"/>
          <w:szCs w:val="18"/>
        </w:rPr>
        <w:t>2</w:t>
      </w:r>
      <w:r w:rsidRPr="00F614F9">
        <w:rPr>
          <w:rFonts w:ascii="Times New Roman" w:hAnsi="Times New Roman" w:cs="Times New Roman" w:hint="eastAsia"/>
          <w:sz w:val="18"/>
          <w:szCs w:val="18"/>
        </w:rPr>
        <w:t>、公司长期高度重视食品安全，严格要求把食品安全落实到生产经营的每个环节。公司在生产经营中根据国家法律法规及市场监督管理部门的规章制度要求，建立了完善的食品安全控制体系，通过了</w:t>
      </w:r>
      <w:r w:rsidRPr="00F614F9">
        <w:rPr>
          <w:rFonts w:ascii="Times New Roman" w:hAnsi="Times New Roman" w:cs="Times New Roman" w:hint="eastAsia"/>
          <w:sz w:val="18"/>
          <w:szCs w:val="18"/>
        </w:rPr>
        <w:t>ISO9001</w:t>
      </w:r>
      <w:r w:rsidRPr="00F614F9">
        <w:rPr>
          <w:rFonts w:ascii="Times New Roman" w:hAnsi="Times New Roman" w:cs="Times New Roman" w:hint="eastAsia"/>
          <w:sz w:val="18"/>
          <w:szCs w:val="18"/>
        </w:rPr>
        <w:t>国际质量管理体系和</w:t>
      </w:r>
      <w:r w:rsidRPr="00F614F9">
        <w:rPr>
          <w:rFonts w:ascii="Times New Roman" w:hAnsi="Times New Roman" w:cs="Times New Roman" w:hint="eastAsia"/>
          <w:sz w:val="18"/>
          <w:szCs w:val="18"/>
        </w:rPr>
        <w:t>ISO22000</w:t>
      </w:r>
      <w:r w:rsidRPr="00F614F9">
        <w:rPr>
          <w:rFonts w:ascii="Times New Roman" w:hAnsi="Times New Roman" w:cs="Times New Roman" w:hint="eastAsia"/>
          <w:sz w:val="18"/>
          <w:szCs w:val="18"/>
        </w:rPr>
        <w:t>食品安全管理体系的认证，并对关键环节在国家标准的基础上制定了更为严格的多个企业标准，进一步细化食品安全控制工作。在每个生产基地配备专职质量控制人员、每个市场安排专职质量监督人员，从而达到对采购、生产、储存、运输、销售等环节实施有效的食品安全质量控制的目标；通过执行《标识和可追溯性管理制度》等相关产品质量控制制度，使产品质量和食品安全控制具有可追溯性，尽可能降低食品安全事件发生的可能性。</w:t>
      </w:r>
    </w:p>
    <w:p w14:paraId="55024B0F" w14:textId="77777777" w:rsidR="00872599" w:rsidRPr="00F614F9" w:rsidRDefault="00000000" w:rsidP="0089355B">
      <w:pPr>
        <w:pStyle w:val="a3"/>
        <w:spacing w:before="0" w:beforeAutospacing="0" w:after="0" w:afterAutospacing="0" w:line="276" w:lineRule="auto"/>
        <w:ind w:firstLine="360"/>
        <w:jc w:val="both"/>
        <w:divId w:val="431127831"/>
        <w:rPr>
          <w:rFonts w:ascii="Times New Roman" w:hAnsi="Times New Roman" w:cs="Times New Roman"/>
          <w:sz w:val="18"/>
          <w:szCs w:val="18"/>
        </w:rPr>
      </w:pPr>
      <w:r w:rsidRPr="00F614F9">
        <w:rPr>
          <w:rFonts w:ascii="Times New Roman" w:hAnsi="Times New Roman" w:cs="Times New Roman" w:hint="eastAsia"/>
          <w:sz w:val="18"/>
          <w:szCs w:val="18"/>
        </w:rPr>
        <w:t>3</w:t>
      </w:r>
      <w:r w:rsidRPr="00F614F9">
        <w:rPr>
          <w:rFonts w:ascii="Times New Roman" w:hAnsi="Times New Roman" w:cs="Times New Roman" w:hint="eastAsia"/>
          <w:sz w:val="18"/>
          <w:szCs w:val="18"/>
        </w:rPr>
        <w:t>、公司将一方面加强管理、提高效率进行成本控制，一方面充分发挥公司全产业链布局的优势，通过调节产品结构、生产高附加值产品、加快食品业务发展等方式，一定程度上化解了生猪价格波动对公司盈利能力带来的风险。</w:t>
      </w:r>
    </w:p>
    <w:p w14:paraId="54066925" w14:textId="77777777" w:rsidR="00872599" w:rsidRPr="00F614F9" w:rsidRDefault="00000000" w:rsidP="0089355B">
      <w:pPr>
        <w:pStyle w:val="a3"/>
        <w:spacing w:before="0" w:beforeAutospacing="0" w:after="0" w:afterAutospacing="0" w:line="276" w:lineRule="auto"/>
        <w:ind w:firstLine="360"/>
        <w:jc w:val="both"/>
        <w:divId w:val="431127831"/>
        <w:rPr>
          <w:rFonts w:ascii="Times New Roman" w:hAnsi="Times New Roman" w:cs="Times New Roman"/>
          <w:sz w:val="18"/>
          <w:szCs w:val="18"/>
        </w:rPr>
      </w:pPr>
      <w:r w:rsidRPr="00F614F9">
        <w:rPr>
          <w:rFonts w:ascii="Times New Roman" w:hAnsi="Times New Roman" w:cs="Times New Roman" w:hint="eastAsia"/>
          <w:sz w:val="18"/>
          <w:szCs w:val="18"/>
        </w:rPr>
        <w:t>4</w:t>
      </w:r>
      <w:r w:rsidRPr="00F614F9">
        <w:rPr>
          <w:rFonts w:ascii="Times New Roman" w:hAnsi="Times New Roman" w:cs="Times New Roman" w:hint="eastAsia"/>
          <w:sz w:val="18"/>
          <w:szCs w:val="18"/>
        </w:rPr>
        <w:t>、公司着力构建消费市场洞察体系，服务广大食品加工和餐饮企业，协同进行市场推广，创新营销模式，积极应用市场思维</w:t>
      </w:r>
      <w:proofErr w:type="gramStart"/>
      <w:r w:rsidRPr="00F614F9">
        <w:rPr>
          <w:rFonts w:ascii="Times New Roman" w:hAnsi="Times New Roman" w:cs="Times New Roman" w:hint="eastAsia"/>
          <w:sz w:val="18"/>
          <w:szCs w:val="18"/>
        </w:rPr>
        <w:t>打造爆款明星</w:t>
      </w:r>
      <w:proofErr w:type="gramEnd"/>
      <w:r w:rsidRPr="00F614F9">
        <w:rPr>
          <w:rFonts w:ascii="Times New Roman" w:hAnsi="Times New Roman" w:cs="Times New Roman" w:hint="eastAsia"/>
          <w:sz w:val="18"/>
          <w:szCs w:val="18"/>
        </w:rPr>
        <w:t>单品，以大单品策略快速服务市场。此外，公司加快开拓专业销售渠道，加强定制化服务；聚焦核心区域，打造样板市场，实现优势区域全覆盖；构建流通经销商网络，实现全国范围渠道拓展。</w:t>
      </w:r>
    </w:p>
    <w:p w14:paraId="14FCA376"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73" w:name="_Toc988942"/>
      <w:bookmarkStart w:id="74" w:name="_Toc164024766"/>
      <w:r w:rsidRPr="00F614F9">
        <w:rPr>
          <w:rFonts w:ascii="Times New Roman" w:eastAsia="宋体" w:hAnsi="Times New Roman" w:cs="宋体"/>
          <w:b/>
          <w:bCs/>
          <w:sz w:val="24"/>
          <w:szCs w:val="24"/>
        </w:rPr>
        <w:t>十二、报告期内接待调研、沟通、采访等活动</w:t>
      </w:r>
      <w:bookmarkEnd w:id="73"/>
      <w:bookmarkEnd w:id="74"/>
    </w:p>
    <w:p w14:paraId="3B179260"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34"/>
        <w:gridCol w:w="851"/>
        <w:gridCol w:w="1134"/>
        <w:gridCol w:w="850"/>
        <w:gridCol w:w="2916"/>
        <w:gridCol w:w="1377"/>
        <w:gridCol w:w="1377"/>
      </w:tblGrid>
      <w:tr w:rsidR="001D26E7" w:rsidRPr="00F614F9" w14:paraId="1F1CF993" w14:textId="77777777" w:rsidTr="0089355B">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25742A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接待时间</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38A5732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接待地点</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E3ED77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接待方式</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0BDCAA3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接待对象类型</w:t>
            </w:r>
          </w:p>
        </w:tc>
        <w:tc>
          <w:tcPr>
            <w:tcW w:w="2916" w:type="dxa"/>
            <w:tcBorders>
              <w:top w:val="single" w:sz="2" w:space="0" w:color="auto"/>
              <w:left w:val="single" w:sz="2" w:space="0" w:color="auto"/>
              <w:bottom w:val="single" w:sz="2" w:space="0" w:color="auto"/>
              <w:right w:val="single" w:sz="2" w:space="0" w:color="auto"/>
            </w:tcBorders>
            <w:shd w:val="clear" w:color="auto" w:fill="D3D3D3"/>
            <w:vAlign w:val="center"/>
          </w:tcPr>
          <w:p w14:paraId="2B7B3D2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接待对象</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1E6B37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谈论的主要内容及提供的资料</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A8017C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调研的基本情况索引</w:t>
            </w:r>
          </w:p>
        </w:tc>
      </w:tr>
      <w:tr w:rsidR="001D26E7" w:rsidRPr="00F614F9" w14:paraId="7293D13E" w14:textId="77777777" w:rsidTr="0089355B">
        <w:trPr>
          <w:trHeight w:val="240"/>
        </w:trPr>
        <w:tc>
          <w:tcPr>
            <w:tcW w:w="1134" w:type="dxa"/>
            <w:tcBorders>
              <w:top w:val="single" w:sz="2" w:space="0" w:color="auto"/>
              <w:left w:val="single" w:sz="2" w:space="0" w:color="auto"/>
              <w:bottom w:val="single" w:sz="2" w:space="0" w:color="auto"/>
              <w:right w:val="single" w:sz="2" w:space="0" w:color="auto"/>
            </w:tcBorders>
            <w:vAlign w:val="center"/>
          </w:tcPr>
          <w:p w14:paraId="359F2C9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日</w:t>
            </w:r>
          </w:p>
        </w:tc>
        <w:tc>
          <w:tcPr>
            <w:tcW w:w="851" w:type="dxa"/>
            <w:tcBorders>
              <w:top w:val="single" w:sz="2" w:space="0" w:color="auto"/>
              <w:left w:val="single" w:sz="2" w:space="0" w:color="auto"/>
              <w:bottom w:val="single" w:sz="2" w:space="0" w:color="auto"/>
              <w:right w:val="single" w:sz="2" w:space="0" w:color="auto"/>
            </w:tcBorders>
            <w:vAlign w:val="center"/>
          </w:tcPr>
          <w:p w14:paraId="367E221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公司会议室</w:t>
            </w:r>
          </w:p>
        </w:tc>
        <w:tc>
          <w:tcPr>
            <w:tcW w:w="1134" w:type="dxa"/>
            <w:tcBorders>
              <w:top w:val="single" w:sz="2" w:space="0" w:color="auto"/>
              <w:left w:val="single" w:sz="2" w:space="0" w:color="auto"/>
              <w:bottom w:val="single" w:sz="2" w:space="0" w:color="auto"/>
              <w:right w:val="single" w:sz="2" w:space="0" w:color="auto"/>
            </w:tcBorders>
            <w:vAlign w:val="center"/>
          </w:tcPr>
          <w:p w14:paraId="1FEF0E5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电话沟通</w:t>
            </w:r>
          </w:p>
        </w:tc>
        <w:tc>
          <w:tcPr>
            <w:tcW w:w="850" w:type="dxa"/>
            <w:tcBorders>
              <w:top w:val="single" w:sz="2" w:space="0" w:color="auto"/>
              <w:left w:val="single" w:sz="2" w:space="0" w:color="auto"/>
              <w:bottom w:val="single" w:sz="2" w:space="0" w:color="auto"/>
              <w:right w:val="single" w:sz="2" w:space="0" w:color="auto"/>
            </w:tcBorders>
            <w:vAlign w:val="center"/>
          </w:tcPr>
          <w:p w14:paraId="31062A1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机构</w:t>
            </w:r>
          </w:p>
        </w:tc>
        <w:tc>
          <w:tcPr>
            <w:tcW w:w="2916" w:type="dxa"/>
            <w:tcBorders>
              <w:top w:val="single" w:sz="2" w:space="0" w:color="auto"/>
              <w:left w:val="single" w:sz="2" w:space="0" w:color="auto"/>
              <w:bottom w:val="single" w:sz="2" w:space="0" w:color="auto"/>
              <w:right w:val="single" w:sz="2" w:space="0" w:color="auto"/>
            </w:tcBorders>
            <w:vAlign w:val="center"/>
          </w:tcPr>
          <w:p w14:paraId="5488E82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中信证券、</w:t>
            </w:r>
            <w:proofErr w:type="gramStart"/>
            <w:r w:rsidRPr="00F614F9">
              <w:rPr>
                <w:rFonts w:ascii="Times New Roman" w:eastAsia="宋体" w:hAnsi="Times New Roman" w:cs="宋体"/>
                <w:sz w:val="18"/>
                <w:szCs w:val="18"/>
              </w:rPr>
              <w:t>浙商证券</w:t>
            </w:r>
            <w:proofErr w:type="gramEnd"/>
            <w:r w:rsidRPr="00F614F9">
              <w:rPr>
                <w:rFonts w:ascii="Times New Roman" w:eastAsia="宋体" w:hAnsi="Times New Roman" w:cs="宋体"/>
                <w:sz w:val="18"/>
                <w:szCs w:val="18"/>
              </w:rPr>
              <w:t>、兴业证券、天风证券、国联证券、华泰证券、华鑫证券、华西证券、海通国际证券、太平洋证券、招商证券、华创证券、德</w:t>
            </w:r>
            <w:proofErr w:type="gramStart"/>
            <w:r w:rsidRPr="00F614F9">
              <w:rPr>
                <w:rFonts w:ascii="Times New Roman" w:eastAsia="宋体" w:hAnsi="Times New Roman" w:cs="宋体"/>
                <w:sz w:val="18"/>
                <w:szCs w:val="18"/>
              </w:rPr>
              <w:t>邦</w:t>
            </w:r>
            <w:proofErr w:type="gramEnd"/>
            <w:r w:rsidRPr="00F614F9">
              <w:rPr>
                <w:rFonts w:ascii="Times New Roman" w:eastAsia="宋体" w:hAnsi="Times New Roman" w:cs="宋体"/>
                <w:sz w:val="18"/>
                <w:szCs w:val="18"/>
              </w:rPr>
              <w:t>证券、中</w:t>
            </w:r>
            <w:proofErr w:type="gramStart"/>
            <w:r w:rsidRPr="00F614F9">
              <w:rPr>
                <w:rFonts w:ascii="Times New Roman" w:eastAsia="宋体" w:hAnsi="Times New Roman" w:cs="宋体"/>
                <w:sz w:val="18"/>
                <w:szCs w:val="18"/>
              </w:rPr>
              <w:t>信建投证券</w:t>
            </w:r>
            <w:proofErr w:type="gramEnd"/>
            <w:r w:rsidRPr="00F614F9">
              <w:rPr>
                <w:rFonts w:ascii="Times New Roman" w:eastAsia="宋体" w:hAnsi="Times New Roman" w:cs="宋体"/>
                <w:sz w:val="18"/>
                <w:szCs w:val="18"/>
              </w:rPr>
              <w:t>、国盛证券、东方证券、中原证券、国海证券、方正证券、光大证券、安信证券、信达证券、开源证券、中邮证券、民生食饮、</w:t>
            </w:r>
            <w:proofErr w:type="gramStart"/>
            <w:r w:rsidRPr="00F614F9">
              <w:rPr>
                <w:rFonts w:ascii="Times New Roman" w:eastAsia="宋体" w:hAnsi="Times New Roman" w:cs="宋体"/>
                <w:sz w:val="18"/>
                <w:szCs w:val="18"/>
              </w:rPr>
              <w:t>汇添富</w:t>
            </w:r>
            <w:proofErr w:type="gramEnd"/>
            <w:r w:rsidRPr="00F614F9">
              <w:rPr>
                <w:rFonts w:ascii="Times New Roman" w:eastAsia="宋体" w:hAnsi="Times New Roman" w:cs="宋体"/>
                <w:sz w:val="18"/>
                <w:szCs w:val="18"/>
              </w:rPr>
              <w:t>基金、华泰资管、汉泽基金、</w:t>
            </w:r>
            <w:proofErr w:type="gramStart"/>
            <w:r w:rsidRPr="00F614F9">
              <w:rPr>
                <w:rFonts w:ascii="Times New Roman" w:eastAsia="宋体" w:hAnsi="Times New Roman" w:cs="宋体"/>
                <w:sz w:val="18"/>
                <w:szCs w:val="18"/>
              </w:rPr>
              <w:t>厚熙投资</w:t>
            </w:r>
            <w:proofErr w:type="gramEnd"/>
            <w:r w:rsidRPr="00F614F9">
              <w:rPr>
                <w:rFonts w:ascii="Times New Roman" w:eastAsia="宋体" w:hAnsi="Times New Roman" w:cs="宋体"/>
                <w:sz w:val="18"/>
                <w:szCs w:val="18"/>
              </w:rPr>
              <w:t>、丰仓基金、</w:t>
            </w:r>
            <w:proofErr w:type="gramStart"/>
            <w:r w:rsidRPr="00F614F9">
              <w:rPr>
                <w:rFonts w:ascii="Times New Roman" w:eastAsia="宋体" w:hAnsi="Times New Roman" w:cs="宋体"/>
                <w:sz w:val="18"/>
                <w:szCs w:val="18"/>
              </w:rPr>
              <w:t>胤</w:t>
            </w:r>
            <w:proofErr w:type="gramEnd"/>
            <w:r w:rsidRPr="00F614F9">
              <w:rPr>
                <w:rFonts w:ascii="Times New Roman" w:eastAsia="宋体" w:hAnsi="Times New Roman" w:cs="宋体"/>
                <w:sz w:val="18"/>
                <w:szCs w:val="18"/>
              </w:rPr>
              <w:t>胜资产、</w:t>
            </w:r>
            <w:proofErr w:type="gramStart"/>
            <w:r w:rsidRPr="00F614F9">
              <w:rPr>
                <w:rFonts w:ascii="Times New Roman" w:eastAsia="宋体" w:hAnsi="Times New Roman" w:cs="宋体"/>
                <w:sz w:val="18"/>
                <w:szCs w:val="18"/>
              </w:rPr>
              <w:t>恒识投资</w:t>
            </w:r>
            <w:proofErr w:type="gramEnd"/>
            <w:r w:rsidRPr="00F614F9">
              <w:rPr>
                <w:rFonts w:ascii="Times New Roman" w:eastAsia="宋体" w:hAnsi="Times New Roman" w:cs="宋体"/>
                <w:sz w:val="18"/>
                <w:szCs w:val="18"/>
              </w:rPr>
              <w:t>、</w:t>
            </w:r>
            <w:r w:rsidRPr="00F614F9">
              <w:rPr>
                <w:rFonts w:ascii="Times New Roman" w:eastAsia="宋体" w:hAnsi="Times New Roman" w:cs="宋体"/>
                <w:sz w:val="18"/>
                <w:szCs w:val="18"/>
              </w:rPr>
              <w:t>Lincoln Square Capita1</w:t>
            </w:r>
            <w:r w:rsidRPr="00F614F9">
              <w:rPr>
                <w:rFonts w:ascii="Times New Roman" w:eastAsia="宋体" w:hAnsi="Times New Roman" w:cs="宋体"/>
                <w:sz w:val="18"/>
                <w:szCs w:val="18"/>
              </w:rPr>
              <w:t>、民生加银基金、</w:t>
            </w:r>
            <w:proofErr w:type="gramStart"/>
            <w:r w:rsidRPr="00F614F9">
              <w:rPr>
                <w:rFonts w:ascii="Times New Roman" w:eastAsia="宋体" w:hAnsi="Times New Roman" w:cs="宋体"/>
                <w:sz w:val="18"/>
                <w:szCs w:val="18"/>
              </w:rPr>
              <w:t>敦</w:t>
            </w:r>
            <w:proofErr w:type="gramEnd"/>
            <w:r w:rsidRPr="00F614F9">
              <w:rPr>
                <w:rFonts w:ascii="Times New Roman" w:eastAsia="宋体" w:hAnsi="Times New Roman" w:cs="宋体"/>
                <w:sz w:val="18"/>
                <w:szCs w:val="18"/>
              </w:rPr>
              <w:t>和资产、中金公司、青</w:t>
            </w:r>
            <w:proofErr w:type="gramStart"/>
            <w:r w:rsidRPr="00F614F9">
              <w:rPr>
                <w:rFonts w:ascii="Times New Roman" w:eastAsia="宋体" w:hAnsi="Times New Roman" w:cs="宋体"/>
                <w:sz w:val="18"/>
                <w:szCs w:val="18"/>
              </w:rPr>
              <w:t>骊</w:t>
            </w:r>
            <w:proofErr w:type="gramEnd"/>
            <w:r w:rsidRPr="00F614F9">
              <w:rPr>
                <w:rFonts w:ascii="Times New Roman" w:eastAsia="宋体" w:hAnsi="Times New Roman" w:cs="宋体"/>
                <w:sz w:val="18"/>
                <w:szCs w:val="18"/>
              </w:rPr>
              <w:t>投资、银华基金、</w:t>
            </w:r>
            <w:proofErr w:type="gramStart"/>
            <w:r w:rsidRPr="00F614F9">
              <w:rPr>
                <w:rFonts w:ascii="Times New Roman" w:eastAsia="宋体" w:hAnsi="Times New Roman" w:cs="宋体"/>
                <w:sz w:val="18"/>
                <w:szCs w:val="18"/>
              </w:rPr>
              <w:t>恒穗资产</w:t>
            </w:r>
            <w:proofErr w:type="gramEnd"/>
            <w:r w:rsidRPr="00F614F9">
              <w:rPr>
                <w:rFonts w:ascii="Times New Roman" w:eastAsia="宋体" w:hAnsi="Times New Roman" w:cs="宋体"/>
                <w:sz w:val="18"/>
                <w:szCs w:val="18"/>
              </w:rPr>
              <w:t>、</w:t>
            </w:r>
            <w:proofErr w:type="gramStart"/>
            <w:r w:rsidRPr="00F614F9">
              <w:rPr>
                <w:rFonts w:ascii="Times New Roman" w:eastAsia="宋体" w:hAnsi="Times New Roman" w:cs="宋体"/>
                <w:sz w:val="18"/>
                <w:szCs w:val="18"/>
              </w:rPr>
              <w:t>梦定投资</w:t>
            </w:r>
            <w:proofErr w:type="gramEnd"/>
            <w:r w:rsidRPr="00F614F9">
              <w:rPr>
                <w:rFonts w:ascii="Times New Roman" w:eastAsia="宋体" w:hAnsi="Times New Roman" w:cs="宋体"/>
                <w:sz w:val="18"/>
                <w:szCs w:val="18"/>
              </w:rPr>
              <w:t>、建信基金、长江资管、思</w:t>
            </w:r>
            <w:proofErr w:type="gramStart"/>
            <w:r w:rsidRPr="00F614F9">
              <w:rPr>
                <w:rFonts w:ascii="Times New Roman" w:eastAsia="宋体" w:hAnsi="Times New Roman" w:cs="宋体"/>
                <w:sz w:val="18"/>
                <w:szCs w:val="18"/>
              </w:rPr>
              <w:t>梵</w:t>
            </w:r>
            <w:proofErr w:type="gramEnd"/>
            <w:r w:rsidRPr="00F614F9">
              <w:rPr>
                <w:rFonts w:ascii="Times New Roman" w:eastAsia="宋体" w:hAnsi="Times New Roman" w:cs="宋体"/>
                <w:sz w:val="18"/>
                <w:szCs w:val="18"/>
              </w:rPr>
              <w:t>投资、国泰基金、嘉实基金、宝盈基金、和谐健康险、鸿商集团、人保资产、</w:t>
            </w:r>
            <w:proofErr w:type="gramStart"/>
            <w:r w:rsidRPr="00F614F9">
              <w:rPr>
                <w:rFonts w:ascii="Times New Roman" w:eastAsia="宋体" w:hAnsi="Times New Roman" w:cs="宋体"/>
                <w:sz w:val="18"/>
                <w:szCs w:val="18"/>
              </w:rPr>
              <w:t>景泰利</w:t>
            </w:r>
            <w:proofErr w:type="gramEnd"/>
            <w:r w:rsidRPr="00F614F9">
              <w:rPr>
                <w:rFonts w:ascii="Times New Roman" w:eastAsia="宋体" w:hAnsi="Times New Roman" w:cs="宋体"/>
                <w:sz w:val="18"/>
                <w:szCs w:val="18"/>
              </w:rPr>
              <w:t>丰、</w:t>
            </w:r>
            <w:proofErr w:type="gramStart"/>
            <w:r w:rsidRPr="00F614F9">
              <w:rPr>
                <w:rFonts w:ascii="Times New Roman" w:eastAsia="宋体" w:hAnsi="Times New Roman" w:cs="宋体"/>
                <w:sz w:val="18"/>
                <w:szCs w:val="18"/>
              </w:rPr>
              <w:t>中融基金</w:t>
            </w:r>
            <w:proofErr w:type="gramEnd"/>
            <w:r w:rsidRPr="00F614F9">
              <w:rPr>
                <w:rFonts w:ascii="Times New Roman" w:eastAsia="宋体" w:hAnsi="Times New Roman" w:cs="宋体"/>
                <w:sz w:val="18"/>
                <w:szCs w:val="18"/>
              </w:rPr>
              <w:t>、</w:t>
            </w:r>
            <w:proofErr w:type="gramStart"/>
            <w:r w:rsidRPr="00F614F9">
              <w:rPr>
                <w:rFonts w:ascii="Times New Roman" w:eastAsia="宋体" w:hAnsi="Times New Roman" w:cs="宋体"/>
                <w:sz w:val="18"/>
                <w:szCs w:val="18"/>
              </w:rPr>
              <w:t>永赢基金</w:t>
            </w:r>
            <w:proofErr w:type="gramEnd"/>
            <w:r w:rsidRPr="00F614F9">
              <w:rPr>
                <w:rFonts w:ascii="Times New Roman" w:eastAsia="宋体" w:hAnsi="Times New Roman" w:cs="宋体"/>
                <w:sz w:val="18"/>
                <w:szCs w:val="18"/>
              </w:rPr>
              <w:t>、</w:t>
            </w:r>
            <w:proofErr w:type="gramStart"/>
            <w:r w:rsidRPr="00F614F9">
              <w:rPr>
                <w:rFonts w:ascii="Times New Roman" w:eastAsia="宋体" w:hAnsi="Times New Roman" w:cs="宋体"/>
                <w:sz w:val="18"/>
                <w:szCs w:val="18"/>
              </w:rPr>
              <w:t>域秀资产</w:t>
            </w:r>
            <w:proofErr w:type="gramEnd"/>
            <w:r w:rsidRPr="00F614F9">
              <w:rPr>
                <w:rFonts w:ascii="Times New Roman" w:eastAsia="宋体" w:hAnsi="Times New Roman" w:cs="宋体"/>
                <w:sz w:val="18"/>
                <w:szCs w:val="18"/>
              </w:rPr>
              <w:t>、北信瑞丰、成泉资本、趣时资产、外贸信托、上汽</w:t>
            </w:r>
            <w:proofErr w:type="gramStart"/>
            <w:r w:rsidRPr="00F614F9">
              <w:rPr>
                <w:rFonts w:ascii="Times New Roman" w:eastAsia="宋体" w:hAnsi="Times New Roman" w:cs="宋体"/>
                <w:sz w:val="18"/>
                <w:szCs w:val="18"/>
              </w:rPr>
              <w:t>颀臻</w:t>
            </w:r>
            <w:proofErr w:type="gramEnd"/>
            <w:r w:rsidRPr="00F614F9">
              <w:rPr>
                <w:rFonts w:ascii="Times New Roman" w:eastAsia="宋体" w:hAnsi="Times New Roman" w:cs="宋体"/>
                <w:sz w:val="18"/>
                <w:szCs w:val="18"/>
              </w:rPr>
              <w:t>、</w:t>
            </w:r>
            <w:proofErr w:type="gramStart"/>
            <w:r w:rsidRPr="00F614F9">
              <w:rPr>
                <w:rFonts w:ascii="Times New Roman" w:eastAsia="宋体" w:hAnsi="Times New Roman" w:cs="宋体"/>
                <w:sz w:val="18"/>
                <w:szCs w:val="18"/>
              </w:rPr>
              <w:t>铸信诚</w:t>
            </w:r>
            <w:proofErr w:type="gramEnd"/>
            <w:r w:rsidRPr="00F614F9">
              <w:rPr>
                <w:rFonts w:ascii="Times New Roman" w:eastAsia="宋体" w:hAnsi="Times New Roman" w:cs="宋体"/>
                <w:sz w:val="18"/>
                <w:szCs w:val="18"/>
              </w:rPr>
              <w:t>、歌</w:t>
            </w:r>
            <w:proofErr w:type="gramStart"/>
            <w:r w:rsidRPr="00F614F9">
              <w:rPr>
                <w:rFonts w:ascii="Times New Roman" w:eastAsia="宋体" w:hAnsi="Times New Roman" w:cs="宋体"/>
                <w:sz w:val="18"/>
                <w:szCs w:val="18"/>
              </w:rPr>
              <w:t>斐</w:t>
            </w:r>
            <w:proofErr w:type="gramEnd"/>
            <w:r w:rsidRPr="00F614F9">
              <w:rPr>
                <w:rFonts w:ascii="Times New Roman" w:eastAsia="宋体" w:hAnsi="Times New Roman" w:cs="宋体"/>
                <w:sz w:val="18"/>
                <w:szCs w:val="18"/>
              </w:rPr>
              <w:t>资</w:t>
            </w:r>
            <w:r w:rsidRPr="00F614F9">
              <w:rPr>
                <w:rFonts w:ascii="Times New Roman" w:eastAsia="宋体" w:hAnsi="Times New Roman" w:cs="宋体"/>
                <w:sz w:val="18"/>
                <w:szCs w:val="18"/>
              </w:rPr>
              <w:lastRenderedPageBreak/>
              <w:t>产、高腾国际、海润达资产、景裕资产、</w:t>
            </w:r>
            <w:proofErr w:type="gramStart"/>
            <w:r w:rsidRPr="00F614F9">
              <w:rPr>
                <w:rFonts w:ascii="Times New Roman" w:eastAsia="宋体" w:hAnsi="Times New Roman" w:cs="宋体"/>
                <w:sz w:val="18"/>
                <w:szCs w:val="18"/>
              </w:rPr>
              <w:t>遵</w:t>
            </w:r>
            <w:proofErr w:type="gramEnd"/>
            <w:r w:rsidRPr="00F614F9">
              <w:rPr>
                <w:rFonts w:ascii="Times New Roman" w:eastAsia="宋体" w:hAnsi="Times New Roman" w:cs="宋体"/>
                <w:sz w:val="18"/>
                <w:szCs w:val="18"/>
              </w:rPr>
              <w:t>道资产、仁布投资、粒子基金等</w:t>
            </w:r>
            <w:r w:rsidRPr="00F614F9">
              <w:rPr>
                <w:rFonts w:ascii="Times New Roman" w:eastAsia="宋体" w:hAnsi="Times New Roman" w:cs="宋体"/>
                <w:sz w:val="18"/>
                <w:szCs w:val="18"/>
              </w:rPr>
              <w:t>78</w:t>
            </w:r>
            <w:r w:rsidRPr="00F614F9">
              <w:rPr>
                <w:rFonts w:ascii="Times New Roman" w:eastAsia="宋体" w:hAnsi="Times New Roman" w:cs="宋体"/>
                <w:sz w:val="18"/>
                <w:szCs w:val="18"/>
              </w:rPr>
              <w:t>位投资者</w:t>
            </w:r>
          </w:p>
        </w:tc>
        <w:tc>
          <w:tcPr>
            <w:tcW w:w="1377" w:type="dxa"/>
            <w:tcBorders>
              <w:top w:val="single" w:sz="2" w:space="0" w:color="auto"/>
              <w:left w:val="single" w:sz="2" w:space="0" w:color="auto"/>
              <w:bottom w:val="single" w:sz="2" w:space="0" w:color="auto"/>
              <w:right w:val="single" w:sz="2" w:space="0" w:color="auto"/>
            </w:tcBorders>
            <w:vAlign w:val="center"/>
          </w:tcPr>
          <w:p w14:paraId="233F046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公司</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年全年经营情况、</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季度主要业绩及</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年经营规划；未提供书面资料。</w:t>
            </w:r>
          </w:p>
        </w:tc>
        <w:tc>
          <w:tcPr>
            <w:tcW w:w="1377" w:type="dxa"/>
            <w:tcBorders>
              <w:top w:val="single" w:sz="2" w:space="0" w:color="auto"/>
              <w:left w:val="single" w:sz="2" w:space="0" w:color="auto"/>
              <w:bottom w:val="single" w:sz="2" w:space="0" w:color="auto"/>
              <w:right w:val="single" w:sz="2" w:space="0" w:color="auto"/>
            </w:tcBorders>
            <w:vAlign w:val="center"/>
          </w:tcPr>
          <w:p w14:paraId="43997E6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公司于</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5</w:t>
            </w:r>
            <w:r w:rsidRPr="00F614F9">
              <w:rPr>
                <w:rFonts w:ascii="Times New Roman" w:eastAsia="宋体" w:hAnsi="Times New Roman" w:cs="宋体"/>
                <w:sz w:val="18"/>
                <w:szCs w:val="18"/>
              </w:rPr>
              <w:t>日刊登在巨潮资讯网上的《龙大美食：</w:t>
            </w:r>
            <w:r w:rsidRPr="00F614F9">
              <w:rPr>
                <w:rFonts w:ascii="Times New Roman" w:eastAsia="宋体" w:hAnsi="Times New Roman" w:cs="宋体"/>
                <w:sz w:val="18"/>
                <w:szCs w:val="18"/>
              </w:rPr>
              <w:t>002726</w:t>
            </w:r>
            <w:r w:rsidRPr="00F614F9">
              <w:rPr>
                <w:rFonts w:ascii="Times New Roman" w:eastAsia="宋体" w:hAnsi="Times New Roman" w:cs="宋体"/>
                <w:sz w:val="18"/>
                <w:szCs w:val="18"/>
              </w:rPr>
              <w:t>龙大美食投资者关系管理档案</w:t>
            </w:r>
            <w:r w:rsidRPr="00F614F9">
              <w:rPr>
                <w:rFonts w:ascii="Times New Roman" w:eastAsia="宋体" w:hAnsi="Times New Roman" w:cs="宋体"/>
                <w:sz w:val="18"/>
                <w:szCs w:val="18"/>
              </w:rPr>
              <w:t>20230505</w:t>
            </w:r>
            <w:r w:rsidRPr="00F614F9">
              <w:rPr>
                <w:rFonts w:ascii="Times New Roman" w:eastAsia="宋体" w:hAnsi="Times New Roman" w:cs="宋体"/>
                <w:sz w:val="18"/>
                <w:szCs w:val="18"/>
              </w:rPr>
              <w:t>》编号：</w:t>
            </w:r>
            <w:r w:rsidRPr="00F614F9">
              <w:rPr>
                <w:rFonts w:ascii="Times New Roman" w:eastAsia="宋体" w:hAnsi="Times New Roman" w:cs="宋体"/>
                <w:sz w:val="18"/>
                <w:szCs w:val="18"/>
              </w:rPr>
              <w:t>2023-01.</w:t>
            </w:r>
          </w:p>
        </w:tc>
      </w:tr>
      <w:tr w:rsidR="001D26E7" w:rsidRPr="00F614F9" w14:paraId="3F3A1FDE" w14:textId="77777777" w:rsidTr="0089355B">
        <w:trPr>
          <w:trHeight w:val="240"/>
        </w:trPr>
        <w:tc>
          <w:tcPr>
            <w:tcW w:w="1134" w:type="dxa"/>
            <w:tcBorders>
              <w:top w:val="single" w:sz="2" w:space="0" w:color="auto"/>
              <w:left w:val="single" w:sz="2" w:space="0" w:color="auto"/>
              <w:bottom w:val="single" w:sz="2" w:space="0" w:color="auto"/>
              <w:right w:val="single" w:sz="2" w:space="0" w:color="auto"/>
            </w:tcBorders>
            <w:vAlign w:val="center"/>
          </w:tcPr>
          <w:p w14:paraId="2BCF39D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日</w:t>
            </w:r>
          </w:p>
        </w:tc>
        <w:tc>
          <w:tcPr>
            <w:tcW w:w="851" w:type="dxa"/>
            <w:tcBorders>
              <w:top w:val="single" w:sz="2" w:space="0" w:color="auto"/>
              <w:left w:val="single" w:sz="2" w:space="0" w:color="auto"/>
              <w:bottom w:val="single" w:sz="2" w:space="0" w:color="auto"/>
              <w:right w:val="single" w:sz="2" w:space="0" w:color="auto"/>
            </w:tcBorders>
            <w:vAlign w:val="center"/>
          </w:tcPr>
          <w:p w14:paraId="47EA28B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龙大美食投资者关系</w:t>
            </w:r>
            <w:r w:rsidRPr="00F614F9">
              <w:rPr>
                <w:rFonts w:ascii="Times New Roman" w:eastAsia="宋体" w:hAnsi="Times New Roman" w:cs="宋体"/>
                <w:sz w:val="18"/>
                <w:szCs w:val="18"/>
              </w:rPr>
              <w:t>”</w:t>
            </w:r>
            <w:proofErr w:type="gramStart"/>
            <w:r w:rsidRPr="00F614F9">
              <w:rPr>
                <w:rFonts w:ascii="Times New Roman" w:eastAsia="宋体" w:hAnsi="Times New Roman" w:cs="宋体"/>
                <w:sz w:val="18"/>
                <w:szCs w:val="18"/>
              </w:rPr>
              <w:t>微信小</w:t>
            </w:r>
            <w:proofErr w:type="gramEnd"/>
            <w:r w:rsidRPr="00F614F9">
              <w:rPr>
                <w:rFonts w:ascii="Times New Roman" w:eastAsia="宋体" w:hAnsi="Times New Roman" w:cs="宋体"/>
                <w:sz w:val="18"/>
                <w:szCs w:val="18"/>
              </w:rPr>
              <w:t>程序</w:t>
            </w:r>
          </w:p>
        </w:tc>
        <w:tc>
          <w:tcPr>
            <w:tcW w:w="1134" w:type="dxa"/>
            <w:tcBorders>
              <w:top w:val="single" w:sz="2" w:space="0" w:color="auto"/>
              <w:left w:val="single" w:sz="2" w:space="0" w:color="auto"/>
              <w:bottom w:val="single" w:sz="2" w:space="0" w:color="auto"/>
              <w:right w:val="single" w:sz="2" w:space="0" w:color="auto"/>
            </w:tcBorders>
            <w:vAlign w:val="center"/>
          </w:tcPr>
          <w:p w14:paraId="7D2814B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850" w:type="dxa"/>
            <w:tcBorders>
              <w:top w:val="single" w:sz="2" w:space="0" w:color="auto"/>
              <w:left w:val="single" w:sz="2" w:space="0" w:color="auto"/>
              <w:bottom w:val="single" w:sz="2" w:space="0" w:color="auto"/>
              <w:right w:val="single" w:sz="2" w:space="0" w:color="auto"/>
            </w:tcBorders>
            <w:vAlign w:val="center"/>
          </w:tcPr>
          <w:p w14:paraId="05AFD1C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2916" w:type="dxa"/>
            <w:tcBorders>
              <w:top w:val="single" w:sz="2" w:space="0" w:color="auto"/>
              <w:left w:val="single" w:sz="2" w:space="0" w:color="auto"/>
              <w:bottom w:val="single" w:sz="2" w:space="0" w:color="auto"/>
              <w:right w:val="single" w:sz="2" w:space="0" w:color="auto"/>
            </w:tcBorders>
            <w:vAlign w:val="center"/>
          </w:tcPr>
          <w:p w14:paraId="4510822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通过</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龙大美食投资者关系</w:t>
            </w:r>
            <w:r w:rsidRPr="00F614F9">
              <w:rPr>
                <w:rFonts w:ascii="Times New Roman" w:eastAsia="宋体" w:hAnsi="Times New Roman" w:cs="宋体"/>
                <w:sz w:val="18"/>
                <w:szCs w:val="18"/>
              </w:rPr>
              <w:t>”</w:t>
            </w:r>
            <w:proofErr w:type="gramStart"/>
            <w:r w:rsidRPr="00F614F9">
              <w:rPr>
                <w:rFonts w:ascii="Times New Roman" w:eastAsia="宋体" w:hAnsi="Times New Roman" w:cs="宋体"/>
                <w:sz w:val="18"/>
                <w:szCs w:val="18"/>
              </w:rPr>
              <w:t>微信小</w:t>
            </w:r>
            <w:proofErr w:type="gramEnd"/>
            <w:r w:rsidRPr="00F614F9">
              <w:rPr>
                <w:rFonts w:ascii="Times New Roman" w:eastAsia="宋体" w:hAnsi="Times New Roman" w:cs="宋体"/>
                <w:sz w:val="18"/>
                <w:szCs w:val="18"/>
              </w:rPr>
              <w:t>程序参与公司</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年度网上业绩说明会的广大投资者</w:t>
            </w:r>
          </w:p>
        </w:tc>
        <w:tc>
          <w:tcPr>
            <w:tcW w:w="1377" w:type="dxa"/>
            <w:tcBorders>
              <w:top w:val="single" w:sz="2" w:space="0" w:color="auto"/>
              <w:left w:val="single" w:sz="2" w:space="0" w:color="auto"/>
              <w:bottom w:val="single" w:sz="2" w:space="0" w:color="auto"/>
              <w:right w:val="single" w:sz="2" w:space="0" w:color="auto"/>
            </w:tcBorders>
            <w:vAlign w:val="center"/>
          </w:tcPr>
          <w:p w14:paraId="255E2CD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年全年经营情况、</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季度主要业绩及</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年经营规划；未提供书面资料。</w:t>
            </w:r>
          </w:p>
        </w:tc>
        <w:tc>
          <w:tcPr>
            <w:tcW w:w="1377" w:type="dxa"/>
            <w:tcBorders>
              <w:top w:val="single" w:sz="2" w:space="0" w:color="auto"/>
              <w:left w:val="single" w:sz="2" w:space="0" w:color="auto"/>
              <w:bottom w:val="single" w:sz="2" w:space="0" w:color="auto"/>
              <w:right w:val="single" w:sz="2" w:space="0" w:color="auto"/>
            </w:tcBorders>
            <w:vAlign w:val="center"/>
          </w:tcPr>
          <w:p w14:paraId="28EA4A8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公司于</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5</w:t>
            </w:r>
            <w:r w:rsidRPr="00F614F9">
              <w:rPr>
                <w:rFonts w:ascii="Times New Roman" w:eastAsia="宋体" w:hAnsi="Times New Roman" w:cs="宋体"/>
                <w:sz w:val="18"/>
                <w:szCs w:val="18"/>
              </w:rPr>
              <w:t>日刊登在巨潮资讯网上的《龙大美食：</w:t>
            </w:r>
            <w:r w:rsidRPr="00F614F9">
              <w:rPr>
                <w:rFonts w:ascii="Times New Roman" w:eastAsia="宋体" w:hAnsi="Times New Roman" w:cs="宋体"/>
                <w:sz w:val="18"/>
                <w:szCs w:val="18"/>
              </w:rPr>
              <w:t>002726</w:t>
            </w:r>
            <w:r w:rsidRPr="00F614F9">
              <w:rPr>
                <w:rFonts w:ascii="Times New Roman" w:eastAsia="宋体" w:hAnsi="Times New Roman" w:cs="宋体"/>
                <w:sz w:val="18"/>
                <w:szCs w:val="18"/>
              </w:rPr>
              <w:t>龙大美食投资者关系管理档案</w:t>
            </w:r>
            <w:r w:rsidRPr="00F614F9">
              <w:rPr>
                <w:rFonts w:ascii="Times New Roman" w:eastAsia="宋体" w:hAnsi="Times New Roman" w:cs="宋体"/>
                <w:sz w:val="18"/>
                <w:szCs w:val="18"/>
              </w:rPr>
              <w:t>20230505</w:t>
            </w:r>
            <w:r w:rsidRPr="00F614F9">
              <w:rPr>
                <w:rFonts w:ascii="Times New Roman" w:eastAsia="宋体" w:hAnsi="Times New Roman" w:cs="宋体"/>
                <w:sz w:val="18"/>
                <w:szCs w:val="18"/>
              </w:rPr>
              <w:t>》编号：</w:t>
            </w:r>
            <w:r w:rsidRPr="00F614F9">
              <w:rPr>
                <w:rFonts w:ascii="Times New Roman" w:eastAsia="宋体" w:hAnsi="Times New Roman" w:cs="宋体"/>
                <w:sz w:val="18"/>
                <w:szCs w:val="18"/>
              </w:rPr>
              <w:t>2023-02.</w:t>
            </w:r>
          </w:p>
        </w:tc>
      </w:tr>
      <w:tr w:rsidR="001D26E7" w:rsidRPr="00F614F9" w14:paraId="52AF3A6C" w14:textId="77777777" w:rsidTr="0089355B">
        <w:trPr>
          <w:trHeight w:val="240"/>
        </w:trPr>
        <w:tc>
          <w:tcPr>
            <w:tcW w:w="1134" w:type="dxa"/>
            <w:tcBorders>
              <w:top w:val="single" w:sz="2" w:space="0" w:color="auto"/>
              <w:left w:val="single" w:sz="2" w:space="0" w:color="auto"/>
              <w:bottom w:val="single" w:sz="2" w:space="0" w:color="auto"/>
              <w:right w:val="single" w:sz="2" w:space="0" w:color="auto"/>
            </w:tcBorders>
            <w:vAlign w:val="center"/>
          </w:tcPr>
          <w:p w14:paraId="33E5670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09</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日</w:t>
            </w:r>
          </w:p>
        </w:tc>
        <w:tc>
          <w:tcPr>
            <w:tcW w:w="851" w:type="dxa"/>
            <w:tcBorders>
              <w:top w:val="single" w:sz="2" w:space="0" w:color="auto"/>
              <w:left w:val="single" w:sz="2" w:space="0" w:color="auto"/>
              <w:bottom w:val="single" w:sz="2" w:space="0" w:color="auto"/>
              <w:right w:val="single" w:sz="2" w:space="0" w:color="auto"/>
            </w:tcBorders>
            <w:vAlign w:val="center"/>
          </w:tcPr>
          <w:p w14:paraId="02AE808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公司会议室</w:t>
            </w:r>
          </w:p>
        </w:tc>
        <w:tc>
          <w:tcPr>
            <w:tcW w:w="1134" w:type="dxa"/>
            <w:tcBorders>
              <w:top w:val="single" w:sz="2" w:space="0" w:color="auto"/>
              <w:left w:val="single" w:sz="2" w:space="0" w:color="auto"/>
              <w:bottom w:val="single" w:sz="2" w:space="0" w:color="auto"/>
              <w:right w:val="single" w:sz="2" w:space="0" w:color="auto"/>
            </w:tcBorders>
            <w:vAlign w:val="center"/>
          </w:tcPr>
          <w:p w14:paraId="7B84FCE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电话沟通</w:t>
            </w:r>
          </w:p>
        </w:tc>
        <w:tc>
          <w:tcPr>
            <w:tcW w:w="850" w:type="dxa"/>
            <w:tcBorders>
              <w:top w:val="single" w:sz="2" w:space="0" w:color="auto"/>
              <w:left w:val="single" w:sz="2" w:space="0" w:color="auto"/>
              <w:bottom w:val="single" w:sz="2" w:space="0" w:color="auto"/>
              <w:right w:val="single" w:sz="2" w:space="0" w:color="auto"/>
            </w:tcBorders>
            <w:vAlign w:val="center"/>
          </w:tcPr>
          <w:p w14:paraId="37E7FA0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机构</w:t>
            </w:r>
          </w:p>
        </w:tc>
        <w:tc>
          <w:tcPr>
            <w:tcW w:w="2916" w:type="dxa"/>
            <w:tcBorders>
              <w:top w:val="single" w:sz="2" w:space="0" w:color="auto"/>
              <w:left w:val="single" w:sz="2" w:space="0" w:color="auto"/>
              <w:bottom w:val="single" w:sz="2" w:space="0" w:color="auto"/>
              <w:right w:val="single" w:sz="2" w:space="0" w:color="auto"/>
            </w:tcBorders>
            <w:vAlign w:val="center"/>
          </w:tcPr>
          <w:p w14:paraId="5970892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嘉实基金、景顺长城、建信基金、</w:t>
            </w:r>
            <w:proofErr w:type="gramStart"/>
            <w:r w:rsidRPr="00F614F9">
              <w:rPr>
                <w:rFonts w:ascii="Times New Roman" w:eastAsia="宋体" w:hAnsi="Times New Roman" w:cs="宋体"/>
                <w:sz w:val="18"/>
                <w:szCs w:val="18"/>
              </w:rPr>
              <w:t>鑫</w:t>
            </w:r>
            <w:proofErr w:type="gramEnd"/>
            <w:r w:rsidRPr="00F614F9">
              <w:rPr>
                <w:rFonts w:ascii="Times New Roman" w:eastAsia="宋体" w:hAnsi="Times New Roman" w:cs="宋体"/>
                <w:sz w:val="18"/>
                <w:szCs w:val="18"/>
              </w:rPr>
              <w:t>元基金、青</w:t>
            </w:r>
            <w:proofErr w:type="gramStart"/>
            <w:r w:rsidRPr="00F614F9">
              <w:rPr>
                <w:rFonts w:ascii="Times New Roman" w:eastAsia="宋体" w:hAnsi="Times New Roman" w:cs="宋体"/>
                <w:sz w:val="18"/>
                <w:szCs w:val="18"/>
              </w:rPr>
              <w:t>骊</w:t>
            </w:r>
            <w:proofErr w:type="gramEnd"/>
            <w:r w:rsidRPr="00F614F9">
              <w:rPr>
                <w:rFonts w:ascii="Times New Roman" w:eastAsia="宋体" w:hAnsi="Times New Roman" w:cs="宋体"/>
                <w:sz w:val="18"/>
                <w:szCs w:val="18"/>
              </w:rPr>
              <w:t>投资、</w:t>
            </w:r>
            <w:proofErr w:type="gramStart"/>
            <w:r w:rsidRPr="00F614F9">
              <w:rPr>
                <w:rFonts w:ascii="Times New Roman" w:eastAsia="宋体" w:hAnsi="Times New Roman" w:cs="宋体"/>
                <w:sz w:val="18"/>
                <w:szCs w:val="18"/>
              </w:rPr>
              <w:t>旌</w:t>
            </w:r>
            <w:proofErr w:type="gramEnd"/>
            <w:r w:rsidRPr="00F614F9">
              <w:rPr>
                <w:rFonts w:ascii="Times New Roman" w:eastAsia="宋体" w:hAnsi="Times New Roman" w:cs="宋体"/>
                <w:sz w:val="18"/>
                <w:szCs w:val="18"/>
              </w:rPr>
              <w:t>安投资百川投资、</w:t>
            </w:r>
            <w:proofErr w:type="gramStart"/>
            <w:r w:rsidRPr="00F614F9">
              <w:rPr>
                <w:rFonts w:ascii="Times New Roman" w:eastAsia="宋体" w:hAnsi="Times New Roman" w:cs="宋体"/>
                <w:sz w:val="18"/>
                <w:szCs w:val="18"/>
              </w:rPr>
              <w:t>晟</w:t>
            </w:r>
            <w:proofErr w:type="gramEnd"/>
            <w:r w:rsidRPr="00F614F9">
              <w:rPr>
                <w:rFonts w:ascii="Times New Roman" w:eastAsia="宋体" w:hAnsi="Times New Roman" w:cs="宋体"/>
                <w:sz w:val="18"/>
                <w:szCs w:val="18"/>
              </w:rPr>
              <w:t>茗投资、</w:t>
            </w:r>
            <w:proofErr w:type="gramStart"/>
            <w:r w:rsidRPr="00F614F9">
              <w:rPr>
                <w:rFonts w:ascii="Times New Roman" w:eastAsia="宋体" w:hAnsi="Times New Roman" w:cs="宋体"/>
                <w:sz w:val="18"/>
                <w:szCs w:val="18"/>
              </w:rPr>
              <w:t>中阅资本</w:t>
            </w:r>
            <w:proofErr w:type="gramEnd"/>
            <w:r w:rsidRPr="00F614F9">
              <w:rPr>
                <w:rFonts w:ascii="Times New Roman" w:eastAsia="宋体" w:hAnsi="Times New Roman" w:cs="宋体"/>
                <w:sz w:val="18"/>
                <w:szCs w:val="18"/>
              </w:rPr>
              <w:t>、华鑫证券、</w:t>
            </w:r>
            <w:proofErr w:type="gramStart"/>
            <w:r w:rsidRPr="00F614F9">
              <w:rPr>
                <w:rFonts w:ascii="Times New Roman" w:eastAsia="宋体" w:hAnsi="Times New Roman" w:cs="宋体"/>
                <w:sz w:val="18"/>
                <w:szCs w:val="18"/>
              </w:rPr>
              <w:t>浙商证券</w:t>
            </w:r>
            <w:proofErr w:type="gramEnd"/>
            <w:r w:rsidRPr="00F614F9">
              <w:rPr>
                <w:rFonts w:ascii="Times New Roman" w:eastAsia="宋体" w:hAnsi="Times New Roman" w:cs="宋体"/>
                <w:sz w:val="18"/>
                <w:szCs w:val="18"/>
              </w:rPr>
              <w:t>、兴业</w:t>
            </w:r>
            <w:proofErr w:type="gramStart"/>
            <w:r w:rsidRPr="00F614F9">
              <w:rPr>
                <w:rFonts w:ascii="Times New Roman" w:eastAsia="宋体" w:hAnsi="Times New Roman" w:cs="宋体"/>
                <w:sz w:val="18"/>
                <w:szCs w:val="18"/>
              </w:rPr>
              <w:t>证券华</w:t>
            </w:r>
            <w:proofErr w:type="gramEnd"/>
            <w:r w:rsidRPr="00F614F9">
              <w:rPr>
                <w:rFonts w:ascii="Times New Roman" w:eastAsia="宋体" w:hAnsi="Times New Roman" w:cs="宋体"/>
                <w:sz w:val="18"/>
                <w:szCs w:val="18"/>
              </w:rPr>
              <w:t>福证券、中泰证券、华泰证券、海通证券、国海证券、华西证券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太平洋证券、天风证券、银河证券、中</w:t>
            </w:r>
            <w:proofErr w:type="gramStart"/>
            <w:r w:rsidRPr="00F614F9">
              <w:rPr>
                <w:rFonts w:ascii="Times New Roman" w:eastAsia="宋体" w:hAnsi="Times New Roman" w:cs="宋体"/>
                <w:sz w:val="18"/>
                <w:szCs w:val="18"/>
              </w:rPr>
              <w:t>信建投证券</w:t>
            </w:r>
            <w:proofErr w:type="gramEnd"/>
            <w:r w:rsidRPr="00F614F9">
              <w:rPr>
                <w:rFonts w:ascii="Times New Roman" w:eastAsia="宋体" w:hAnsi="Times New Roman" w:cs="宋体"/>
                <w:sz w:val="18"/>
                <w:szCs w:val="18"/>
              </w:rPr>
              <w:t>、上海证券、西部证券、国新证券、国金证券、武汉山水私募、</w:t>
            </w:r>
            <w:proofErr w:type="gramStart"/>
            <w:r w:rsidRPr="00F614F9">
              <w:rPr>
                <w:rFonts w:ascii="Times New Roman" w:eastAsia="宋体" w:hAnsi="Times New Roman" w:cs="宋体"/>
                <w:sz w:val="18"/>
                <w:szCs w:val="18"/>
              </w:rPr>
              <w:t>宇泽私募</w:t>
            </w:r>
            <w:proofErr w:type="gramEnd"/>
            <w:r w:rsidRPr="00F614F9">
              <w:rPr>
                <w:rFonts w:ascii="Times New Roman" w:eastAsia="宋体" w:hAnsi="Times New Roman" w:cs="宋体"/>
                <w:sz w:val="18"/>
                <w:szCs w:val="18"/>
              </w:rPr>
              <w:t>、</w:t>
            </w:r>
            <w:proofErr w:type="gramStart"/>
            <w:r w:rsidRPr="00F614F9">
              <w:rPr>
                <w:rFonts w:ascii="Times New Roman" w:eastAsia="宋体" w:hAnsi="Times New Roman" w:cs="宋体"/>
                <w:sz w:val="18"/>
                <w:szCs w:val="18"/>
              </w:rPr>
              <w:t>灏浚投资证国</w:t>
            </w:r>
            <w:proofErr w:type="gramEnd"/>
            <w:r w:rsidRPr="00F614F9">
              <w:rPr>
                <w:rFonts w:ascii="Times New Roman" w:eastAsia="宋体" w:hAnsi="Times New Roman" w:cs="宋体"/>
                <w:sz w:val="18"/>
                <w:szCs w:val="18"/>
              </w:rPr>
              <w:t>私募等</w:t>
            </w:r>
            <w:r w:rsidRPr="00F614F9">
              <w:rPr>
                <w:rFonts w:ascii="Times New Roman" w:eastAsia="宋体" w:hAnsi="Times New Roman" w:cs="宋体"/>
                <w:sz w:val="18"/>
                <w:szCs w:val="18"/>
              </w:rPr>
              <w:t>43</w:t>
            </w:r>
            <w:r w:rsidRPr="00F614F9">
              <w:rPr>
                <w:rFonts w:ascii="Times New Roman" w:eastAsia="宋体" w:hAnsi="Times New Roman" w:cs="宋体"/>
                <w:sz w:val="18"/>
                <w:szCs w:val="18"/>
              </w:rPr>
              <w:t>位投资者</w:t>
            </w:r>
          </w:p>
        </w:tc>
        <w:tc>
          <w:tcPr>
            <w:tcW w:w="1377" w:type="dxa"/>
            <w:tcBorders>
              <w:top w:val="single" w:sz="2" w:space="0" w:color="auto"/>
              <w:left w:val="single" w:sz="2" w:space="0" w:color="auto"/>
              <w:bottom w:val="single" w:sz="2" w:space="0" w:color="auto"/>
              <w:right w:val="single" w:sz="2" w:space="0" w:color="auto"/>
            </w:tcBorders>
            <w:vAlign w:val="center"/>
          </w:tcPr>
          <w:p w14:paraId="4D49B0F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年半年度经营情况及</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年经营规划；未提供书面资料。</w:t>
            </w:r>
          </w:p>
        </w:tc>
        <w:tc>
          <w:tcPr>
            <w:tcW w:w="1377" w:type="dxa"/>
            <w:tcBorders>
              <w:top w:val="single" w:sz="2" w:space="0" w:color="auto"/>
              <w:left w:val="single" w:sz="2" w:space="0" w:color="auto"/>
              <w:bottom w:val="single" w:sz="2" w:space="0" w:color="auto"/>
              <w:right w:val="single" w:sz="2" w:space="0" w:color="auto"/>
            </w:tcBorders>
            <w:vAlign w:val="center"/>
          </w:tcPr>
          <w:p w14:paraId="1F170F3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公司于</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9</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4</w:t>
            </w:r>
            <w:r w:rsidRPr="00F614F9">
              <w:rPr>
                <w:rFonts w:ascii="Times New Roman" w:eastAsia="宋体" w:hAnsi="Times New Roman" w:cs="宋体"/>
                <w:sz w:val="18"/>
                <w:szCs w:val="18"/>
              </w:rPr>
              <w:t>日刊登在巨潮资讯网上的《龙大美食：</w:t>
            </w:r>
            <w:r w:rsidRPr="00F614F9">
              <w:rPr>
                <w:rFonts w:ascii="Times New Roman" w:eastAsia="宋体" w:hAnsi="Times New Roman" w:cs="宋体"/>
                <w:sz w:val="18"/>
                <w:szCs w:val="18"/>
              </w:rPr>
              <w:t>002726</w:t>
            </w:r>
            <w:r w:rsidRPr="00F614F9">
              <w:rPr>
                <w:rFonts w:ascii="Times New Roman" w:eastAsia="宋体" w:hAnsi="Times New Roman" w:cs="宋体"/>
                <w:sz w:val="18"/>
                <w:szCs w:val="18"/>
              </w:rPr>
              <w:t>龙大美食投资者关系管理档案</w:t>
            </w:r>
            <w:r w:rsidRPr="00F614F9">
              <w:rPr>
                <w:rFonts w:ascii="Times New Roman" w:eastAsia="宋体" w:hAnsi="Times New Roman" w:cs="宋体"/>
                <w:sz w:val="18"/>
                <w:szCs w:val="18"/>
              </w:rPr>
              <w:t>20230904</w:t>
            </w:r>
            <w:r w:rsidRPr="00F614F9">
              <w:rPr>
                <w:rFonts w:ascii="Times New Roman" w:eastAsia="宋体" w:hAnsi="Times New Roman" w:cs="宋体"/>
                <w:sz w:val="18"/>
                <w:szCs w:val="18"/>
              </w:rPr>
              <w:t>》编号：</w:t>
            </w:r>
            <w:r w:rsidRPr="00F614F9">
              <w:rPr>
                <w:rFonts w:ascii="Times New Roman" w:eastAsia="宋体" w:hAnsi="Times New Roman" w:cs="宋体"/>
                <w:sz w:val="18"/>
                <w:szCs w:val="18"/>
              </w:rPr>
              <w:t>2023-03</w:t>
            </w:r>
            <w:r w:rsidRPr="00F614F9">
              <w:rPr>
                <w:rFonts w:ascii="Times New Roman" w:eastAsia="宋体" w:hAnsi="Times New Roman" w:cs="宋体"/>
                <w:sz w:val="18"/>
                <w:szCs w:val="18"/>
              </w:rPr>
              <w:t>。</w:t>
            </w:r>
          </w:p>
        </w:tc>
      </w:tr>
      <w:tr w:rsidR="001D26E7" w:rsidRPr="00F614F9" w14:paraId="0D7B7F52" w14:textId="77777777" w:rsidTr="0089355B">
        <w:trPr>
          <w:trHeight w:val="240"/>
        </w:trPr>
        <w:tc>
          <w:tcPr>
            <w:tcW w:w="1134" w:type="dxa"/>
            <w:tcBorders>
              <w:top w:val="single" w:sz="2" w:space="0" w:color="auto"/>
              <w:left w:val="single" w:sz="2" w:space="0" w:color="auto"/>
              <w:bottom w:val="single" w:sz="2" w:space="0" w:color="auto"/>
              <w:right w:val="single" w:sz="2" w:space="0" w:color="auto"/>
            </w:tcBorders>
            <w:vAlign w:val="center"/>
          </w:tcPr>
          <w:p w14:paraId="276116B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日</w:t>
            </w:r>
          </w:p>
        </w:tc>
        <w:tc>
          <w:tcPr>
            <w:tcW w:w="851" w:type="dxa"/>
            <w:tcBorders>
              <w:top w:val="single" w:sz="2" w:space="0" w:color="auto"/>
              <w:left w:val="single" w:sz="2" w:space="0" w:color="auto"/>
              <w:bottom w:val="single" w:sz="2" w:space="0" w:color="auto"/>
              <w:right w:val="single" w:sz="2" w:space="0" w:color="auto"/>
            </w:tcBorders>
            <w:vAlign w:val="center"/>
          </w:tcPr>
          <w:p w14:paraId="52B1C11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公司会议室</w:t>
            </w:r>
          </w:p>
        </w:tc>
        <w:tc>
          <w:tcPr>
            <w:tcW w:w="1134" w:type="dxa"/>
            <w:tcBorders>
              <w:top w:val="single" w:sz="2" w:space="0" w:color="auto"/>
              <w:left w:val="single" w:sz="2" w:space="0" w:color="auto"/>
              <w:bottom w:val="single" w:sz="2" w:space="0" w:color="auto"/>
              <w:right w:val="single" w:sz="2" w:space="0" w:color="auto"/>
            </w:tcBorders>
            <w:vAlign w:val="center"/>
          </w:tcPr>
          <w:p w14:paraId="0848D82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电话沟通</w:t>
            </w:r>
          </w:p>
        </w:tc>
        <w:tc>
          <w:tcPr>
            <w:tcW w:w="850" w:type="dxa"/>
            <w:tcBorders>
              <w:top w:val="single" w:sz="2" w:space="0" w:color="auto"/>
              <w:left w:val="single" w:sz="2" w:space="0" w:color="auto"/>
              <w:bottom w:val="single" w:sz="2" w:space="0" w:color="auto"/>
              <w:right w:val="single" w:sz="2" w:space="0" w:color="auto"/>
            </w:tcBorders>
            <w:vAlign w:val="center"/>
          </w:tcPr>
          <w:p w14:paraId="6D986F3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机构</w:t>
            </w:r>
          </w:p>
        </w:tc>
        <w:tc>
          <w:tcPr>
            <w:tcW w:w="2916" w:type="dxa"/>
            <w:tcBorders>
              <w:top w:val="single" w:sz="2" w:space="0" w:color="auto"/>
              <w:left w:val="single" w:sz="2" w:space="0" w:color="auto"/>
              <w:bottom w:val="single" w:sz="2" w:space="0" w:color="auto"/>
              <w:right w:val="single" w:sz="2" w:space="0" w:color="auto"/>
            </w:tcBorders>
            <w:vAlign w:val="center"/>
          </w:tcPr>
          <w:p w14:paraId="0BEF42D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华泰</w:t>
            </w:r>
            <w:proofErr w:type="gramStart"/>
            <w:r w:rsidRPr="00F614F9">
              <w:rPr>
                <w:rFonts w:ascii="Times New Roman" w:eastAsia="宋体" w:hAnsi="Times New Roman" w:cs="宋体"/>
                <w:sz w:val="18"/>
                <w:szCs w:val="18"/>
              </w:rPr>
              <w:t>证券熊承慧</w:t>
            </w:r>
            <w:proofErr w:type="gramEnd"/>
            <w:r w:rsidRPr="00F614F9">
              <w:rPr>
                <w:rFonts w:ascii="Times New Roman" w:eastAsia="宋体" w:hAnsi="Times New Roman" w:cs="宋体"/>
                <w:sz w:val="18"/>
                <w:szCs w:val="18"/>
              </w:rPr>
              <w:t>、穆巴达拉、</w:t>
            </w:r>
            <w:r w:rsidRPr="00F614F9">
              <w:rPr>
                <w:rFonts w:ascii="Times New Roman" w:eastAsia="宋体" w:hAnsi="Times New Roman" w:cs="宋体"/>
                <w:sz w:val="18"/>
                <w:szCs w:val="18"/>
              </w:rPr>
              <w:t>SECF</w:t>
            </w:r>
          </w:p>
        </w:tc>
        <w:tc>
          <w:tcPr>
            <w:tcW w:w="1377" w:type="dxa"/>
            <w:tcBorders>
              <w:top w:val="single" w:sz="2" w:space="0" w:color="auto"/>
              <w:left w:val="single" w:sz="2" w:space="0" w:color="auto"/>
              <w:bottom w:val="single" w:sz="2" w:space="0" w:color="auto"/>
              <w:right w:val="single" w:sz="2" w:space="0" w:color="auto"/>
            </w:tcBorders>
            <w:vAlign w:val="center"/>
          </w:tcPr>
          <w:p w14:paraId="74E2D11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公司食品主体战略背景及前三季度经营情况；未提供书面资料。</w:t>
            </w:r>
          </w:p>
        </w:tc>
        <w:tc>
          <w:tcPr>
            <w:tcW w:w="1377" w:type="dxa"/>
            <w:tcBorders>
              <w:top w:val="single" w:sz="2" w:space="0" w:color="auto"/>
              <w:left w:val="single" w:sz="2" w:space="0" w:color="auto"/>
              <w:bottom w:val="single" w:sz="2" w:space="0" w:color="auto"/>
              <w:right w:val="single" w:sz="2" w:space="0" w:color="auto"/>
            </w:tcBorders>
            <w:vAlign w:val="center"/>
          </w:tcPr>
          <w:p w14:paraId="3C7C740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公司于</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日刊登在巨潮资讯网上的《龙大美食：</w:t>
            </w:r>
            <w:r w:rsidRPr="00F614F9">
              <w:rPr>
                <w:rFonts w:ascii="Times New Roman" w:eastAsia="宋体" w:hAnsi="Times New Roman" w:cs="宋体"/>
                <w:sz w:val="18"/>
                <w:szCs w:val="18"/>
              </w:rPr>
              <w:t>002726</w:t>
            </w:r>
            <w:r w:rsidRPr="00F614F9">
              <w:rPr>
                <w:rFonts w:ascii="Times New Roman" w:eastAsia="宋体" w:hAnsi="Times New Roman" w:cs="宋体"/>
                <w:sz w:val="18"/>
                <w:szCs w:val="18"/>
              </w:rPr>
              <w:t>龙大美食投资者关系管理信息</w:t>
            </w:r>
            <w:r w:rsidRPr="00F614F9">
              <w:rPr>
                <w:rFonts w:ascii="Times New Roman" w:eastAsia="宋体" w:hAnsi="Times New Roman" w:cs="宋体"/>
                <w:sz w:val="18"/>
                <w:szCs w:val="18"/>
              </w:rPr>
              <w:t>20231210</w:t>
            </w:r>
            <w:r w:rsidRPr="00F614F9">
              <w:rPr>
                <w:rFonts w:ascii="Times New Roman" w:eastAsia="宋体" w:hAnsi="Times New Roman" w:cs="宋体"/>
                <w:sz w:val="18"/>
                <w:szCs w:val="18"/>
              </w:rPr>
              <w:t>》编号：</w:t>
            </w:r>
            <w:r w:rsidRPr="00F614F9">
              <w:rPr>
                <w:rFonts w:ascii="Times New Roman" w:eastAsia="宋体" w:hAnsi="Times New Roman" w:cs="宋体"/>
                <w:sz w:val="18"/>
                <w:szCs w:val="18"/>
              </w:rPr>
              <w:t>2023-04</w:t>
            </w:r>
            <w:r w:rsidRPr="00F614F9">
              <w:rPr>
                <w:rFonts w:ascii="Times New Roman" w:eastAsia="宋体" w:hAnsi="Times New Roman" w:cs="宋体"/>
                <w:sz w:val="18"/>
                <w:szCs w:val="18"/>
              </w:rPr>
              <w:t>。</w:t>
            </w:r>
          </w:p>
        </w:tc>
      </w:tr>
    </w:tbl>
    <w:p w14:paraId="55D0134D"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75" w:name="_Toc988943"/>
      <w:bookmarkStart w:id="76" w:name="_Toc164024767"/>
      <w:r w:rsidRPr="00F614F9">
        <w:rPr>
          <w:rFonts w:ascii="Times New Roman" w:eastAsia="宋体" w:hAnsi="Times New Roman" w:cs="宋体"/>
          <w:b/>
          <w:bCs/>
          <w:sz w:val="24"/>
          <w:szCs w:val="24"/>
        </w:rPr>
        <w:t>十三、</w:t>
      </w:r>
      <w:r w:rsidRPr="00F614F9">
        <w:rPr>
          <w:rFonts w:ascii="Times New Roman" w:eastAsia="宋体" w:hAnsi="Times New Roman" w:cs="宋体"/>
          <w:b/>
          <w:bCs/>
          <w:sz w:val="24"/>
          <w:szCs w:val="24"/>
        </w:rPr>
        <w:t>“</w:t>
      </w:r>
      <w:r w:rsidRPr="00F614F9">
        <w:rPr>
          <w:rFonts w:ascii="Times New Roman" w:eastAsia="宋体" w:hAnsi="Times New Roman" w:cs="宋体"/>
          <w:b/>
          <w:bCs/>
          <w:sz w:val="24"/>
          <w:szCs w:val="24"/>
        </w:rPr>
        <w:t>质量回报双提升</w:t>
      </w:r>
      <w:r w:rsidRPr="00F614F9">
        <w:rPr>
          <w:rFonts w:ascii="Times New Roman" w:eastAsia="宋体" w:hAnsi="Times New Roman" w:cs="宋体"/>
          <w:b/>
          <w:bCs/>
          <w:sz w:val="24"/>
          <w:szCs w:val="24"/>
        </w:rPr>
        <w:t>”</w:t>
      </w:r>
      <w:r w:rsidRPr="00F614F9">
        <w:rPr>
          <w:rFonts w:ascii="Times New Roman" w:eastAsia="宋体" w:hAnsi="Times New Roman" w:cs="宋体"/>
          <w:b/>
          <w:bCs/>
          <w:sz w:val="24"/>
          <w:szCs w:val="24"/>
        </w:rPr>
        <w:t>行动方案贯彻落实情况</w:t>
      </w:r>
      <w:bookmarkEnd w:id="75"/>
      <w:bookmarkEnd w:id="76"/>
    </w:p>
    <w:p w14:paraId="2A8158C0"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公司是否披露了</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质量回报双提升</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行动方案。</w:t>
      </w:r>
    </w:p>
    <w:p w14:paraId="3F36872E"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否</w:t>
      </w:r>
    </w:p>
    <w:p w14:paraId="29ECC9DA" w14:textId="77777777" w:rsidR="001D26E7" w:rsidRPr="00F614F9" w:rsidRDefault="00000000">
      <w:pPr>
        <w:rPr>
          <w:rFonts w:ascii="Times New Roman" w:hAnsi="Times New Roman"/>
        </w:rPr>
      </w:pPr>
      <w:r w:rsidRPr="00F614F9">
        <w:rPr>
          <w:rFonts w:ascii="Times New Roman" w:hAnsi="Times New Roman"/>
        </w:rPr>
        <w:br w:type="page"/>
      </w:r>
    </w:p>
    <w:p w14:paraId="7C087760" w14:textId="77777777" w:rsidR="001D26E7" w:rsidRPr="00F614F9" w:rsidRDefault="00000000">
      <w:pPr>
        <w:pStyle w:val="headingh1"/>
        <w:spacing w:before="340" w:after="330" w:line="773" w:lineRule="exact"/>
        <w:jc w:val="center"/>
        <w:rPr>
          <w:rFonts w:ascii="Times New Roman" w:eastAsia="宋体" w:hAnsi="Times New Roman" w:cs="宋体"/>
          <w:b/>
          <w:bCs/>
          <w:sz w:val="32"/>
          <w:szCs w:val="32"/>
        </w:rPr>
      </w:pPr>
      <w:bookmarkStart w:id="77" w:name="_Toc164024768"/>
      <w:r w:rsidRPr="00F614F9">
        <w:rPr>
          <w:rFonts w:ascii="Times New Roman" w:eastAsia="宋体" w:hAnsi="Times New Roman" w:cs="宋体"/>
          <w:b/>
          <w:bCs/>
          <w:sz w:val="32"/>
          <w:szCs w:val="32"/>
        </w:rPr>
        <w:lastRenderedPageBreak/>
        <w:t>第四节</w:t>
      </w:r>
      <w:r w:rsidRPr="00F614F9">
        <w:rPr>
          <w:rFonts w:ascii="Times New Roman" w:eastAsia="宋体" w:hAnsi="Times New Roman" w:cs="宋体"/>
          <w:b/>
          <w:bCs/>
          <w:sz w:val="32"/>
          <w:szCs w:val="32"/>
        </w:rPr>
        <w:t xml:space="preserve"> </w:t>
      </w:r>
      <w:r w:rsidRPr="00F614F9">
        <w:rPr>
          <w:rFonts w:ascii="Times New Roman" w:eastAsia="宋体" w:hAnsi="Times New Roman" w:cs="宋体"/>
          <w:b/>
          <w:bCs/>
          <w:sz w:val="32"/>
          <w:szCs w:val="32"/>
        </w:rPr>
        <w:t>公司治理</w:t>
      </w:r>
      <w:bookmarkEnd w:id="77"/>
    </w:p>
    <w:p w14:paraId="6BD88D24"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78" w:name="_Toc988945"/>
      <w:bookmarkStart w:id="79" w:name="_Toc164024769"/>
      <w:r w:rsidRPr="00F614F9">
        <w:rPr>
          <w:rFonts w:ascii="Times New Roman" w:eastAsia="宋体" w:hAnsi="Times New Roman" w:cs="宋体"/>
          <w:b/>
          <w:bCs/>
          <w:sz w:val="24"/>
          <w:szCs w:val="24"/>
        </w:rPr>
        <w:t>一、公司治理的基本状况</w:t>
      </w:r>
      <w:bookmarkEnd w:id="78"/>
      <w:bookmarkEnd w:id="79"/>
    </w:p>
    <w:p w14:paraId="6DAB943D" w14:textId="77777777" w:rsidR="00872599" w:rsidRPr="00C9135A" w:rsidRDefault="00000000" w:rsidP="00C9135A">
      <w:pPr>
        <w:spacing w:line="276" w:lineRule="auto"/>
        <w:ind w:firstLineChars="200" w:firstLine="360"/>
        <w:rPr>
          <w:rFonts w:ascii="Times New Roman" w:eastAsia="宋体" w:hAnsi="Times New Roman"/>
          <w:sz w:val="18"/>
          <w:szCs w:val="20"/>
        </w:rPr>
      </w:pPr>
      <w:r w:rsidRPr="00C9135A">
        <w:rPr>
          <w:rFonts w:ascii="Times New Roman" w:eastAsia="宋体" w:hAnsi="Times New Roman"/>
          <w:sz w:val="18"/>
          <w:szCs w:val="20"/>
        </w:rPr>
        <w:t xml:space="preserve"> </w:t>
      </w:r>
      <w:r w:rsidRPr="00C9135A">
        <w:rPr>
          <w:rFonts w:ascii="Times New Roman" w:eastAsia="宋体" w:hAnsi="Times New Roman"/>
          <w:sz w:val="18"/>
          <w:szCs w:val="20"/>
        </w:rPr>
        <w:t>报告期内，公司严格按照《公司法》《上市公司治理准则》《深圳证券交易所上市公司自律监管指引第</w:t>
      </w:r>
      <w:r w:rsidRPr="00C9135A">
        <w:rPr>
          <w:rFonts w:ascii="Times New Roman" w:eastAsia="宋体" w:hAnsi="Times New Roman"/>
          <w:sz w:val="18"/>
          <w:szCs w:val="20"/>
        </w:rPr>
        <w:t>1</w:t>
      </w:r>
      <w:r w:rsidRPr="00C9135A">
        <w:rPr>
          <w:rFonts w:ascii="Times New Roman" w:eastAsia="宋体" w:hAnsi="Times New Roman"/>
          <w:sz w:val="18"/>
          <w:szCs w:val="20"/>
        </w:rPr>
        <w:t>号</w:t>
      </w:r>
      <w:r w:rsidRPr="00C9135A">
        <w:rPr>
          <w:rFonts w:ascii="Times New Roman" w:eastAsia="宋体" w:hAnsi="Times New Roman"/>
          <w:sz w:val="18"/>
          <w:szCs w:val="20"/>
        </w:rPr>
        <w:t>——</w:t>
      </w:r>
      <w:r w:rsidRPr="00C9135A">
        <w:rPr>
          <w:rFonts w:ascii="Times New Roman" w:eastAsia="宋体" w:hAnsi="Times New Roman"/>
          <w:sz w:val="18"/>
          <w:szCs w:val="20"/>
        </w:rPr>
        <w:t>主板上市公司规范运作》等法律、规章及规范性文件的要求规范运作，并结合公司自身的情况，不断优化公司法人治理结构，建立健全公司治理及内部控制的各项规则制度，加强信息披露工作，积极开展投资者关系管理工作，进一步规范公司运作，提高公司治理水平。报告期内，公司治理情况基本符合中国证监会和深圳证券交易所有关上市公司治理的规范性文件要求。具体情况如下：</w:t>
      </w:r>
    </w:p>
    <w:p w14:paraId="6A62D33B" w14:textId="77777777" w:rsidR="00872599" w:rsidRPr="00C9135A" w:rsidRDefault="00000000" w:rsidP="00C9135A">
      <w:pPr>
        <w:spacing w:line="276" w:lineRule="auto"/>
        <w:ind w:firstLineChars="200" w:firstLine="360"/>
        <w:rPr>
          <w:rFonts w:ascii="Times New Roman" w:eastAsia="宋体" w:hAnsi="Times New Roman"/>
          <w:sz w:val="18"/>
          <w:szCs w:val="20"/>
        </w:rPr>
      </w:pPr>
      <w:r w:rsidRPr="00C9135A">
        <w:rPr>
          <w:rFonts w:ascii="Times New Roman" w:eastAsia="宋体" w:hAnsi="Times New Roman" w:hint="eastAsia"/>
          <w:sz w:val="18"/>
          <w:szCs w:val="20"/>
        </w:rPr>
        <w:t>1</w:t>
      </w:r>
      <w:r w:rsidRPr="00C9135A">
        <w:rPr>
          <w:rFonts w:ascii="Times New Roman" w:eastAsia="宋体" w:hAnsi="Times New Roman" w:hint="eastAsia"/>
          <w:sz w:val="18"/>
          <w:szCs w:val="20"/>
        </w:rPr>
        <w:t>、股东大会</w:t>
      </w:r>
    </w:p>
    <w:p w14:paraId="6C4E6E00" w14:textId="77777777" w:rsidR="00872599" w:rsidRPr="00C9135A" w:rsidRDefault="00000000" w:rsidP="00C9135A">
      <w:pPr>
        <w:spacing w:line="276" w:lineRule="auto"/>
        <w:ind w:firstLineChars="200" w:firstLine="360"/>
        <w:rPr>
          <w:rFonts w:ascii="Times New Roman" w:eastAsia="宋体" w:hAnsi="Times New Roman"/>
          <w:sz w:val="18"/>
          <w:szCs w:val="20"/>
        </w:rPr>
      </w:pPr>
      <w:r w:rsidRPr="00C9135A">
        <w:rPr>
          <w:rFonts w:ascii="Times New Roman" w:eastAsia="宋体" w:hAnsi="Times New Roman" w:hint="eastAsia"/>
          <w:sz w:val="18"/>
          <w:szCs w:val="20"/>
        </w:rPr>
        <w:t>报告期内，公司按照《公司章程》和《股东大会议事规则》等要求，规范股东大会的召集、召开，将相关决策事项提交股东大会审批，能够保证股东大会运作符合《股东大会议事规则》相关要求，确保股东对于公司决策事项的参与权和表决权，能够保证全体股东特别是中小股东享有平等地位、平等权利，并承担相应义务。</w:t>
      </w:r>
    </w:p>
    <w:p w14:paraId="17DEE19A" w14:textId="77777777" w:rsidR="00872599" w:rsidRPr="00C9135A" w:rsidRDefault="00000000" w:rsidP="00C9135A">
      <w:pPr>
        <w:spacing w:line="276" w:lineRule="auto"/>
        <w:ind w:firstLineChars="200" w:firstLine="360"/>
        <w:rPr>
          <w:rFonts w:ascii="Times New Roman" w:eastAsia="宋体" w:hAnsi="Times New Roman"/>
          <w:sz w:val="18"/>
          <w:szCs w:val="20"/>
        </w:rPr>
      </w:pPr>
      <w:r w:rsidRPr="00C9135A">
        <w:rPr>
          <w:rFonts w:ascii="Times New Roman" w:eastAsia="宋体" w:hAnsi="Times New Roman" w:hint="eastAsia"/>
          <w:sz w:val="18"/>
          <w:szCs w:val="20"/>
        </w:rPr>
        <w:t>2</w:t>
      </w:r>
      <w:r w:rsidRPr="00C9135A">
        <w:rPr>
          <w:rFonts w:ascii="Times New Roman" w:eastAsia="宋体" w:hAnsi="Times New Roman" w:hint="eastAsia"/>
          <w:sz w:val="18"/>
          <w:szCs w:val="20"/>
        </w:rPr>
        <w:t>、董事会</w:t>
      </w:r>
    </w:p>
    <w:p w14:paraId="5C817E20" w14:textId="77777777" w:rsidR="00872599" w:rsidRPr="00C9135A" w:rsidRDefault="00000000" w:rsidP="00C9135A">
      <w:pPr>
        <w:spacing w:line="276" w:lineRule="auto"/>
        <w:ind w:firstLineChars="200" w:firstLine="360"/>
        <w:rPr>
          <w:rFonts w:ascii="Times New Roman" w:eastAsia="宋体" w:hAnsi="Times New Roman"/>
          <w:sz w:val="18"/>
          <w:szCs w:val="20"/>
        </w:rPr>
      </w:pPr>
      <w:r w:rsidRPr="00C9135A">
        <w:rPr>
          <w:rFonts w:ascii="Times New Roman" w:eastAsia="宋体" w:hAnsi="Times New Roman"/>
          <w:sz w:val="18"/>
          <w:szCs w:val="20"/>
        </w:rPr>
        <w:t>公司严格按照《公司法》、《公司章程》规定的选聘程序选举董事，公司董事会的人数及人员构成符合法律、法规和《公司章程》的要求。公司董事会设立了审计委员会、提名委员会、薪酬与考核委员会及战略委员会等专业委员会，为董事会的决策提供专业意见和参考。公司董事严格按照《公司法》、《公司章程》、《董事会议事规则》、《上市公司独立董事规则》等制度的规定开展工作，积极出席董事会和股东大会，积极参加对相关知识的培训，熟悉有关法律法规，勤勉尽责。</w:t>
      </w:r>
    </w:p>
    <w:p w14:paraId="6ED07FC4" w14:textId="77777777" w:rsidR="00872599" w:rsidRPr="00C9135A" w:rsidRDefault="00000000" w:rsidP="00C9135A">
      <w:pPr>
        <w:spacing w:line="276" w:lineRule="auto"/>
        <w:ind w:firstLineChars="200" w:firstLine="360"/>
        <w:rPr>
          <w:rFonts w:ascii="Times New Roman" w:eastAsia="宋体" w:hAnsi="Times New Roman"/>
          <w:sz w:val="18"/>
          <w:szCs w:val="20"/>
        </w:rPr>
      </w:pPr>
      <w:r w:rsidRPr="00C9135A">
        <w:rPr>
          <w:rFonts w:ascii="Times New Roman" w:eastAsia="宋体" w:hAnsi="Times New Roman" w:hint="eastAsia"/>
          <w:sz w:val="18"/>
          <w:szCs w:val="20"/>
        </w:rPr>
        <w:t>3</w:t>
      </w:r>
      <w:r w:rsidRPr="00C9135A">
        <w:rPr>
          <w:rFonts w:ascii="Times New Roman" w:eastAsia="宋体" w:hAnsi="Times New Roman" w:hint="eastAsia"/>
          <w:sz w:val="18"/>
          <w:szCs w:val="20"/>
        </w:rPr>
        <w:t>、监事会</w:t>
      </w:r>
    </w:p>
    <w:p w14:paraId="4FC282DB" w14:textId="77777777" w:rsidR="00872599" w:rsidRPr="00C9135A" w:rsidRDefault="00000000" w:rsidP="00C9135A">
      <w:pPr>
        <w:spacing w:line="276" w:lineRule="auto"/>
        <w:ind w:firstLineChars="200" w:firstLine="360"/>
        <w:rPr>
          <w:rFonts w:ascii="Times New Roman" w:eastAsia="宋体" w:hAnsi="Times New Roman"/>
          <w:sz w:val="18"/>
          <w:szCs w:val="20"/>
        </w:rPr>
      </w:pPr>
      <w:r w:rsidRPr="00C9135A">
        <w:rPr>
          <w:rFonts w:ascii="Times New Roman" w:eastAsia="宋体" w:hAnsi="Times New Roman" w:hint="eastAsia"/>
          <w:sz w:val="18"/>
          <w:szCs w:val="20"/>
        </w:rPr>
        <w:t>公司严格按照《公司法》《公司章程》的规定选举产生监事，监事会的人数及构成符合法律法规和《公司章程》的要求。监事会严格按照《公司章程》、《监事会议事规则》的规定，规范监事会的召集、召开和表决。公司全体监事认真履行职责，对公司重大事项、关联交易、财务状况、董事、高级管理人员履行职责情况等进行监督，维护公司及股东的合法权益。</w:t>
      </w:r>
    </w:p>
    <w:p w14:paraId="7422E0C0" w14:textId="77777777" w:rsidR="00872599" w:rsidRPr="00C9135A" w:rsidRDefault="00000000" w:rsidP="00C9135A">
      <w:pPr>
        <w:spacing w:line="276" w:lineRule="auto"/>
        <w:ind w:firstLineChars="200" w:firstLine="360"/>
        <w:rPr>
          <w:rFonts w:ascii="Times New Roman" w:eastAsia="宋体" w:hAnsi="Times New Roman"/>
          <w:sz w:val="18"/>
          <w:szCs w:val="20"/>
        </w:rPr>
      </w:pPr>
      <w:r w:rsidRPr="00C9135A">
        <w:rPr>
          <w:rFonts w:ascii="Times New Roman" w:eastAsia="宋体" w:hAnsi="Times New Roman" w:hint="eastAsia"/>
          <w:sz w:val="18"/>
          <w:szCs w:val="20"/>
        </w:rPr>
        <w:t>4</w:t>
      </w:r>
      <w:r w:rsidRPr="00C9135A">
        <w:rPr>
          <w:rFonts w:ascii="Times New Roman" w:eastAsia="宋体" w:hAnsi="Times New Roman" w:hint="eastAsia"/>
          <w:sz w:val="18"/>
          <w:szCs w:val="20"/>
        </w:rPr>
        <w:t>、独立董事及董事会专门委员会的运行情况</w:t>
      </w:r>
    </w:p>
    <w:p w14:paraId="791513BE" w14:textId="77777777" w:rsidR="00872599" w:rsidRPr="00C9135A" w:rsidRDefault="00000000" w:rsidP="00C9135A">
      <w:pPr>
        <w:spacing w:line="276" w:lineRule="auto"/>
        <w:ind w:firstLineChars="200" w:firstLine="360"/>
        <w:rPr>
          <w:rFonts w:ascii="Times New Roman" w:eastAsia="宋体" w:hAnsi="Times New Roman"/>
          <w:sz w:val="18"/>
          <w:szCs w:val="20"/>
        </w:rPr>
      </w:pPr>
      <w:r w:rsidRPr="00C9135A">
        <w:rPr>
          <w:rFonts w:ascii="Times New Roman" w:eastAsia="宋体" w:hAnsi="Times New Roman" w:hint="eastAsia"/>
          <w:sz w:val="18"/>
          <w:szCs w:val="20"/>
        </w:rPr>
        <w:t>报告期内，公司独立董事根据《公司法》和其他部门规章、规范性文件和制度细则规定，诚实、勤勉、独立的履行职责，积极出席相关会议，认真审议董事会各项议案，对公司重大事项发表了独立意见，切实维护了公司和股东尤其是中小股东利益，较好地发挥了独立董事的监督作用。公司董事会各专门委员会根据各自委员会议事规则履行职责。</w:t>
      </w:r>
    </w:p>
    <w:p w14:paraId="38A352BD" w14:textId="77777777" w:rsidR="00872599" w:rsidRPr="00C9135A" w:rsidRDefault="00000000" w:rsidP="00C9135A">
      <w:pPr>
        <w:spacing w:line="276" w:lineRule="auto"/>
        <w:ind w:firstLineChars="200" w:firstLine="360"/>
        <w:rPr>
          <w:rFonts w:ascii="Times New Roman" w:eastAsia="宋体" w:hAnsi="Times New Roman"/>
          <w:sz w:val="18"/>
          <w:szCs w:val="20"/>
        </w:rPr>
      </w:pPr>
      <w:r w:rsidRPr="00C9135A">
        <w:rPr>
          <w:rFonts w:ascii="Times New Roman" w:eastAsia="宋体" w:hAnsi="Times New Roman" w:hint="eastAsia"/>
          <w:sz w:val="18"/>
          <w:szCs w:val="20"/>
        </w:rPr>
        <w:t>5</w:t>
      </w:r>
      <w:r w:rsidRPr="00C9135A">
        <w:rPr>
          <w:rFonts w:ascii="Times New Roman" w:eastAsia="宋体" w:hAnsi="Times New Roman" w:hint="eastAsia"/>
          <w:sz w:val="18"/>
          <w:szCs w:val="20"/>
        </w:rPr>
        <w:t>、关于信息披露</w:t>
      </w:r>
    </w:p>
    <w:p w14:paraId="6CA9FA18" w14:textId="77777777" w:rsidR="00872599" w:rsidRPr="00C9135A" w:rsidRDefault="00000000" w:rsidP="00C9135A">
      <w:pPr>
        <w:spacing w:line="276" w:lineRule="auto"/>
        <w:ind w:firstLineChars="200" w:firstLine="360"/>
        <w:rPr>
          <w:rFonts w:ascii="Times New Roman" w:eastAsia="宋体" w:hAnsi="Times New Roman"/>
          <w:sz w:val="18"/>
          <w:szCs w:val="20"/>
        </w:rPr>
      </w:pPr>
      <w:r w:rsidRPr="00C9135A">
        <w:rPr>
          <w:rFonts w:ascii="Times New Roman" w:eastAsia="宋体" w:hAnsi="Times New Roman" w:hint="eastAsia"/>
          <w:sz w:val="18"/>
          <w:szCs w:val="20"/>
        </w:rPr>
        <w:t>公司严格按照有关法律、法规和公司《重大信息内部报告制度》、《机构投资者接待管理制度》的要求，认真履行信息披露义务，加强信息披露事务管理。报告期内，公司指定《中国证券报》、《证券时报》、《上海证券报》、《证券日报》和巨潮资讯网为公司信息披露媒体，真实、准确、及时地披露公司相关信息，确保公司所有投资者公平地获取公司相关信息。</w:t>
      </w:r>
    </w:p>
    <w:p w14:paraId="4FEC57F7" w14:textId="77777777" w:rsidR="00872599" w:rsidRPr="00C9135A" w:rsidRDefault="00000000" w:rsidP="00C9135A">
      <w:pPr>
        <w:spacing w:line="276" w:lineRule="auto"/>
        <w:ind w:firstLineChars="200" w:firstLine="360"/>
        <w:rPr>
          <w:rFonts w:ascii="Times New Roman" w:eastAsia="宋体" w:hAnsi="Times New Roman"/>
          <w:sz w:val="18"/>
          <w:szCs w:val="20"/>
        </w:rPr>
      </w:pPr>
      <w:r w:rsidRPr="00C9135A">
        <w:rPr>
          <w:rFonts w:ascii="Times New Roman" w:eastAsia="宋体" w:hAnsi="Times New Roman" w:hint="eastAsia"/>
          <w:sz w:val="18"/>
          <w:szCs w:val="20"/>
        </w:rPr>
        <w:t>6</w:t>
      </w:r>
      <w:r w:rsidRPr="00C9135A">
        <w:rPr>
          <w:rFonts w:ascii="Times New Roman" w:eastAsia="宋体" w:hAnsi="Times New Roman" w:hint="eastAsia"/>
          <w:sz w:val="18"/>
          <w:szCs w:val="20"/>
        </w:rPr>
        <w:t>、关于控股股东与上市公司的关系</w:t>
      </w:r>
    </w:p>
    <w:p w14:paraId="38F77247" w14:textId="77777777" w:rsidR="00872599" w:rsidRPr="00C9135A" w:rsidRDefault="00000000" w:rsidP="00C9135A">
      <w:pPr>
        <w:spacing w:line="276" w:lineRule="auto"/>
        <w:ind w:firstLineChars="200" w:firstLine="360"/>
        <w:rPr>
          <w:rFonts w:ascii="Times New Roman" w:eastAsia="宋体" w:hAnsi="Times New Roman"/>
          <w:sz w:val="18"/>
          <w:szCs w:val="20"/>
        </w:rPr>
      </w:pPr>
      <w:r w:rsidRPr="00C9135A">
        <w:rPr>
          <w:rFonts w:ascii="Times New Roman" w:eastAsia="宋体" w:hAnsi="Times New Roman" w:hint="eastAsia"/>
          <w:sz w:val="18"/>
          <w:szCs w:val="20"/>
        </w:rPr>
        <w:t>公司严格按照有关法律、法规和《公司章程》的要求规范运作，在业务、资产、人员、机构、财务等方面与控股股东完全分开，具有独立、完整的资产和业务，具备独立面向市场自主经营的能力。公司控股股东依法行使权利并承担相应义务，没有超越公司股东大会直接或间接干预公司的决策和经营活动。</w:t>
      </w:r>
    </w:p>
    <w:p w14:paraId="07E7D594" w14:textId="77777777" w:rsidR="00872599" w:rsidRPr="00C9135A" w:rsidRDefault="00000000" w:rsidP="00C9135A">
      <w:pPr>
        <w:spacing w:line="276" w:lineRule="auto"/>
        <w:ind w:firstLineChars="200" w:firstLine="360"/>
        <w:rPr>
          <w:rFonts w:ascii="Times New Roman" w:eastAsia="宋体" w:hAnsi="Times New Roman"/>
          <w:sz w:val="18"/>
          <w:szCs w:val="20"/>
        </w:rPr>
      </w:pPr>
      <w:r w:rsidRPr="00C9135A">
        <w:rPr>
          <w:rFonts w:ascii="Times New Roman" w:eastAsia="宋体" w:hAnsi="Times New Roman" w:hint="eastAsia"/>
          <w:sz w:val="18"/>
          <w:szCs w:val="20"/>
        </w:rPr>
        <w:t>7</w:t>
      </w:r>
      <w:r w:rsidRPr="00C9135A">
        <w:rPr>
          <w:rFonts w:ascii="Times New Roman" w:eastAsia="宋体" w:hAnsi="Times New Roman" w:hint="eastAsia"/>
          <w:sz w:val="18"/>
          <w:szCs w:val="20"/>
        </w:rPr>
        <w:t>、关于绩效评价与激励约束机制</w:t>
      </w:r>
    </w:p>
    <w:p w14:paraId="63F942B0" w14:textId="77777777" w:rsidR="00872599" w:rsidRPr="00C9135A" w:rsidRDefault="00000000" w:rsidP="00C9135A">
      <w:pPr>
        <w:spacing w:line="276" w:lineRule="auto"/>
        <w:ind w:firstLineChars="200" w:firstLine="360"/>
        <w:rPr>
          <w:rFonts w:ascii="Times New Roman" w:eastAsia="宋体" w:hAnsi="Times New Roman"/>
          <w:sz w:val="18"/>
          <w:szCs w:val="20"/>
        </w:rPr>
      </w:pPr>
      <w:r w:rsidRPr="00C9135A">
        <w:rPr>
          <w:rFonts w:ascii="Times New Roman" w:eastAsia="宋体" w:hAnsi="Times New Roman" w:hint="eastAsia"/>
          <w:sz w:val="18"/>
          <w:szCs w:val="20"/>
        </w:rPr>
        <w:t>公司逐步建立和完善公正、透明的董事、监事和高级管理人员的绩效评价标准和激励约束机制，公司高级管理人员的聘任公开、透明，符合法律法规的规定。</w:t>
      </w:r>
    </w:p>
    <w:p w14:paraId="6C80556B" w14:textId="77777777" w:rsidR="00872599" w:rsidRPr="00C9135A" w:rsidRDefault="00000000" w:rsidP="00C9135A">
      <w:pPr>
        <w:spacing w:line="276" w:lineRule="auto"/>
        <w:ind w:firstLineChars="200" w:firstLine="360"/>
        <w:rPr>
          <w:rFonts w:ascii="Times New Roman" w:eastAsia="宋体" w:hAnsi="Times New Roman"/>
          <w:sz w:val="18"/>
          <w:szCs w:val="20"/>
        </w:rPr>
      </w:pPr>
      <w:r w:rsidRPr="00C9135A">
        <w:rPr>
          <w:rFonts w:ascii="Times New Roman" w:eastAsia="宋体" w:hAnsi="Times New Roman" w:hint="eastAsia"/>
          <w:sz w:val="18"/>
          <w:szCs w:val="20"/>
        </w:rPr>
        <w:lastRenderedPageBreak/>
        <w:t xml:space="preserve"> 8</w:t>
      </w:r>
      <w:r w:rsidRPr="00C9135A">
        <w:rPr>
          <w:rFonts w:ascii="Times New Roman" w:eastAsia="宋体" w:hAnsi="Times New Roman" w:hint="eastAsia"/>
          <w:sz w:val="18"/>
          <w:szCs w:val="20"/>
        </w:rPr>
        <w:t>、关于利益相关者</w:t>
      </w:r>
    </w:p>
    <w:p w14:paraId="1259D0E7" w14:textId="77777777" w:rsidR="00872599" w:rsidRPr="00C9135A" w:rsidRDefault="00000000" w:rsidP="00C9135A">
      <w:pPr>
        <w:spacing w:line="276" w:lineRule="auto"/>
        <w:ind w:firstLineChars="200" w:firstLine="360"/>
        <w:rPr>
          <w:rFonts w:ascii="Times New Roman" w:eastAsia="宋体" w:hAnsi="Times New Roman"/>
          <w:sz w:val="18"/>
          <w:szCs w:val="20"/>
        </w:rPr>
      </w:pPr>
      <w:r w:rsidRPr="00C9135A">
        <w:rPr>
          <w:rFonts w:ascii="Times New Roman" w:eastAsia="宋体" w:hAnsi="Times New Roman" w:hint="eastAsia"/>
          <w:sz w:val="18"/>
          <w:szCs w:val="20"/>
        </w:rPr>
        <w:t>公司充分尊重和维护股东、员工、供应商、客户等相关利益者的合法权益，积极与利益相关者合作，加强与各方的沟通和交流，实现社会、股东、公司、员工等各方利益的协调平衡，共同推进公司持续、稳定、健康发展。</w:t>
      </w:r>
    </w:p>
    <w:p w14:paraId="1AAFD81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公司治理的实际状况与法律、行政法规和中国证监会发布的关于上市公司治理的规定是否存在重大差异</w:t>
      </w:r>
    </w:p>
    <w:p w14:paraId="67024166"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否</w:t>
      </w:r>
    </w:p>
    <w:p w14:paraId="5C93CBB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公司治理的实际状况与法律、行政法规和中国证监会发布的关于上市公司治理的规定不存在重大差异。</w:t>
      </w:r>
    </w:p>
    <w:p w14:paraId="2CFBB16E"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80" w:name="_Toc988946"/>
      <w:bookmarkStart w:id="81" w:name="_Toc164024770"/>
      <w:r w:rsidRPr="00F614F9">
        <w:rPr>
          <w:rFonts w:ascii="Times New Roman" w:eastAsia="宋体" w:hAnsi="Times New Roman" w:cs="宋体"/>
          <w:b/>
          <w:bCs/>
          <w:sz w:val="24"/>
          <w:szCs w:val="24"/>
        </w:rPr>
        <w:t>二、公司相对于控股股东、实际控制人在保证公司资产、人员、财务、机构、业务等方面的独立情况</w:t>
      </w:r>
      <w:bookmarkEnd w:id="80"/>
      <w:bookmarkEnd w:id="81"/>
    </w:p>
    <w:p w14:paraId="4ED2A366" w14:textId="77777777" w:rsidR="00872599" w:rsidRPr="00F614F9" w:rsidRDefault="00000000" w:rsidP="000C52A2">
      <w:pPr>
        <w:pStyle w:val="a3"/>
        <w:spacing w:before="0" w:beforeAutospacing="0" w:after="0" w:afterAutospacing="0" w:line="276" w:lineRule="auto"/>
        <w:ind w:firstLine="360"/>
        <w:divId w:val="551576834"/>
        <w:rPr>
          <w:rFonts w:ascii="Times New Roman" w:hAnsi="Times New Roman" w:cs="Times New Roman"/>
          <w:sz w:val="21"/>
          <w:szCs w:val="21"/>
        </w:rPr>
      </w:pPr>
      <w:r w:rsidRPr="00F614F9">
        <w:rPr>
          <w:rFonts w:ascii="Times New Roman" w:hAnsi="Times New Roman" w:cs="Times New Roman"/>
          <w:sz w:val="18"/>
          <w:szCs w:val="18"/>
        </w:rPr>
        <w:t>报告期内，公司严格按照《公司法》《上市公司治理准则》《深圳证券交易所上市公司自律监管指引第</w:t>
      </w:r>
      <w:r w:rsidRPr="00F614F9">
        <w:rPr>
          <w:rFonts w:ascii="Times New Roman" w:hAnsi="Times New Roman" w:cs="Times New Roman"/>
          <w:sz w:val="18"/>
          <w:szCs w:val="18"/>
        </w:rPr>
        <w:t>1</w:t>
      </w:r>
      <w:r w:rsidRPr="00F614F9">
        <w:rPr>
          <w:rFonts w:ascii="Times New Roman" w:hAnsi="Times New Roman" w:cs="Times New Roman"/>
          <w:sz w:val="18"/>
          <w:szCs w:val="18"/>
        </w:rPr>
        <w:t>号</w:t>
      </w:r>
      <w:r w:rsidRPr="00F614F9">
        <w:rPr>
          <w:rFonts w:ascii="Times New Roman" w:hAnsi="Times New Roman" w:cs="Times New Roman"/>
          <w:sz w:val="18"/>
          <w:szCs w:val="18"/>
        </w:rPr>
        <w:t>——</w:t>
      </w:r>
      <w:r w:rsidRPr="00F614F9">
        <w:rPr>
          <w:rFonts w:ascii="Times New Roman" w:hAnsi="Times New Roman" w:cs="Times New Roman"/>
          <w:sz w:val="18"/>
          <w:szCs w:val="18"/>
        </w:rPr>
        <w:t>主板上市公司规范运作》等法律、规章及规范性文件的要求规范运作，并结合公司自身的情况，不断优化公司法人治理结构，建立健全公司治理及内部控制的各项规则制度，加强信息披露工作，积极开展投资者关系管理工作，进一步规范公司运作，提高公司治理水平。报告期内，公司治理情况基本符合中国证监会和深圳证券交易所有关上市公司治理的规范性文件要求。具体情况如下：</w:t>
      </w:r>
    </w:p>
    <w:p w14:paraId="01D3631D" w14:textId="77777777" w:rsidR="00872599" w:rsidRPr="00F614F9" w:rsidRDefault="00000000">
      <w:pPr>
        <w:pStyle w:val="a3"/>
        <w:spacing w:before="0" w:beforeAutospacing="0" w:after="0" w:afterAutospacing="0"/>
        <w:ind w:firstLine="360"/>
        <w:divId w:val="551576834"/>
        <w:rPr>
          <w:rFonts w:ascii="Times New Roman" w:eastAsia="等线" w:hAnsi="Times New Roman"/>
          <w:sz w:val="21"/>
          <w:szCs w:val="21"/>
        </w:rPr>
      </w:pPr>
      <w:r w:rsidRPr="00F614F9">
        <w:rPr>
          <w:rFonts w:ascii="Times New Roman" w:hAnsi="Times New Roman" w:hint="eastAsia"/>
          <w:sz w:val="18"/>
          <w:szCs w:val="18"/>
        </w:rPr>
        <w:t>1</w:t>
      </w:r>
      <w:r w:rsidRPr="00F614F9">
        <w:rPr>
          <w:rFonts w:ascii="Times New Roman" w:hAnsi="Times New Roman" w:hint="eastAsia"/>
          <w:sz w:val="18"/>
          <w:szCs w:val="18"/>
        </w:rPr>
        <w:t>、股东大会</w:t>
      </w:r>
    </w:p>
    <w:p w14:paraId="258E07F5" w14:textId="77777777" w:rsidR="00872599" w:rsidRPr="00F614F9" w:rsidRDefault="00000000" w:rsidP="000C52A2">
      <w:pPr>
        <w:pStyle w:val="a3"/>
        <w:spacing w:before="0" w:beforeAutospacing="0" w:after="0" w:afterAutospacing="0" w:line="276" w:lineRule="auto"/>
        <w:ind w:firstLine="360"/>
        <w:divId w:val="551576834"/>
        <w:rPr>
          <w:rFonts w:ascii="Times New Roman" w:hAnsi="Times New Roman" w:cs="Times New Roman"/>
          <w:sz w:val="18"/>
          <w:szCs w:val="18"/>
        </w:rPr>
      </w:pPr>
      <w:r w:rsidRPr="00F614F9">
        <w:rPr>
          <w:rFonts w:ascii="Times New Roman" w:hAnsi="Times New Roman" w:cs="Times New Roman" w:hint="eastAsia"/>
          <w:sz w:val="18"/>
          <w:szCs w:val="18"/>
        </w:rPr>
        <w:t>报告期内，公司按照《公司章程》和《股东大会议事规则》等要求，规范股东大会的召集、召开，将相关决策事项提交股东大会审批，能够保证股东大会运作符合《股东大会议事规则》相关要求，确保股东对于公司决策事项的参与权和表决权，能够保证全体股东特别是中小股东享有平等地位、平等权利，并承担相应义务。</w:t>
      </w:r>
    </w:p>
    <w:p w14:paraId="54D4133A" w14:textId="77777777" w:rsidR="00872599" w:rsidRPr="00F614F9" w:rsidRDefault="00000000">
      <w:pPr>
        <w:pStyle w:val="a3"/>
        <w:spacing w:before="0" w:beforeAutospacing="0" w:after="0" w:afterAutospacing="0"/>
        <w:ind w:firstLine="360"/>
        <w:divId w:val="551576834"/>
        <w:rPr>
          <w:rFonts w:ascii="Times New Roman" w:eastAsia="等线" w:hAnsi="Times New Roman"/>
          <w:sz w:val="21"/>
          <w:szCs w:val="21"/>
        </w:rPr>
      </w:pPr>
      <w:r w:rsidRPr="00F614F9">
        <w:rPr>
          <w:rFonts w:ascii="Times New Roman" w:hAnsi="Times New Roman" w:hint="eastAsia"/>
          <w:sz w:val="18"/>
          <w:szCs w:val="18"/>
        </w:rPr>
        <w:t>2</w:t>
      </w:r>
      <w:r w:rsidRPr="00F614F9">
        <w:rPr>
          <w:rFonts w:ascii="Times New Roman" w:hAnsi="Times New Roman" w:hint="eastAsia"/>
          <w:sz w:val="18"/>
          <w:szCs w:val="18"/>
        </w:rPr>
        <w:t>、董事会</w:t>
      </w:r>
    </w:p>
    <w:p w14:paraId="66F28504" w14:textId="77777777" w:rsidR="00872599" w:rsidRPr="00F614F9" w:rsidRDefault="00000000" w:rsidP="000C52A2">
      <w:pPr>
        <w:pStyle w:val="a3"/>
        <w:spacing w:before="0" w:beforeAutospacing="0" w:after="0" w:afterAutospacing="0" w:line="276" w:lineRule="auto"/>
        <w:ind w:firstLine="360"/>
        <w:jc w:val="both"/>
        <w:divId w:val="551576834"/>
        <w:rPr>
          <w:rFonts w:ascii="Times New Roman" w:hAnsi="Times New Roman" w:cs="Times New Roman"/>
          <w:sz w:val="18"/>
          <w:szCs w:val="18"/>
        </w:rPr>
      </w:pPr>
      <w:r w:rsidRPr="00F614F9">
        <w:rPr>
          <w:rFonts w:ascii="Times New Roman" w:hAnsi="Times New Roman" w:cs="Times New Roman" w:hint="eastAsia"/>
          <w:sz w:val="18"/>
          <w:szCs w:val="18"/>
        </w:rPr>
        <w:t>公司严格按照《公司法》、《公司章程》规定的选聘程序选举董事，公司董事会的人数及人员构成符合法律、法规和《公司章程》的要求。公司董事会设立了审计委员会、提名委员会、薪酬与考核委员会及战略委员会等专业委员会，为董事会的决策提供专业意见和参考。公司董事严格按照《公司法》、《公司章程》、《董事会议事规则》、《上市公司独立董事规则》等制度的规定开展工作，积极出席董事会和股东大会，积极参加对相关知识的培训，熟悉有关法律法规，勤勉尽责。</w:t>
      </w:r>
    </w:p>
    <w:p w14:paraId="00E5C858" w14:textId="77777777" w:rsidR="00872599" w:rsidRPr="00F614F9" w:rsidRDefault="00000000">
      <w:pPr>
        <w:pStyle w:val="a3"/>
        <w:spacing w:before="0" w:beforeAutospacing="0" w:after="0" w:afterAutospacing="0"/>
        <w:ind w:firstLine="360"/>
        <w:divId w:val="551576834"/>
        <w:rPr>
          <w:rFonts w:ascii="Times New Roman" w:eastAsia="等线" w:hAnsi="Times New Roman"/>
          <w:sz w:val="21"/>
          <w:szCs w:val="21"/>
        </w:rPr>
      </w:pPr>
      <w:r w:rsidRPr="00F614F9">
        <w:rPr>
          <w:rFonts w:ascii="Times New Roman" w:hAnsi="Times New Roman" w:hint="eastAsia"/>
          <w:sz w:val="18"/>
          <w:szCs w:val="18"/>
        </w:rPr>
        <w:t>3</w:t>
      </w:r>
      <w:r w:rsidRPr="00F614F9">
        <w:rPr>
          <w:rFonts w:ascii="Times New Roman" w:hAnsi="Times New Roman" w:hint="eastAsia"/>
          <w:sz w:val="18"/>
          <w:szCs w:val="18"/>
        </w:rPr>
        <w:t>、监事会</w:t>
      </w:r>
    </w:p>
    <w:p w14:paraId="0A437BF0" w14:textId="77777777" w:rsidR="00872599" w:rsidRPr="00F614F9" w:rsidRDefault="00000000" w:rsidP="000C52A2">
      <w:pPr>
        <w:pStyle w:val="a3"/>
        <w:spacing w:before="0" w:beforeAutospacing="0" w:after="0" w:afterAutospacing="0" w:line="276" w:lineRule="auto"/>
        <w:ind w:firstLine="360"/>
        <w:divId w:val="551576834"/>
        <w:rPr>
          <w:rFonts w:ascii="Times New Roman" w:hAnsi="Times New Roman" w:cs="Times New Roman"/>
          <w:sz w:val="18"/>
          <w:szCs w:val="18"/>
        </w:rPr>
      </w:pPr>
      <w:r w:rsidRPr="00F614F9">
        <w:rPr>
          <w:rFonts w:ascii="Times New Roman" w:hAnsi="Times New Roman" w:cs="Times New Roman" w:hint="eastAsia"/>
          <w:sz w:val="18"/>
          <w:szCs w:val="18"/>
        </w:rPr>
        <w:t>公司严格按照《公司法》《公司章程》的规定选举产生监事，监事会的人数及构成符合法律法规和《公司章程》的要求。监事会严格按照《公司章程》、《监事会议事规则》的规定，规范监事会的召集、召开和表决。公司全体监事认真履行职责，对公司重大事项、关联交易、财务状况、董事、高级管理人员履行职责情况等进行监督，维护公司及股东的合法权益。</w:t>
      </w:r>
    </w:p>
    <w:p w14:paraId="59F660DB" w14:textId="77777777" w:rsidR="00872599" w:rsidRPr="00F614F9" w:rsidRDefault="00000000">
      <w:pPr>
        <w:pStyle w:val="a3"/>
        <w:spacing w:before="0" w:beforeAutospacing="0" w:after="0" w:afterAutospacing="0"/>
        <w:ind w:firstLine="360"/>
        <w:divId w:val="551576834"/>
        <w:rPr>
          <w:rFonts w:ascii="Times New Roman" w:eastAsia="等线" w:hAnsi="Times New Roman"/>
          <w:sz w:val="21"/>
          <w:szCs w:val="21"/>
        </w:rPr>
      </w:pPr>
      <w:r w:rsidRPr="00F614F9">
        <w:rPr>
          <w:rFonts w:ascii="Times New Roman" w:hAnsi="Times New Roman" w:hint="eastAsia"/>
          <w:sz w:val="18"/>
          <w:szCs w:val="18"/>
        </w:rPr>
        <w:t>4</w:t>
      </w:r>
      <w:r w:rsidRPr="00F614F9">
        <w:rPr>
          <w:rFonts w:ascii="Times New Roman" w:hAnsi="Times New Roman" w:hint="eastAsia"/>
          <w:sz w:val="18"/>
          <w:szCs w:val="18"/>
        </w:rPr>
        <w:t>、独立董事及董事会专门委员会的运行情况</w:t>
      </w:r>
    </w:p>
    <w:p w14:paraId="5BEE9F84" w14:textId="77777777" w:rsidR="00872599" w:rsidRPr="00F614F9" w:rsidRDefault="00000000" w:rsidP="000C52A2">
      <w:pPr>
        <w:pStyle w:val="a3"/>
        <w:spacing w:before="0" w:beforeAutospacing="0" w:after="0" w:afterAutospacing="0" w:line="276" w:lineRule="auto"/>
        <w:ind w:firstLine="360"/>
        <w:jc w:val="both"/>
        <w:divId w:val="551576834"/>
        <w:rPr>
          <w:rFonts w:ascii="Times New Roman" w:hAnsi="Times New Roman" w:cs="Times New Roman"/>
          <w:sz w:val="18"/>
          <w:szCs w:val="18"/>
        </w:rPr>
      </w:pPr>
      <w:r w:rsidRPr="00F614F9">
        <w:rPr>
          <w:rFonts w:ascii="Times New Roman" w:hAnsi="Times New Roman" w:cs="Times New Roman" w:hint="eastAsia"/>
          <w:sz w:val="18"/>
          <w:szCs w:val="18"/>
        </w:rPr>
        <w:t>报告期内，公司独立董事根据《公司法》和其他部门规章、规范性文件和制度细则规定，诚实、勤勉、独立的履行职责，积极出席相关会议，认真审议董事会各项议案，对公司重大事项发表了独立意见，切实维护了公司和股东尤其是中小股东利益，较好地发挥了独立董事的监督作用。公司董事会各专门委员会根据各自委员会议事规则履行职责。</w:t>
      </w:r>
    </w:p>
    <w:p w14:paraId="6C6A66F6" w14:textId="77777777" w:rsidR="00872599" w:rsidRPr="00F614F9" w:rsidRDefault="00000000">
      <w:pPr>
        <w:pStyle w:val="a3"/>
        <w:spacing w:before="0" w:beforeAutospacing="0" w:after="0" w:afterAutospacing="0"/>
        <w:ind w:firstLine="360"/>
        <w:divId w:val="551576834"/>
        <w:rPr>
          <w:rFonts w:ascii="Times New Roman" w:eastAsia="等线" w:hAnsi="Times New Roman"/>
          <w:sz w:val="21"/>
          <w:szCs w:val="21"/>
        </w:rPr>
      </w:pPr>
      <w:r w:rsidRPr="00F614F9">
        <w:rPr>
          <w:rFonts w:ascii="Times New Roman" w:hAnsi="Times New Roman" w:hint="eastAsia"/>
          <w:sz w:val="18"/>
          <w:szCs w:val="18"/>
        </w:rPr>
        <w:t>5</w:t>
      </w:r>
      <w:r w:rsidRPr="00F614F9">
        <w:rPr>
          <w:rFonts w:ascii="Times New Roman" w:hAnsi="Times New Roman" w:hint="eastAsia"/>
          <w:sz w:val="18"/>
          <w:szCs w:val="18"/>
        </w:rPr>
        <w:t>、关于信息披露</w:t>
      </w:r>
    </w:p>
    <w:p w14:paraId="48FCEDAB" w14:textId="77777777" w:rsidR="00872599" w:rsidRPr="00F614F9" w:rsidRDefault="00000000">
      <w:pPr>
        <w:pStyle w:val="a3"/>
        <w:spacing w:before="0" w:beforeAutospacing="0" w:after="0" w:afterAutospacing="0"/>
        <w:ind w:firstLine="360"/>
        <w:divId w:val="551576834"/>
        <w:rPr>
          <w:rFonts w:ascii="Times New Roman" w:eastAsia="等线" w:hAnsi="Times New Roman"/>
          <w:sz w:val="21"/>
          <w:szCs w:val="21"/>
        </w:rPr>
      </w:pPr>
      <w:r w:rsidRPr="00F614F9">
        <w:rPr>
          <w:rFonts w:ascii="Times New Roman" w:hAnsi="Times New Roman" w:hint="eastAsia"/>
          <w:sz w:val="18"/>
          <w:szCs w:val="18"/>
        </w:rPr>
        <w:t>公司严格按照有关法律、法规和公司《重大信息内部报告制度》、《机构投资者接待管理制度》的要求，认真履行信息披露义务，加强信息披露事务管理。报告期内，公司指定《中国证券报》、《证券时报》、《上海证券报》、《证券日报》和巨潮资讯网为公司信息披露媒体，真实、准确、及时地披露公司相关信息，确保公司所有投资者公平地获取公司相关信息。</w:t>
      </w:r>
    </w:p>
    <w:p w14:paraId="2A368E2B" w14:textId="77777777" w:rsidR="00872599" w:rsidRPr="00F614F9" w:rsidRDefault="00000000">
      <w:pPr>
        <w:pStyle w:val="a3"/>
        <w:spacing w:before="0" w:beforeAutospacing="0" w:after="0" w:afterAutospacing="0"/>
        <w:ind w:firstLine="360"/>
        <w:divId w:val="551576834"/>
        <w:rPr>
          <w:rFonts w:ascii="Times New Roman" w:eastAsia="等线" w:hAnsi="Times New Roman"/>
          <w:sz w:val="21"/>
          <w:szCs w:val="21"/>
        </w:rPr>
      </w:pPr>
      <w:r w:rsidRPr="00F614F9">
        <w:rPr>
          <w:rFonts w:ascii="Times New Roman" w:hAnsi="Times New Roman" w:hint="eastAsia"/>
          <w:sz w:val="18"/>
          <w:szCs w:val="18"/>
        </w:rPr>
        <w:t>6</w:t>
      </w:r>
      <w:r w:rsidRPr="00F614F9">
        <w:rPr>
          <w:rFonts w:ascii="Times New Roman" w:hAnsi="Times New Roman" w:hint="eastAsia"/>
          <w:sz w:val="18"/>
          <w:szCs w:val="18"/>
        </w:rPr>
        <w:t>、关于控股股东与上市公司的关系</w:t>
      </w:r>
    </w:p>
    <w:p w14:paraId="09F8C152" w14:textId="77777777" w:rsidR="00872599" w:rsidRPr="00F614F9" w:rsidRDefault="00000000" w:rsidP="000C52A2">
      <w:pPr>
        <w:pStyle w:val="a3"/>
        <w:spacing w:before="0" w:beforeAutospacing="0" w:after="0" w:afterAutospacing="0" w:line="276" w:lineRule="auto"/>
        <w:ind w:firstLine="360"/>
        <w:jc w:val="both"/>
        <w:divId w:val="551576834"/>
        <w:rPr>
          <w:rFonts w:ascii="Times New Roman" w:eastAsia="等线" w:hAnsi="Times New Roman" w:cs="Times New Roman"/>
          <w:sz w:val="21"/>
          <w:szCs w:val="21"/>
        </w:rPr>
      </w:pPr>
      <w:r w:rsidRPr="00F614F9">
        <w:rPr>
          <w:rFonts w:ascii="Times New Roman" w:hAnsi="Times New Roman" w:cs="Times New Roman"/>
          <w:sz w:val="18"/>
          <w:szCs w:val="18"/>
        </w:rPr>
        <w:lastRenderedPageBreak/>
        <w:t>公司严格按照有关法律、法规和《公司章程》的要求规范运作，在业务、资产、人员、机构、财务等方面与控股股东完全分开，具有独立、完整的资产和业务，具备独立面向市场自主经营的能力。公司控股股东依法行使权利并承担相应义务，没有超越公司股东大会直接或间接干预公司的决策和经营活动。</w:t>
      </w:r>
    </w:p>
    <w:p w14:paraId="271D1506" w14:textId="77777777" w:rsidR="00872599" w:rsidRPr="00F614F9" w:rsidRDefault="00000000">
      <w:pPr>
        <w:pStyle w:val="a3"/>
        <w:spacing w:before="0" w:beforeAutospacing="0" w:after="0" w:afterAutospacing="0"/>
        <w:ind w:firstLine="360"/>
        <w:divId w:val="551576834"/>
        <w:rPr>
          <w:rFonts w:ascii="Times New Roman" w:eastAsia="等线" w:hAnsi="Times New Roman"/>
          <w:sz w:val="21"/>
          <w:szCs w:val="21"/>
        </w:rPr>
      </w:pPr>
      <w:r w:rsidRPr="00F614F9">
        <w:rPr>
          <w:rFonts w:ascii="Times New Roman" w:hAnsi="Times New Roman" w:hint="eastAsia"/>
          <w:sz w:val="18"/>
          <w:szCs w:val="18"/>
        </w:rPr>
        <w:t>7</w:t>
      </w:r>
      <w:r w:rsidRPr="00F614F9">
        <w:rPr>
          <w:rFonts w:ascii="Times New Roman" w:hAnsi="Times New Roman" w:hint="eastAsia"/>
          <w:sz w:val="18"/>
          <w:szCs w:val="18"/>
        </w:rPr>
        <w:t>、关于绩效评价与激励约束机制</w:t>
      </w:r>
    </w:p>
    <w:p w14:paraId="21BC3D6E" w14:textId="77777777" w:rsidR="00872599" w:rsidRPr="00F614F9" w:rsidRDefault="00000000" w:rsidP="000C52A2">
      <w:pPr>
        <w:pStyle w:val="a3"/>
        <w:spacing w:before="0" w:beforeAutospacing="0" w:after="0" w:afterAutospacing="0" w:line="276" w:lineRule="auto"/>
        <w:ind w:firstLine="360"/>
        <w:divId w:val="551576834"/>
        <w:rPr>
          <w:rFonts w:ascii="Times New Roman" w:eastAsia="等线" w:hAnsi="Times New Roman"/>
          <w:sz w:val="21"/>
          <w:szCs w:val="21"/>
        </w:rPr>
      </w:pPr>
      <w:r w:rsidRPr="00F614F9">
        <w:rPr>
          <w:rFonts w:ascii="Times New Roman" w:hAnsi="Times New Roman" w:hint="eastAsia"/>
          <w:sz w:val="18"/>
          <w:szCs w:val="18"/>
        </w:rPr>
        <w:t>公司逐步建立和完善公正、透明的董事、监事和高级管理人员的绩效评价标准和激励约束机制，公司高级管理人员的聘任公开、透明，符合法律法规的规定。</w:t>
      </w:r>
    </w:p>
    <w:p w14:paraId="4D8D6BEB" w14:textId="77777777" w:rsidR="00872599" w:rsidRPr="00F614F9" w:rsidRDefault="00000000">
      <w:pPr>
        <w:pStyle w:val="a3"/>
        <w:spacing w:before="0" w:beforeAutospacing="0" w:after="0" w:afterAutospacing="0"/>
        <w:ind w:firstLine="360"/>
        <w:divId w:val="551576834"/>
        <w:rPr>
          <w:rFonts w:ascii="Times New Roman" w:eastAsia="等线" w:hAnsi="Times New Roman"/>
          <w:sz w:val="21"/>
          <w:szCs w:val="21"/>
        </w:rPr>
      </w:pPr>
      <w:r w:rsidRPr="00F614F9">
        <w:rPr>
          <w:rFonts w:ascii="Times New Roman" w:hAnsi="Times New Roman" w:hint="eastAsia"/>
          <w:sz w:val="18"/>
          <w:szCs w:val="18"/>
        </w:rPr>
        <w:t>8</w:t>
      </w:r>
      <w:r w:rsidRPr="00F614F9">
        <w:rPr>
          <w:rFonts w:ascii="Times New Roman" w:hAnsi="Times New Roman" w:hint="eastAsia"/>
          <w:sz w:val="18"/>
          <w:szCs w:val="18"/>
        </w:rPr>
        <w:t>、关于利益相关者</w:t>
      </w:r>
    </w:p>
    <w:p w14:paraId="4571F0BC" w14:textId="77777777" w:rsidR="00872599" w:rsidRPr="00F614F9" w:rsidRDefault="00000000" w:rsidP="000C52A2">
      <w:pPr>
        <w:spacing w:line="276" w:lineRule="auto"/>
        <w:ind w:firstLineChars="200" w:firstLine="360"/>
        <w:divId w:val="551576834"/>
        <w:rPr>
          <w:rFonts w:ascii="Times New Roman" w:eastAsia="宋体" w:hAnsi="Times New Roman" w:cs="Times New Roman"/>
          <w:sz w:val="18"/>
          <w:szCs w:val="18"/>
        </w:rPr>
      </w:pPr>
      <w:r w:rsidRPr="00F614F9">
        <w:rPr>
          <w:rFonts w:ascii="Times New Roman" w:eastAsia="宋体" w:hAnsi="Times New Roman" w:cs="Times New Roman"/>
          <w:sz w:val="18"/>
          <w:szCs w:val="18"/>
        </w:rPr>
        <w:t>公司充分尊重和维护股东、员工、供应商、客户等相关利益者的合法权益，积极与利益相关者合作，加强与各方的沟通和交流，实现社会、股东、公司、员工等各方利益的协调平衡，共同推进公司持续、稳定、健康发展。</w:t>
      </w:r>
    </w:p>
    <w:p w14:paraId="3F2D3862"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82" w:name="_Toc988947"/>
      <w:bookmarkStart w:id="83" w:name="_Toc164024771"/>
      <w:r w:rsidRPr="00F614F9">
        <w:rPr>
          <w:rFonts w:ascii="Times New Roman" w:eastAsia="宋体" w:hAnsi="Times New Roman" w:cs="宋体"/>
          <w:b/>
          <w:bCs/>
          <w:sz w:val="24"/>
          <w:szCs w:val="24"/>
        </w:rPr>
        <w:t>三、同业竞争情况</w:t>
      </w:r>
      <w:bookmarkEnd w:id="82"/>
      <w:bookmarkEnd w:id="83"/>
    </w:p>
    <w:p w14:paraId="44D8EA8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tbl>
      <w:tblPr>
        <w:tblW w:w="1040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568"/>
        <w:gridCol w:w="850"/>
        <w:gridCol w:w="567"/>
        <w:gridCol w:w="567"/>
        <w:gridCol w:w="2694"/>
        <w:gridCol w:w="2744"/>
        <w:gridCol w:w="2410"/>
      </w:tblGrid>
      <w:tr w:rsidR="000C52A2" w:rsidRPr="00F614F9" w14:paraId="4BD9821A" w14:textId="77777777" w:rsidTr="000C52A2">
        <w:trPr>
          <w:trHeight w:val="240"/>
          <w:jc w:val="center"/>
        </w:trPr>
        <w:tc>
          <w:tcPr>
            <w:tcW w:w="568" w:type="dxa"/>
            <w:tcBorders>
              <w:top w:val="single" w:sz="2" w:space="0" w:color="auto"/>
              <w:left w:val="single" w:sz="2" w:space="0" w:color="auto"/>
              <w:bottom w:val="single" w:sz="2" w:space="0" w:color="auto"/>
              <w:right w:val="single" w:sz="2" w:space="0" w:color="auto"/>
            </w:tcBorders>
            <w:shd w:val="clear" w:color="auto" w:fill="D3D3D3"/>
            <w:vAlign w:val="center"/>
          </w:tcPr>
          <w:p w14:paraId="50A94E13" w14:textId="77777777" w:rsidR="001D26E7" w:rsidRPr="00F614F9" w:rsidRDefault="00000000" w:rsidP="000C52A2">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问题类型</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0A25085F" w14:textId="77777777" w:rsidR="001D26E7" w:rsidRPr="00F614F9" w:rsidRDefault="00000000" w:rsidP="000C52A2">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与上市公司的关联关系类型</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49BED357" w14:textId="77777777" w:rsidR="001D26E7" w:rsidRPr="00F614F9" w:rsidRDefault="00000000" w:rsidP="000C52A2">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公司名称</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38BE9E9A" w14:textId="77777777" w:rsidR="001D26E7" w:rsidRPr="00F614F9" w:rsidRDefault="00000000" w:rsidP="000C52A2">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公司性质</w:t>
            </w:r>
          </w:p>
        </w:tc>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03D7464D" w14:textId="77777777" w:rsidR="001D26E7" w:rsidRPr="00F614F9" w:rsidRDefault="00000000" w:rsidP="000C52A2">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问题成因</w:t>
            </w:r>
          </w:p>
        </w:tc>
        <w:tc>
          <w:tcPr>
            <w:tcW w:w="2744" w:type="dxa"/>
            <w:tcBorders>
              <w:top w:val="single" w:sz="2" w:space="0" w:color="auto"/>
              <w:left w:val="single" w:sz="2" w:space="0" w:color="auto"/>
              <w:bottom w:val="single" w:sz="2" w:space="0" w:color="auto"/>
              <w:right w:val="single" w:sz="2" w:space="0" w:color="auto"/>
            </w:tcBorders>
            <w:shd w:val="clear" w:color="auto" w:fill="D3D3D3"/>
            <w:vAlign w:val="center"/>
          </w:tcPr>
          <w:p w14:paraId="74B0AEF8" w14:textId="77777777" w:rsidR="001D26E7" w:rsidRPr="00F614F9" w:rsidRDefault="00000000" w:rsidP="000C52A2">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解决措施</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935465F" w14:textId="77777777" w:rsidR="001D26E7" w:rsidRPr="00F614F9" w:rsidRDefault="00000000" w:rsidP="000C52A2">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工作进度及后续计划</w:t>
            </w:r>
          </w:p>
        </w:tc>
      </w:tr>
      <w:tr w:rsidR="000C52A2" w:rsidRPr="00F614F9" w14:paraId="25E67EB8" w14:textId="77777777" w:rsidTr="000C52A2">
        <w:trPr>
          <w:trHeight w:val="240"/>
          <w:jc w:val="center"/>
        </w:trPr>
        <w:tc>
          <w:tcPr>
            <w:tcW w:w="568" w:type="dxa"/>
            <w:tcBorders>
              <w:top w:val="single" w:sz="2" w:space="0" w:color="auto"/>
              <w:left w:val="single" w:sz="2" w:space="0" w:color="auto"/>
              <w:bottom w:val="single" w:sz="2" w:space="0" w:color="auto"/>
              <w:right w:val="single" w:sz="2" w:space="0" w:color="auto"/>
            </w:tcBorders>
            <w:vAlign w:val="center"/>
          </w:tcPr>
          <w:p w14:paraId="7261063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同业竞争</w:t>
            </w:r>
          </w:p>
        </w:tc>
        <w:tc>
          <w:tcPr>
            <w:tcW w:w="850" w:type="dxa"/>
            <w:tcBorders>
              <w:top w:val="single" w:sz="2" w:space="0" w:color="auto"/>
              <w:left w:val="single" w:sz="2" w:space="0" w:color="auto"/>
              <w:bottom w:val="single" w:sz="2" w:space="0" w:color="auto"/>
              <w:right w:val="single" w:sz="2" w:space="0" w:color="auto"/>
            </w:tcBorders>
            <w:vAlign w:val="center"/>
          </w:tcPr>
          <w:p w14:paraId="0F3980D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控股股东</w:t>
            </w:r>
          </w:p>
        </w:tc>
        <w:tc>
          <w:tcPr>
            <w:tcW w:w="567" w:type="dxa"/>
            <w:tcBorders>
              <w:top w:val="single" w:sz="2" w:space="0" w:color="auto"/>
              <w:left w:val="single" w:sz="2" w:space="0" w:color="auto"/>
              <w:bottom w:val="single" w:sz="2" w:space="0" w:color="auto"/>
              <w:right w:val="single" w:sz="2" w:space="0" w:color="auto"/>
            </w:tcBorders>
            <w:vAlign w:val="center"/>
          </w:tcPr>
          <w:p w14:paraId="2C0FBB5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567" w:type="dxa"/>
            <w:tcBorders>
              <w:top w:val="single" w:sz="2" w:space="0" w:color="auto"/>
              <w:left w:val="single" w:sz="2" w:space="0" w:color="auto"/>
              <w:bottom w:val="single" w:sz="2" w:space="0" w:color="auto"/>
              <w:right w:val="single" w:sz="2" w:space="0" w:color="auto"/>
            </w:tcBorders>
            <w:vAlign w:val="center"/>
          </w:tcPr>
          <w:p w14:paraId="729334F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2694" w:type="dxa"/>
            <w:tcBorders>
              <w:top w:val="single" w:sz="2" w:space="0" w:color="auto"/>
              <w:left w:val="single" w:sz="2" w:space="0" w:color="auto"/>
              <w:bottom w:val="single" w:sz="2" w:space="0" w:color="auto"/>
              <w:right w:val="single" w:sz="2" w:space="0" w:color="auto"/>
            </w:tcBorders>
            <w:vAlign w:val="center"/>
          </w:tcPr>
          <w:p w14:paraId="1464270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蓝润发展为帮助上市公司把握非洲猪瘟带来的生猪养殖行业产能出清、行业集中度上升以及本轮</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猪周期</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的商业机会，同时为帮助公司拓展在四川等西南地区的业务市场，完善国内区域布局，蓝润发展下属子公司蓝润实业集团与四川省巴中市、达州市和南充市三市地方政府签署投资协议（拟）布局生猪产业链业务（以下称</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四川三市生猪产业</w:t>
            </w:r>
            <w:r w:rsidR="000C52A2" w:rsidRPr="00F614F9">
              <w:rPr>
                <w:rFonts w:ascii="Times New Roman" w:eastAsia="宋体" w:hAnsi="Times New Roman" w:cs="宋体" w:hint="eastAsia"/>
                <w:sz w:val="18"/>
                <w:szCs w:val="18"/>
              </w:rPr>
              <w:t>链项</w:t>
            </w:r>
            <w:r w:rsidRPr="00F614F9">
              <w:rPr>
                <w:rFonts w:ascii="Times New Roman" w:eastAsia="宋体" w:hAnsi="Times New Roman" w:cs="宋体"/>
                <w:sz w:val="18"/>
                <w:szCs w:val="18"/>
              </w:rPr>
              <w:t>目</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）。蓝润发展分别</w:t>
            </w:r>
            <w:r w:rsidRPr="00F614F9">
              <w:rPr>
                <w:rFonts w:ascii="Times New Roman" w:eastAsia="宋体" w:hAnsi="Times New Roman" w:cs="宋体"/>
                <w:sz w:val="18"/>
                <w:szCs w:val="18"/>
              </w:rPr>
              <w:t>2019</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8</w:t>
            </w:r>
            <w:r w:rsidRPr="00F614F9">
              <w:rPr>
                <w:rFonts w:ascii="Times New Roman" w:eastAsia="宋体" w:hAnsi="Times New Roman" w:cs="宋体"/>
                <w:sz w:val="18"/>
                <w:szCs w:val="18"/>
              </w:rPr>
              <w:t>月和</w:t>
            </w:r>
            <w:r w:rsidRPr="00F614F9">
              <w:rPr>
                <w:rFonts w:ascii="Times New Roman" w:eastAsia="宋体" w:hAnsi="Times New Roman" w:cs="宋体"/>
                <w:sz w:val="18"/>
                <w:szCs w:val="18"/>
              </w:rPr>
              <w:t>2019</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月将上述商业机会优先交由上市公司把握，上市公司决定暂时放弃商业机会，主要原因为：</w:t>
            </w:r>
            <w:r w:rsidRPr="00F614F9">
              <w:rPr>
                <w:rFonts w:ascii="Times New Roman" w:eastAsia="宋体" w:hAnsi="Times New Roman" w:cs="宋体" w:hint="eastAsia"/>
                <w:sz w:val="18"/>
                <w:szCs w:val="18"/>
              </w:rPr>
              <w:t>①</w:t>
            </w:r>
            <w:r w:rsidRPr="00F614F9">
              <w:rPr>
                <w:rFonts w:ascii="Times New Roman" w:eastAsia="宋体" w:hAnsi="Times New Roman" w:cs="宋体"/>
                <w:sz w:val="18"/>
                <w:szCs w:val="18"/>
              </w:rPr>
              <w:t>上述生猪产业</w:t>
            </w:r>
            <w:proofErr w:type="gramStart"/>
            <w:r w:rsidRPr="00F614F9">
              <w:rPr>
                <w:rFonts w:ascii="Times New Roman" w:eastAsia="宋体" w:hAnsi="Times New Roman" w:cs="宋体"/>
                <w:sz w:val="18"/>
                <w:szCs w:val="18"/>
              </w:rPr>
              <w:t>链项目</w:t>
            </w:r>
            <w:proofErr w:type="gramEnd"/>
            <w:r w:rsidRPr="00F614F9">
              <w:rPr>
                <w:rFonts w:ascii="Times New Roman" w:eastAsia="宋体" w:hAnsi="Times New Roman" w:cs="宋体"/>
                <w:sz w:val="18"/>
                <w:szCs w:val="18"/>
              </w:rPr>
              <w:t>投资规模大，公司资金实力相对不足，且</w:t>
            </w:r>
            <w:r w:rsidRPr="00F614F9">
              <w:rPr>
                <w:rFonts w:ascii="Times New Roman" w:eastAsia="宋体" w:hAnsi="Times New Roman" w:cs="宋体"/>
                <w:sz w:val="18"/>
                <w:szCs w:val="18"/>
              </w:rPr>
              <w:t>2019</w:t>
            </w:r>
            <w:r w:rsidRPr="00F614F9">
              <w:rPr>
                <w:rFonts w:ascii="Times New Roman" w:eastAsia="宋体" w:hAnsi="Times New Roman" w:cs="宋体"/>
                <w:sz w:val="18"/>
                <w:szCs w:val="18"/>
              </w:rPr>
              <w:t>年公司计划在山东潍坊安丘市和烟台莱阳市开展生猪养殖项目，继续新增四川生猪产业布局将加重公司的债务负担，大幅增加公司经营及投资风险；</w:t>
            </w:r>
            <w:r w:rsidRPr="00F614F9">
              <w:rPr>
                <w:rFonts w:ascii="Times New Roman" w:eastAsia="宋体" w:hAnsi="Times New Roman" w:cs="宋体" w:hint="eastAsia"/>
                <w:sz w:val="18"/>
                <w:szCs w:val="18"/>
              </w:rPr>
              <w:t>②</w:t>
            </w:r>
            <w:r w:rsidRPr="00F614F9">
              <w:rPr>
                <w:rFonts w:ascii="Times New Roman" w:eastAsia="宋体" w:hAnsi="Times New Roman" w:cs="宋体"/>
                <w:sz w:val="18"/>
                <w:szCs w:val="18"/>
              </w:rPr>
              <w:t>蓝润发展已</w:t>
            </w:r>
            <w:proofErr w:type="gramStart"/>
            <w:r w:rsidRPr="00F614F9">
              <w:rPr>
                <w:rFonts w:ascii="Times New Roman" w:eastAsia="宋体" w:hAnsi="Times New Roman" w:cs="宋体"/>
                <w:sz w:val="18"/>
                <w:szCs w:val="18"/>
              </w:rPr>
              <w:t>作出</w:t>
            </w:r>
            <w:proofErr w:type="gramEnd"/>
            <w:r w:rsidRPr="00F614F9">
              <w:rPr>
                <w:rFonts w:ascii="Times New Roman" w:eastAsia="宋体" w:hAnsi="Times New Roman" w:cs="宋体"/>
                <w:sz w:val="18"/>
                <w:szCs w:val="18"/>
              </w:rPr>
              <w:t>承诺，公司拥有项目建设完成并满足注入上市公司条件时的优先收购权。在上市公司暂时放弃上述四川三市生猪产业</w:t>
            </w:r>
            <w:proofErr w:type="gramStart"/>
            <w:r w:rsidRPr="00F614F9">
              <w:rPr>
                <w:rFonts w:ascii="Times New Roman" w:eastAsia="宋体" w:hAnsi="Times New Roman" w:cs="宋体"/>
                <w:sz w:val="18"/>
                <w:szCs w:val="18"/>
              </w:rPr>
              <w:t>链商业</w:t>
            </w:r>
            <w:proofErr w:type="gramEnd"/>
            <w:r w:rsidRPr="00F614F9">
              <w:rPr>
                <w:rFonts w:ascii="Times New Roman" w:eastAsia="宋体" w:hAnsi="Times New Roman" w:cs="宋体"/>
                <w:sz w:val="18"/>
                <w:szCs w:val="18"/>
              </w:rPr>
              <w:t>机会的前提下，蓝润发展自行投资建设上述三市的生猪产业链项目，由此产生了与上市公司的同业竞争。</w:t>
            </w:r>
          </w:p>
        </w:tc>
        <w:tc>
          <w:tcPr>
            <w:tcW w:w="2744" w:type="dxa"/>
            <w:tcBorders>
              <w:top w:val="single" w:sz="2" w:space="0" w:color="auto"/>
              <w:left w:val="single" w:sz="2" w:space="0" w:color="auto"/>
              <w:bottom w:val="single" w:sz="2" w:space="0" w:color="auto"/>
              <w:right w:val="single" w:sz="2" w:space="0" w:color="auto"/>
            </w:tcBorders>
            <w:vAlign w:val="center"/>
          </w:tcPr>
          <w:p w14:paraId="6139E0A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控股股东、实际控制人出具如下承诺：</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、本公司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本人承诺生猪产业链项目将仅限于目前上市公司暂时放弃商业机会的四川省巴中市、达州市、南充市三市。四川三市生猪产业</w:t>
            </w:r>
            <w:proofErr w:type="gramStart"/>
            <w:r w:rsidRPr="00F614F9">
              <w:rPr>
                <w:rFonts w:ascii="Times New Roman" w:eastAsia="宋体" w:hAnsi="Times New Roman" w:cs="宋体"/>
                <w:sz w:val="18"/>
                <w:szCs w:val="18"/>
              </w:rPr>
              <w:t>链项目</w:t>
            </w:r>
            <w:proofErr w:type="gramEnd"/>
            <w:r w:rsidRPr="00F614F9">
              <w:rPr>
                <w:rFonts w:ascii="Times New Roman" w:eastAsia="宋体" w:hAnsi="Times New Roman" w:cs="宋体"/>
                <w:sz w:val="18"/>
                <w:szCs w:val="18"/>
              </w:rPr>
              <w:t>实施过程中，资金来源为自有资金或自筹资金，不会占用龙大肉食及其控股子公司资金，亦不会让龙大肉食及其控股子公司提供担保。四川三市生猪产业</w:t>
            </w:r>
            <w:proofErr w:type="gramStart"/>
            <w:r w:rsidRPr="00F614F9">
              <w:rPr>
                <w:rFonts w:ascii="Times New Roman" w:eastAsia="宋体" w:hAnsi="Times New Roman" w:cs="宋体"/>
                <w:sz w:val="18"/>
                <w:szCs w:val="18"/>
              </w:rPr>
              <w:t>链项目</w:t>
            </w:r>
            <w:proofErr w:type="gramEnd"/>
            <w:r w:rsidRPr="00F614F9">
              <w:rPr>
                <w:rFonts w:ascii="Times New Roman" w:eastAsia="宋体" w:hAnsi="Times New Roman" w:cs="宋体"/>
                <w:sz w:val="18"/>
                <w:szCs w:val="18"/>
              </w:rPr>
              <w:t>实施过程中，本公司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本人将严格遵守《关于保持上市公司独立性的承诺》，避免使用龙大肉食品的人员、资产、资质、技术、建设资源以及生产采购销售渠道等，保持龙大肉食的独立性，同时在项目建成投产后，本公司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本人确保四川三市生猪产业</w:t>
            </w:r>
            <w:proofErr w:type="gramStart"/>
            <w:r w:rsidRPr="00F614F9">
              <w:rPr>
                <w:rFonts w:ascii="Times New Roman" w:eastAsia="宋体" w:hAnsi="Times New Roman" w:cs="宋体"/>
                <w:sz w:val="18"/>
                <w:szCs w:val="18"/>
              </w:rPr>
              <w:t>链项目</w:t>
            </w:r>
            <w:proofErr w:type="gramEnd"/>
            <w:r w:rsidRPr="00F614F9">
              <w:rPr>
                <w:rFonts w:ascii="Times New Roman" w:eastAsia="宋体" w:hAnsi="Times New Roman" w:cs="宋体"/>
                <w:sz w:val="18"/>
                <w:szCs w:val="18"/>
              </w:rPr>
              <w:t>销售区域将仅限于四川省，确保龙大肉食中小股东的利益不受侵占或损失。四川三市生猪产业</w:t>
            </w:r>
            <w:proofErr w:type="gramStart"/>
            <w:r w:rsidRPr="00F614F9">
              <w:rPr>
                <w:rFonts w:ascii="Times New Roman" w:eastAsia="宋体" w:hAnsi="Times New Roman" w:cs="宋体"/>
                <w:sz w:val="18"/>
                <w:szCs w:val="18"/>
              </w:rPr>
              <w:t>链项目</w:t>
            </w:r>
            <w:proofErr w:type="gramEnd"/>
            <w:r w:rsidRPr="00F614F9">
              <w:rPr>
                <w:rFonts w:ascii="Times New Roman" w:eastAsia="宋体" w:hAnsi="Times New Roman" w:cs="宋体"/>
                <w:sz w:val="18"/>
                <w:szCs w:val="18"/>
              </w:rPr>
              <w:t>的经营主体</w:t>
            </w:r>
            <w:proofErr w:type="gramStart"/>
            <w:r w:rsidRPr="00F614F9">
              <w:rPr>
                <w:rFonts w:ascii="Times New Roman" w:eastAsia="宋体" w:hAnsi="Times New Roman" w:cs="宋体"/>
                <w:sz w:val="18"/>
                <w:szCs w:val="18"/>
              </w:rPr>
              <w:t>为五仓农牧</w:t>
            </w:r>
            <w:proofErr w:type="gramEnd"/>
            <w:r w:rsidRPr="00F614F9">
              <w:rPr>
                <w:rFonts w:ascii="Times New Roman" w:eastAsia="宋体" w:hAnsi="Times New Roman" w:cs="宋体"/>
                <w:sz w:val="18"/>
                <w:szCs w:val="18"/>
              </w:rPr>
              <w:t>集团有限公司（以下简称</w:t>
            </w:r>
            <w:r w:rsidRPr="00F614F9">
              <w:rPr>
                <w:rFonts w:ascii="Times New Roman" w:eastAsia="宋体" w:hAnsi="Times New Roman" w:cs="宋体"/>
                <w:sz w:val="18"/>
                <w:szCs w:val="18"/>
              </w:rPr>
              <w:t>  “</w:t>
            </w:r>
            <w:r w:rsidRPr="00F614F9">
              <w:rPr>
                <w:rFonts w:ascii="Times New Roman" w:eastAsia="宋体" w:hAnsi="Times New Roman" w:cs="宋体"/>
                <w:sz w:val="18"/>
                <w:szCs w:val="18"/>
              </w:rPr>
              <w:t>五仓农牧集团</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）及其下属各地子司。在四川三市生猪产业</w:t>
            </w:r>
            <w:proofErr w:type="gramStart"/>
            <w:r w:rsidRPr="00F614F9">
              <w:rPr>
                <w:rFonts w:ascii="Times New Roman" w:eastAsia="宋体" w:hAnsi="Times New Roman" w:cs="宋体"/>
                <w:sz w:val="18"/>
                <w:szCs w:val="18"/>
              </w:rPr>
              <w:t>链项目</w:t>
            </w:r>
            <w:proofErr w:type="gramEnd"/>
            <w:r w:rsidRPr="00F614F9">
              <w:rPr>
                <w:rFonts w:ascii="Times New Roman" w:eastAsia="宋体" w:hAnsi="Times New Roman" w:cs="宋体"/>
                <w:sz w:val="18"/>
                <w:szCs w:val="18"/>
              </w:rPr>
              <w:t>建设完成，且项目经营</w:t>
            </w:r>
            <w:proofErr w:type="gramStart"/>
            <w:r w:rsidRPr="00F614F9">
              <w:rPr>
                <w:rFonts w:ascii="Times New Roman" w:eastAsia="宋体" w:hAnsi="Times New Roman" w:cs="宋体"/>
                <w:sz w:val="18"/>
                <w:szCs w:val="18"/>
              </w:rPr>
              <w:t>主体五仓农牧</w:t>
            </w:r>
            <w:proofErr w:type="gramEnd"/>
            <w:r w:rsidRPr="00F614F9">
              <w:rPr>
                <w:rFonts w:ascii="Times New Roman" w:eastAsia="宋体" w:hAnsi="Times New Roman" w:cs="宋体"/>
                <w:sz w:val="18"/>
                <w:szCs w:val="18"/>
              </w:rPr>
              <w:t>集团符合注入上市公司条件后</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内，本公司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本人承诺</w:t>
            </w:r>
            <w:proofErr w:type="gramStart"/>
            <w:r w:rsidRPr="00F614F9">
              <w:rPr>
                <w:rFonts w:ascii="Times New Roman" w:eastAsia="宋体" w:hAnsi="Times New Roman" w:cs="宋体"/>
                <w:sz w:val="18"/>
                <w:szCs w:val="18"/>
              </w:rPr>
              <w:t>将五仓农牧</w:t>
            </w:r>
            <w:proofErr w:type="gramEnd"/>
            <w:r w:rsidRPr="00F614F9">
              <w:rPr>
                <w:rFonts w:ascii="Times New Roman" w:eastAsia="宋体" w:hAnsi="Times New Roman" w:cs="宋体"/>
                <w:sz w:val="18"/>
                <w:szCs w:val="18"/>
              </w:rPr>
              <w:t>集团按法定程序以市场公允价格注入上市公司，若上市公司明确放弃上述收购权利，则本公司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本人将采取向无关联第三方</w:t>
            </w:r>
            <w:proofErr w:type="gramStart"/>
            <w:r w:rsidRPr="00F614F9">
              <w:rPr>
                <w:rFonts w:ascii="Times New Roman" w:eastAsia="宋体" w:hAnsi="Times New Roman" w:cs="宋体"/>
                <w:sz w:val="18"/>
                <w:szCs w:val="18"/>
              </w:rPr>
              <w:t>转让五仓农牧</w:t>
            </w:r>
            <w:proofErr w:type="gramEnd"/>
            <w:r w:rsidRPr="00F614F9">
              <w:rPr>
                <w:rFonts w:ascii="Times New Roman" w:eastAsia="宋体" w:hAnsi="Times New Roman" w:cs="宋体"/>
                <w:sz w:val="18"/>
                <w:szCs w:val="18"/>
              </w:rPr>
              <w:t>集团股权等方式妥善解决同业竞争。当同时满足以下条件时，</w:t>
            </w:r>
            <w:proofErr w:type="gramStart"/>
            <w:r w:rsidRPr="00F614F9">
              <w:rPr>
                <w:rFonts w:ascii="Times New Roman" w:eastAsia="宋体" w:hAnsi="Times New Roman" w:cs="宋体"/>
                <w:sz w:val="18"/>
                <w:szCs w:val="18"/>
              </w:rPr>
              <w:t>五仓农牧</w:t>
            </w:r>
            <w:proofErr w:type="gramEnd"/>
            <w:r w:rsidRPr="00F614F9">
              <w:rPr>
                <w:rFonts w:ascii="Times New Roman" w:eastAsia="宋体" w:hAnsi="Times New Roman" w:cs="宋体"/>
                <w:sz w:val="18"/>
                <w:szCs w:val="18"/>
              </w:rPr>
              <w:t>集团将视为符合前述所约定的资产</w:t>
            </w:r>
            <w:r w:rsidRPr="00F614F9">
              <w:rPr>
                <w:rFonts w:ascii="Times New Roman" w:eastAsia="宋体" w:hAnsi="Times New Roman" w:cs="宋体"/>
                <w:sz w:val="18"/>
                <w:szCs w:val="18"/>
              </w:rPr>
              <w:lastRenderedPageBreak/>
              <w:t>注入条件：（</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）生产经营符合法律、行政法规和公司章程的规定，符合国家产业政策和有关环境保护、土地管理、反垄断等法律和行政法规的规定；（</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）所涉及的股权权属清晰，股权过户或者转移不存在法律障碍，相关债权债务处理合法；（</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w:t>
            </w:r>
            <w:proofErr w:type="gramStart"/>
            <w:r w:rsidRPr="00F614F9">
              <w:rPr>
                <w:rFonts w:ascii="Times New Roman" w:eastAsia="宋体" w:hAnsi="Times New Roman" w:cs="宋体"/>
                <w:sz w:val="18"/>
                <w:szCs w:val="18"/>
              </w:rPr>
              <w:t>五仓农牧</w:t>
            </w:r>
            <w:proofErr w:type="gramEnd"/>
            <w:r w:rsidRPr="00F614F9">
              <w:rPr>
                <w:rFonts w:ascii="Times New Roman" w:eastAsia="宋体" w:hAnsi="Times New Roman" w:cs="宋体"/>
                <w:sz w:val="18"/>
                <w:szCs w:val="18"/>
              </w:rPr>
              <w:t>集团最近一年实现的扣除非经常性损益后归属于母公司股东净利润（合并口径）为正，上述财务数据需经具有证券资格的会计师事务所审计。（</w:t>
            </w:r>
            <w:r w:rsidRPr="00F614F9">
              <w:rPr>
                <w:rFonts w:ascii="Times New Roman" w:eastAsia="宋体" w:hAnsi="Times New Roman" w:cs="宋体"/>
                <w:sz w:val="18"/>
                <w:szCs w:val="18"/>
              </w:rPr>
              <w:t>4</w:t>
            </w:r>
            <w:r w:rsidRPr="00F614F9">
              <w:rPr>
                <w:rFonts w:ascii="Times New Roman" w:eastAsia="宋体" w:hAnsi="Times New Roman" w:cs="宋体"/>
                <w:sz w:val="18"/>
                <w:szCs w:val="18"/>
              </w:rPr>
              <w:t>）符合相关法律法规及规范性文件、证券监管机构的相关监管要求。本公司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本人承诺最迟不超过</w:t>
            </w:r>
            <w:r w:rsidRPr="00F614F9">
              <w:rPr>
                <w:rFonts w:ascii="Times New Roman" w:eastAsia="宋体" w:hAnsi="Times New Roman" w:cs="宋体"/>
                <w:sz w:val="18"/>
                <w:szCs w:val="18"/>
              </w:rPr>
              <w:t xml:space="preserve"> 2023 </w:t>
            </w:r>
            <w:r w:rsidRPr="00F614F9">
              <w:rPr>
                <w:rFonts w:ascii="Times New Roman" w:eastAsia="宋体" w:hAnsi="Times New Roman" w:cs="宋体"/>
                <w:sz w:val="18"/>
                <w:szCs w:val="18"/>
              </w:rPr>
              <w:t>年末前完成</w:t>
            </w:r>
            <w:proofErr w:type="gramStart"/>
            <w:r w:rsidRPr="00F614F9">
              <w:rPr>
                <w:rFonts w:ascii="Times New Roman" w:eastAsia="宋体" w:hAnsi="Times New Roman" w:cs="宋体"/>
                <w:sz w:val="18"/>
                <w:szCs w:val="18"/>
              </w:rPr>
              <w:t>将五仓农牧</w:t>
            </w:r>
            <w:proofErr w:type="gramEnd"/>
            <w:r w:rsidRPr="00F614F9">
              <w:rPr>
                <w:rFonts w:ascii="Times New Roman" w:eastAsia="宋体" w:hAnsi="Times New Roman" w:cs="宋体"/>
                <w:sz w:val="18"/>
                <w:szCs w:val="18"/>
              </w:rPr>
              <w:t>集团的股权注入上市公司的协议签署，在上市公司明确放弃上述收购权利时，最迟不超过</w:t>
            </w:r>
            <w:r w:rsidRPr="00F614F9">
              <w:rPr>
                <w:rFonts w:ascii="Times New Roman" w:eastAsia="宋体" w:hAnsi="Times New Roman" w:cs="宋体"/>
                <w:sz w:val="18"/>
                <w:szCs w:val="18"/>
              </w:rPr>
              <w:t xml:space="preserve"> 2023</w:t>
            </w:r>
            <w:r w:rsidRPr="00F614F9">
              <w:rPr>
                <w:rFonts w:ascii="Times New Roman" w:eastAsia="宋体" w:hAnsi="Times New Roman" w:cs="宋体"/>
                <w:sz w:val="18"/>
                <w:szCs w:val="18"/>
              </w:rPr>
              <w:t>年末前向无关联第三方</w:t>
            </w:r>
            <w:proofErr w:type="gramStart"/>
            <w:r w:rsidRPr="00F614F9">
              <w:rPr>
                <w:rFonts w:ascii="Times New Roman" w:eastAsia="宋体" w:hAnsi="Times New Roman" w:cs="宋体"/>
                <w:sz w:val="18"/>
                <w:szCs w:val="18"/>
              </w:rPr>
              <w:t>转让五仓农牧</w:t>
            </w:r>
            <w:proofErr w:type="gramEnd"/>
            <w:r w:rsidRPr="00F614F9">
              <w:rPr>
                <w:rFonts w:ascii="Times New Roman" w:eastAsia="宋体" w:hAnsi="Times New Roman" w:cs="宋体"/>
                <w:sz w:val="18"/>
                <w:szCs w:val="18"/>
              </w:rPr>
              <w:t>集团股权。</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、本公司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本人及本公司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本人控制的除上市公司外的其他成员因违反前述声明、承诺而获得的收益由上市公司享有，如造成上市公司经济损失的，本公司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本人同意赔偿上市公司相应损失。</w:t>
            </w:r>
            <w:r w:rsidRPr="00F614F9">
              <w:rPr>
                <w:rFonts w:ascii="Times New Roman" w:eastAsia="宋体" w:hAnsi="Times New Roman" w:cs="宋体"/>
                <w:sz w:val="18"/>
                <w:szCs w:val="18"/>
              </w:rPr>
              <w:t>”</w:t>
            </w:r>
          </w:p>
        </w:tc>
        <w:tc>
          <w:tcPr>
            <w:tcW w:w="2410" w:type="dxa"/>
            <w:tcBorders>
              <w:top w:val="single" w:sz="2" w:space="0" w:color="auto"/>
              <w:left w:val="single" w:sz="2" w:space="0" w:color="auto"/>
              <w:bottom w:val="single" w:sz="2" w:space="0" w:color="auto"/>
              <w:right w:val="single" w:sz="2" w:space="0" w:color="auto"/>
            </w:tcBorders>
            <w:vAlign w:val="center"/>
          </w:tcPr>
          <w:p w14:paraId="046D425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控股股东及实际控制人对避免同业竞争承诺事项进行延期，将避免同业竞争承诺的履行期限延期至</w:t>
            </w:r>
            <w:r w:rsidRPr="00F614F9">
              <w:rPr>
                <w:rFonts w:ascii="Times New Roman" w:eastAsia="宋体" w:hAnsi="Times New Roman" w:cs="宋体"/>
                <w:sz w:val="18"/>
                <w:szCs w:val="18"/>
              </w:rPr>
              <w:t>2025</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31</w:t>
            </w:r>
            <w:r w:rsidRPr="00F614F9">
              <w:rPr>
                <w:rFonts w:ascii="Times New Roman" w:eastAsia="宋体" w:hAnsi="Times New Roman" w:cs="宋体"/>
                <w:sz w:val="18"/>
                <w:szCs w:val="18"/>
              </w:rPr>
              <w:t>日，并在解决同业竞争之前，控股股东以股权托管的方式</w:t>
            </w:r>
            <w:proofErr w:type="gramStart"/>
            <w:r w:rsidRPr="00F614F9">
              <w:rPr>
                <w:rFonts w:ascii="Times New Roman" w:eastAsia="宋体" w:hAnsi="Times New Roman" w:cs="宋体"/>
                <w:sz w:val="18"/>
                <w:szCs w:val="18"/>
              </w:rPr>
              <w:t>将五仓农牧</w:t>
            </w:r>
            <w:proofErr w:type="gramEnd"/>
            <w:r w:rsidRPr="00F614F9">
              <w:rPr>
                <w:rFonts w:ascii="Times New Roman" w:eastAsia="宋体" w:hAnsi="Times New Roman" w:cs="宋体"/>
                <w:sz w:val="18"/>
                <w:szCs w:val="18"/>
              </w:rPr>
              <w:t>集团有限公司股权委托公司代为管理</w:t>
            </w: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日，公司召开第四届董事会第三十五次会议审议通过了《关于实施四川三市生猪产业链项目商业机会中生猪屠宰和深加工项目的议案》，公司拟实施之前已暂时放弃的四川省巴中市、达州市和南充市三市生猪产业</w:t>
            </w:r>
            <w:proofErr w:type="gramStart"/>
            <w:r w:rsidRPr="00F614F9">
              <w:rPr>
                <w:rFonts w:ascii="Times New Roman" w:eastAsia="宋体" w:hAnsi="Times New Roman" w:cs="宋体"/>
                <w:sz w:val="18"/>
                <w:szCs w:val="18"/>
              </w:rPr>
              <w:t>链项目</w:t>
            </w:r>
            <w:proofErr w:type="gramEnd"/>
            <w:r w:rsidRPr="00F614F9">
              <w:rPr>
                <w:rFonts w:ascii="Times New Roman" w:eastAsia="宋体" w:hAnsi="Times New Roman" w:cs="宋体"/>
                <w:sz w:val="18"/>
                <w:szCs w:val="18"/>
              </w:rPr>
              <w:t>商业机会中的生猪屠宰和深加工项目。该议案后经</w:t>
            </w: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年第四次临时股东大会审议通过。控股股东、实际控制人出具了新的承诺。详见</w:t>
            </w: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27</w:t>
            </w:r>
            <w:r w:rsidRPr="00F614F9">
              <w:rPr>
                <w:rFonts w:ascii="Times New Roman" w:eastAsia="宋体" w:hAnsi="Times New Roman" w:cs="宋体"/>
                <w:sz w:val="18"/>
                <w:szCs w:val="18"/>
              </w:rPr>
              <w:t>日的巨潮资讯网。</w:t>
            </w:r>
          </w:p>
          <w:p w14:paraId="6E96AFE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月，公司召开第五届董事会第十九次会议和</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年第四次临时股东大会审议通过了《关于控股股东及实际控制人避免同业竞争承诺延期履行的议案》，同意控股股东及实际控制人对避免同业竞争承诺事项进行延期，将避免同业竞争承诺的履行期限延期至</w:t>
            </w:r>
            <w:r w:rsidRPr="00F614F9">
              <w:rPr>
                <w:rFonts w:ascii="Times New Roman" w:eastAsia="宋体" w:hAnsi="Times New Roman" w:cs="宋体"/>
                <w:sz w:val="18"/>
                <w:szCs w:val="18"/>
              </w:rPr>
              <w:t>2025</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31</w:t>
            </w:r>
            <w:r w:rsidRPr="00F614F9">
              <w:rPr>
                <w:rFonts w:ascii="Times New Roman" w:eastAsia="宋体" w:hAnsi="Times New Roman" w:cs="宋体"/>
                <w:sz w:val="18"/>
                <w:szCs w:val="18"/>
              </w:rPr>
              <w:t>日，并在解决同业竞争之前，控股股东以股权托管的方式</w:t>
            </w:r>
            <w:proofErr w:type="gramStart"/>
            <w:r w:rsidRPr="00F614F9">
              <w:rPr>
                <w:rFonts w:ascii="Times New Roman" w:eastAsia="宋体" w:hAnsi="Times New Roman" w:cs="宋体"/>
                <w:sz w:val="18"/>
                <w:szCs w:val="18"/>
              </w:rPr>
              <w:t>将五仓农牧</w:t>
            </w:r>
            <w:proofErr w:type="gramEnd"/>
            <w:r w:rsidRPr="00F614F9">
              <w:rPr>
                <w:rFonts w:ascii="Times New Roman" w:eastAsia="宋体" w:hAnsi="Times New Roman" w:cs="宋体"/>
                <w:sz w:val="18"/>
                <w:szCs w:val="18"/>
              </w:rPr>
              <w:t>集团有限</w:t>
            </w:r>
            <w:r w:rsidRPr="00F614F9">
              <w:rPr>
                <w:rFonts w:ascii="Times New Roman" w:eastAsia="宋体" w:hAnsi="Times New Roman" w:cs="宋体"/>
                <w:sz w:val="18"/>
                <w:szCs w:val="18"/>
              </w:rPr>
              <w:lastRenderedPageBreak/>
              <w:t>公司股权委托公司代为管理。具体内容详见</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日公司在指定披露媒体披露的《山东龙大美食股份有限公司关于控股股东及实际控制人避免同业竞争承诺延期履行的公告》。</w:t>
            </w:r>
          </w:p>
        </w:tc>
      </w:tr>
    </w:tbl>
    <w:p w14:paraId="16981803"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84" w:name="_Toc988948"/>
      <w:bookmarkStart w:id="85" w:name="_Toc164024772"/>
      <w:r w:rsidRPr="00F614F9">
        <w:rPr>
          <w:rFonts w:ascii="Times New Roman" w:eastAsia="宋体" w:hAnsi="Times New Roman" w:cs="宋体"/>
          <w:b/>
          <w:bCs/>
          <w:sz w:val="24"/>
          <w:szCs w:val="24"/>
        </w:rPr>
        <w:lastRenderedPageBreak/>
        <w:t>四、报告期内召开的年度股东大会和临时股东大会的有关情况</w:t>
      </w:r>
      <w:bookmarkEnd w:id="84"/>
      <w:bookmarkEnd w:id="85"/>
    </w:p>
    <w:p w14:paraId="63DDE349" w14:textId="77777777" w:rsidR="001D26E7" w:rsidRPr="00F614F9" w:rsidRDefault="00000000">
      <w:pPr>
        <w:pStyle w:val="3"/>
        <w:spacing w:line="280" w:lineRule="exact"/>
        <w:jc w:val="left"/>
        <w:rPr>
          <w:rFonts w:ascii="Times New Roman" w:hAnsi="Times New Roman" w:cs="宋体"/>
          <w:b/>
          <w:bCs/>
        </w:rPr>
      </w:pPr>
      <w:bookmarkStart w:id="86" w:name="_Toc988949"/>
      <w:r w:rsidRPr="00F614F9">
        <w:rPr>
          <w:rFonts w:ascii="Times New Roman" w:hAnsi="Times New Roman" w:cs="宋体"/>
          <w:b/>
          <w:bCs/>
        </w:rPr>
        <w:t>1</w:t>
      </w:r>
      <w:r w:rsidRPr="00F614F9">
        <w:rPr>
          <w:rFonts w:ascii="Times New Roman" w:hAnsi="Times New Roman" w:cs="宋体"/>
          <w:b/>
          <w:bCs/>
        </w:rPr>
        <w:t>、本报告期股东大会情况</w:t>
      </w:r>
      <w:bookmarkEnd w:id="86"/>
    </w:p>
    <w:tbl>
      <w:tblPr>
        <w:tblW w:w="9781" w:type="dxa"/>
        <w:tblInd w:w="-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8"/>
        <w:gridCol w:w="1418"/>
        <w:gridCol w:w="992"/>
        <w:gridCol w:w="1701"/>
        <w:gridCol w:w="1701"/>
        <w:gridCol w:w="2551"/>
      </w:tblGrid>
      <w:tr w:rsidR="001D26E7" w:rsidRPr="00F614F9" w14:paraId="7D2DBC74" w14:textId="77777777" w:rsidTr="000C52A2">
        <w:trPr>
          <w:trHeight w:val="240"/>
        </w:trPr>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52654A3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会议届次</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12DC68D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会议类型</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2CAE993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投资者参与比例</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41385A5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召开日期</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29EDF45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披露日期</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14:paraId="28C3DE2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会议决议</w:t>
            </w:r>
          </w:p>
        </w:tc>
      </w:tr>
      <w:tr w:rsidR="001D26E7" w:rsidRPr="00F614F9" w14:paraId="1C943D06" w14:textId="77777777" w:rsidTr="000C52A2">
        <w:trPr>
          <w:trHeight w:val="240"/>
        </w:trPr>
        <w:tc>
          <w:tcPr>
            <w:tcW w:w="1418" w:type="dxa"/>
            <w:tcBorders>
              <w:top w:val="single" w:sz="2" w:space="0" w:color="auto"/>
              <w:left w:val="single" w:sz="2" w:space="0" w:color="auto"/>
              <w:bottom w:val="single" w:sz="2" w:space="0" w:color="auto"/>
              <w:right w:val="single" w:sz="2" w:space="0" w:color="auto"/>
            </w:tcBorders>
            <w:vAlign w:val="center"/>
          </w:tcPr>
          <w:p w14:paraId="5EA3A2E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年第一次临时股东大会</w:t>
            </w:r>
          </w:p>
        </w:tc>
        <w:tc>
          <w:tcPr>
            <w:tcW w:w="1418" w:type="dxa"/>
            <w:tcBorders>
              <w:top w:val="single" w:sz="2" w:space="0" w:color="auto"/>
              <w:left w:val="single" w:sz="2" w:space="0" w:color="auto"/>
              <w:bottom w:val="single" w:sz="2" w:space="0" w:color="auto"/>
              <w:right w:val="single" w:sz="2" w:space="0" w:color="auto"/>
            </w:tcBorders>
            <w:vAlign w:val="center"/>
          </w:tcPr>
          <w:p w14:paraId="46AC6B9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临时股东大会</w:t>
            </w:r>
          </w:p>
        </w:tc>
        <w:tc>
          <w:tcPr>
            <w:tcW w:w="992" w:type="dxa"/>
            <w:tcBorders>
              <w:top w:val="single" w:sz="2" w:space="0" w:color="auto"/>
              <w:left w:val="single" w:sz="2" w:space="0" w:color="auto"/>
              <w:bottom w:val="single" w:sz="2" w:space="0" w:color="auto"/>
              <w:right w:val="single" w:sz="2" w:space="0" w:color="auto"/>
            </w:tcBorders>
            <w:vAlign w:val="center"/>
          </w:tcPr>
          <w:p w14:paraId="5FA7DE7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43.01%</w:t>
            </w:r>
          </w:p>
        </w:tc>
        <w:tc>
          <w:tcPr>
            <w:tcW w:w="1701" w:type="dxa"/>
            <w:tcBorders>
              <w:top w:val="single" w:sz="2" w:space="0" w:color="auto"/>
              <w:left w:val="single" w:sz="2" w:space="0" w:color="auto"/>
              <w:bottom w:val="single" w:sz="2" w:space="0" w:color="auto"/>
              <w:right w:val="single" w:sz="2" w:space="0" w:color="auto"/>
            </w:tcBorders>
            <w:vAlign w:val="center"/>
          </w:tcPr>
          <w:p w14:paraId="460D481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0692F57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13</w:t>
            </w:r>
            <w:r w:rsidRPr="00F614F9">
              <w:rPr>
                <w:rFonts w:ascii="Times New Roman" w:eastAsia="宋体" w:hAnsi="Times New Roman" w:cs="宋体"/>
                <w:sz w:val="18"/>
                <w:szCs w:val="18"/>
              </w:rPr>
              <w:t>日</w:t>
            </w:r>
          </w:p>
        </w:tc>
        <w:tc>
          <w:tcPr>
            <w:tcW w:w="2551" w:type="dxa"/>
            <w:tcBorders>
              <w:top w:val="single" w:sz="2" w:space="0" w:color="auto"/>
              <w:left w:val="single" w:sz="2" w:space="0" w:color="auto"/>
              <w:bottom w:val="single" w:sz="2" w:space="0" w:color="auto"/>
              <w:right w:val="single" w:sz="2" w:space="0" w:color="auto"/>
            </w:tcBorders>
            <w:vAlign w:val="center"/>
          </w:tcPr>
          <w:p w14:paraId="4EE0AE8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具体内容详见巨潮资讯网（</w:t>
            </w:r>
            <w:r w:rsidRPr="00F614F9">
              <w:rPr>
                <w:rFonts w:ascii="Times New Roman" w:eastAsia="宋体" w:hAnsi="Times New Roman" w:cs="宋体"/>
                <w:sz w:val="18"/>
                <w:szCs w:val="18"/>
              </w:rPr>
              <w:t>http://www.cninfo.com.cn</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年第一次临时股东大会决议公告》（</w:t>
            </w:r>
            <w:r w:rsidRPr="00F614F9">
              <w:rPr>
                <w:rFonts w:ascii="Times New Roman" w:eastAsia="宋体" w:hAnsi="Times New Roman" w:cs="宋体"/>
                <w:sz w:val="18"/>
                <w:szCs w:val="18"/>
              </w:rPr>
              <w:t>2023-005</w:t>
            </w:r>
            <w:r w:rsidRPr="00F614F9">
              <w:rPr>
                <w:rFonts w:ascii="Times New Roman" w:eastAsia="宋体" w:hAnsi="Times New Roman" w:cs="宋体"/>
                <w:sz w:val="18"/>
                <w:szCs w:val="18"/>
              </w:rPr>
              <w:t>）</w:t>
            </w:r>
          </w:p>
        </w:tc>
      </w:tr>
      <w:tr w:rsidR="001D26E7" w:rsidRPr="00F614F9" w14:paraId="59E2192B" w14:textId="77777777" w:rsidTr="000C52A2">
        <w:trPr>
          <w:trHeight w:val="240"/>
        </w:trPr>
        <w:tc>
          <w:tcPr>
            <w:tcW w:w="1418" w:type="dxa"/>
            <w:tcBorders>
              <w:top w:val="single" w:sz="2" w:space="0" w:color="auto"/>
              <w:left w:val="single" w:sz="2" w:space="0" w:color="auto"/>
              <w:bottom w:val="single" w:sz="2" w:space="0" w:color="auto"/>
              <w:right w:val="single" w:sz="2" w:space="0" w:color="auto"/>
            </w:tcBorders>
            <w:vAlign w:val="center"/>
          </w:tcPr>
          <w:p w14:paraId="7DF5C9B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年年度股东大会</w:t>
            </w:r>
          </w:p>
        </w:tc>
        <w:tc>
          <w:tcPr>
            <w:tcW w:w="1418" w:type="dxa"/>
            <w:tcBorders>
              <w:top w:val="single" w:sz="2" w:space="0" w:color="auto"/>
              <w:left w:val="single" w:sz="2" w:space="0" w:color="auto"/>
              <w:bottom w:val="single" w:sz="2" w:space="0" w:color="auto"/>
              <w:right w:val="single" w:sz="2" w:space="0" w:color="auto"/>
            </w:tcBorders>
            <w:vAlign w:val="center"/>
          </w:tcPr>
          <w:p w14:paraId="5947AC8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年度股东大会</w:t>
            </w:r>
          </w:p>
        </w:tc>
        <w:tc>
          <w:tcPr>
            <w:tcW w:w="992" w:type="dxa"/>
            <w:tcBorders>
              <w:top w:val="single" w:sz="2" w:space="0" w:color="auto"/>
              <w:left w:val="single" w:sz="2" w:space="0" w:color="auto"/>
              <w:bottom w:val="single" w:sz="2" w:space="0" w:color="auto"/>
              <w:right w:val="single" w:sz="2" w:space="0" w:color="auto"/>
            </w:tcBorders>
            <w:vAlign w:val="center"/>
          </w:tcPr>
          <w:p w14:paraId="2DB34C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43.08%</w:t>
            </w:r>
          </w:p>
        </w:tc>
        <w:tc>
          <w:tcPr>
            <w:tcW w:w="1701" w:type="dxa"/>
            <w:tcBorders>
              <w:top w:val="single" w:sz="2" w:space="0" w:color="auto"/>
              <w:left w:val="single" w:sz="2" w:space="0" w:color="auto"/>
              <w:bottom w:val="single" w:sz="2" w:space="0" w:color="auto"/>
              <w:right w:val="single" w:sz="2" w:space="0" w:color="auto"/>
            </w:tcBorders>
            <w:vAlign w:val="center"/>
          </w:tcPr>
          <w:p w14:paraId="528ABBF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2F58E68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26</w:t>
            </w:r>
            <w:r w:rsidRPr="00F614F9">
              <w:rPr>
                <w:rFonts w:ascii="Times New Roman" w:eastAsia="宋体" w:hAnsi="Times New Roman" w:cs="宋体"/>
                <w:sz w:val="18"/>
                <w:szCs w:val="18"/>
              </w:rPr>
              <w:t>日</w:t>
            </w:r>
          </w:p>
        </w:tc>
        <w:tc>
          <w:tcPr>
            <w:tcW w:w="2551" w:type="dxa"/>
            <w:tcBorders>
              <w:top w:val="single" w:sz="2" w:space="0" w:color="auto"/>
              <w:left w:val="single" w:sz="2" w:space="0" w:color="auto"/>
              <w:bottom w:val="single" w:sz="2" w:space="0" w:color="auto"/>
              <w:right w:val="single" w:sz="2" w:space="0" w:color="auto"/>
            </w:tcBorders>
            <w:vAlign w:val="center"/>
          </w:tcPr>
          <w:p w14:paraId="00911BB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具体内容详见巨潮资讯网（</w:t>
            </w:r>
            <w:r w:rsidRPr="00F614F9">
              <w:rPr>
                <w:rFonts w:ascii="Times New Roman" w:eastAsia="宋体" w:hAnsi="Times New Roman" w:cs="宋体"/>
                <w:sz w:val="18"/>
                <w:szCs w:val="18"/>
              </w:rPr>
              <w:t>http://www.cninfo.com.cn</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年年度股东大会决议公告》（</w:t>
            </w:r>
            <w:r w:rsidRPr="00F614F9">
              <w:rPr>
                <w:rFonts w:ascii="Times New Roman" w:eastAsia="宋体" w:hAnsi="Times New Roman" w:cs="宋体"/>
                <w:sz w:val="18"/>
                <w:szCs w:val="18"/>
              </w:rPr>
              <w:t>2023-038</w:t>
            </w:r>
            <w:r w:rsidRPr="00F614F9">
              <w:rPr>
                <w:rFonts w:ascii="Times New Roman" w:eastAsia="宋体" w:hAnsi="Times New Roman" w:cs="宋体"/>
                <w:sz w:val="18"/>
                <w:szCs w:val="18"/>
              </w:rPr>
              <w:t>）</w:t>
            </w:r>
          </w:p>
        </w:tc>
      </w:tr>
      <w:tr w:rsidR="001D26E7" w:rsidRPr="00F614F9" w14:paraId="1AC0196C" w14:textId="77777777" w:rsidTr="000C52A2">
        <w:trPr>
          <w:trHeight w:val="240"/>
        </w:trPr>
        <w:tc>
          <w:tcPr>
            <w:tcW w:w="1418" w:type="dxa"/>
            <w:tcBorders>
              <w:top w:val="single" w:sz="2" w:space="0" w:color="auto"/>
              <w:left w:val="single" w:sz="2" w:space="0" w:color="auto"/>
              <w:bottom w:val="single" w:sz="2" w:space="0" w:color="auto"/>
              <w:right w:val="single" w:sz="2" w:space="0" w:color="auto"/>
            </w:tcBorders>
            <w:vAlign w:val="center"/>
          </w:tcPr>
          <w:p w14:paraId="51EC7BF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年第二次临时股东大会</w:t>
            </w:r>
          </w:p>
        </w:tc>
        <w:tc>
          <w:tcPr>
            <w:tcW w:w="1418" w:type="dxa"/>
            <w:tcBorders>
              <w:top w:val="single" w:sz="2" w:space="0" w:color="auto"/>
              <w:left w:val="single" w:sz="2" w:space="0" w:color="auto"/>
              <w:bottom w:val="single" w:sz="2" w:space="0" w:color="auto"/>
              <w:right w:val="single" w:sz="2" w:space="0" w:color="auto"/>
            </w:tcBorders>
            <w:vAlign w:val="center"/>
          </w:tcPr>
          <w:p w14:paraId="785C5C8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临时股东大会</w:t>
            </w:r>
          </w:p>
        </w:tc>
        <w:tc>
          <w:tcPr>
            <w:tcW w:w="992" w:type="dxa"/>
            <w:tcBorders>
              <w:top w:val="single" w:sz="2" w:space="0" w:color="auto"/>
              <w:left w:val="single" w:sz="2" w:space="0" w:color="auto"/>
              <w:bottom w:val="single" w:sz="2" w:space="0" w:color="auto"/>
              <w:right w:val="single" w:sz="2" w:space="0" w:color="auto"/>
            </w:tcBorders>
            <w:vAlign w:val="center"/>
          </w:tcPr>
          <w:p w14:paraId="0A5701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43.11%</w:t>
            </w:r>
          </w:p>
        </w:tc>
        <w:tc>
          <w:tcPr>
            <w:tcW w:w="1701" w:type="dxa"/>
            <w:tcBorders>
              <w:top w:val="single" w:sz="2" w:space="0" w:color="auto"/>
              <w:left w:val="single" w:sz="2" w:space="0" w:color="auto"/>
              <w:bottom w:val="single" w:sz="2" w:space="0" w:color="auto"/>
              <w:right w:val="single" w:sz="2" w:space="0" w:color="auto"/>
            </w:tcBorders>
            <w:vAlign w:val="center"/>
          </w:tcPr>
          <w:p w14:paraId="46E591A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7012185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日</w:t>
            </w:r>
          </w:p>
        </w:tc>
        <w:tc>
          <w:tcPr>
            <w:tcW w:w="2551" w:type="dxa"/>
            <w:tcBorders>
              <w:top w:val="single" w:sz="2" w:space="0" w:color="auto"/>
              <w:left w:val="single" w:sz="2" w:space="0" w:color="auto"/>
              <w:bottom w:val="single" w:sz="2" w:space="0" w:color="auto"/>
              <w:right w:val="single" w:sz="2" w:space="0" w:color="auto"/>
            </w:tcBorders>
            <w:vAlign w:val="center"/>
          </w:tcPr>
          <w:p w14:paraId="013CF64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具体内容详见巨潮资讯网（</w:t>
            </w:r>
            <w:r w:rsidRPr="00F614F9">
              <w:rPr>
                <w:rFonts w:ascii="Times New Roman" w:eastAsia="宋体" w:hAnsi="Times New Roman" w:cs="宋体"/>
                <w:sz w:val="18"/>
                <w:szCs w:val="18"/>
              </w:rPr>
              <w:t>http://www.cninfo.com.cn</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年第二次临时股东大会决议公告》（</w:t>
            </w:r>
            <w:r w:rsidRPr="00F614F9">
              <w:rPr>
                <w:rFonts w:ascii="Times New Roman" w:eastAsia="宋体" w:hAnsi="Times New Roman" w:cs="宋体"/>
                <w:sz w:val="18"/>
                <w:szCs w:val="18"/>
              </w:rPr>
              <w:t>2023-042</w:t>
            </w:r>
            <w:r w:rsidRPr="00F614F9">
              <w:rPr>
                <w:rFonts w:ascii="Times New Roman" w:eastAsia="宋体" w:hAnsi="Times New Roman" w:cs="宋体"/>
                <w:sz w:val="18"/>
                <w:szCs w:val="18"/>
              </w:rPr>
              <w:t>）</w:t>
            </w:r>
          </w:p>
        </w:tc>
      </w:tr>
      <w:tr w:rsidR="001D26E7" w:rsidRPr="00F614F9" w14:paraId="4073E0D6" w14:textId="77777777" w:rsidTr="000C52A2">
        <w:trPr>
          <w:trHeight w:val="240"/>
        </w:trPr>
        <w:tc>
          <w:tcPr>
            <w:tcW w:w="1418" w:type="dxa"/>
            <w:tcBorders>
              <w:top w:val="single" w:sz="2" w:space="0" w:color="auto"/>
              <w:left w:val="single" w:sz="2" w:space="0" w:color="auto"/>
              <w:bottom w:val="single" w:sz="2" w:space="0" w:color="auto"/>
              <w:right w:val="single" w:sz="2" w:space="0" w:color="auto"/>
            </w:tcBorders>
            <w:vAlign w:val="center"/>
          </w:tcPr>
          <w:p w14:paraId="569BF6B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年第三次临时股东大会</w:t>
            </w:r>
          </w:p>
        </w:tc>
        <w:tc>
          <w:tcPr>
            <w:tcW w:w="1418" w:type="dxa"/>
            <w:tcBorders>
              <w:top w:val="single" w:sz="2" w:space="0" w:color="auto"/>
              <w:left w:val="single" w:sz="2" w:space="0" w:color="auto"/>
              <w:bottom w:val="single" w:sz="2" w:space="0" w:color="auto"/>
              <w:right w:val="single" w:sz="2" w:space="0" w:color="auto"/>
            </w:tcBorders>
            <w:vAlign w:val="center"/>
          </w:tcPr>
          <w:p w14:paraId="38557FF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临时股东大会</w:t>
            </w:r>
          </w:p>
        </w:tc>
        <w:tc>
          <w:tcPr>
            <w:tcW w:w="992" w:type="dxa"/>
            <w:tcBorders>
              <w:top w:val="single" w:sz="2" w:space="0" w:color="auto"/>
              <w:left w:val="single" w:sz="2" w:space="0" w:color="auto"/>
              <w:bottom w:val="single" w:sz="2" w:space="0" w:color="auto"/>
              <w:right w:val="single" w:sz="2" w:space="0" w:color="auto"/>
            </w:tcBorders>
            <w:vAlign w:val="center"/>
          </w:tcPr>
          <w:p w14:paraId="431B446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43.07%</w:t>
            </w:r>
          </w:p>
        </w:tc>
        <w:tc>
          <w:tcPr>
            <w:tcW w:w="1701" w:type="dxa"/>
            <w:tcBorders>
              <w:top w:val="single" w:sz="2" w:space="0" w:color="auto"/>
              <w:left w:val="single" w:sz="2" w:space="0" w:color="auto"/>
              <w:bottom w:val="single" w:sz="2" w:space="0" w:color="auto"/>
              <w:right w:val="single" w:sz="2" w:space="0" w:color="auto"/>
            </w:tcBorders>
            <w:vAlign w:val="center"/>
          </w:tcPr>
          <w:p w14:paraId="081B1DA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31</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134E208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09</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日</w:t>
            </w:r>
          </w:p>
        </w:tc>
        <w:tc>
          <w:tcPr>
            <w:tcW w:w="2551" w:type="dxa"/>
            <w:tcBorders>
              <w:top w:val="single" w:sz="2" w:space="0" w:color="auto"/>
              <w:left w:val="single" w:sz="2" w:space="0" w:color="auto"/>
              <w:bottom w:val="single" w:sz="2" w:space="0" w:color="auto"/>
              <w:right w:val="single" w:sz="2" w:space="0" w:color="auto"/>
            </w:tcBorders>
            <w:vAlign w:val="center"/>
          </w:tcPr>
          <w:p w14:paraId="3743D5F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具体内容详见巨潮资讯网（</w:t>
            </w:r>
            <w:r w:rsidRPr="00F614F9">
              <w:rPr>
                <w:rFonts w:ascii="Times New Roman" w:eastAsia="宋体" w:hAnsi="Times New Roman" w:cs="宋体"/>
                <w:sz w:val="18"/>
                <w:szCs w:val="18"/>
              </w:rPr>
              <w:t>http://www.cninfo.com.cn</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年第三次临时股东大会决议公告》（</w:t>
            </w:r>
            <w:r w:rsidRPr="00F614F9">
              <w:rPr>
                <w:rFonts w:ascii="Times New Roman" w:eastAsia="宋体" w:hAnsi="Times New Roman" w:cs="宋体"/>
                <w:sz w:val="18"/>
                <w:szCs w:val="18"/>
              </w:rPr>
              <w:t>2023-068</w:t>
            </w:r>
            <w:r w:rsidRPr="00F614F9">
              <w:rPr>
                <w:rFonts w:ascii="Times New Roman" w:eastAsia="宋体" w:hAnsi="Times New Roman" w:cs="宋体"/>
                <w:sz w:val="18"/>
                <w:szCs w:val="18"/>
              </w:rPr>
              <w:t>）</w:t>
            </w:r>
          </w:p>
        </w:tc>
      </w:tr>
      <w:tr w:rsidR="001D26E7" w:rsidRPr="00F614F9" w14:paraId="60313673" w14:textId="77777777" w:rsidTr="000C52A2">
        <w:trPr>
          <w:trHeight w:val="240"/>
        </w:trPr>
        <w:tc>
          <w:tcPr>
            <w:tcW w:w="1418" w:type="dxa"/>
            <w:tcBorders>
              <w:top w:val="single" w:sz="2" w:space="0" w:color="auto"/>
              <w:left w:val="single" w:sz="2" w:space="0" w:color="auto"/>
              <w:bottom w:val="single" w:sz="2" w:space="0" w:color="auto"/>
              <w:right w:val="single" w:sz="2" w:space="0" w:color="auto"/>
            </w:tcBorders>
            <w:vAlign w:val="center"/>
          </w:tcPr>
          <w:p w14:paraId="38853A8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年第四次临时股东大会</w:t>
            </w:r>
          </w:p>
        </w:tc>
        <w:tc>
          <w:tcPr>
            <w:tcW w:w="1418" w:type="dxa"/>
            <w:tcBorders>
              <w:top w:val="single" w:sz="2" w:space="0" w:color="auto"/>
              <w:left w:val="single" w:sz="2" w:space="0" w:color="auto"/>
              <w:bottom w:val="single" w:sz="2" w:space="0" w:color="auto"/>
              <w:right w:val="single" w:sz="2" w:space="0" w:color="auto"/>
            </w:tcBorders>
            <w:vAlign w:val="center"/>
          </w:tcPr>
          <w:p w14:paraId="6A22024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临时股东大会</w:t>
            </w:r>
          </w:p>
        </w:tc>
        <w:tc>
          <w:tcPr>
            <w:tcW w:w="992" w:type="dxa"/>
            <w:tcBorders>
              <w:top w:val="single" w:sz="2" w:space="0" w:color="auto"/>
              <w:left w:val="single" w:sz="2" w:space="0" w:color="auto"/>
              <w:bottom w:val="single" w:sz="2" w:space="0" w:color="auto"/>
              <w:right w:val="single" w:sz="2" w:space="0" w:color="auto"/>
            </w:tcBorders>
            <w:vAlign w:val="center"/>
          </w:tcPr>
          <w:p w14:paraId="35BE96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44.71%</w:t>
            </w:r>
          </w:p>
        </w:tc>
        <w:tc>
          <w:tcPr>
            <w:tcW w:w="1701" w:type="dxa"/>
            <w:tcBorders>
              <w:top w:val="single" w:sz="2" w:space="0" w:color="auto"/>
              <w:left w:val="single" w:sz="2" w:space="0" w:color="auto"/>
              <w:bottom w:val="single" w:sz="2" w:space="0" w:color="auto"/>
              <w:right w:val="single" w:sz="2" w:space="0" w:color="auto"/>
            </w:tcBorders>
            <w:vAlign w:val="center"/>
          </w:tcPr>
          <w:p w14:paraId="6BABAF4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28</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3470263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29</w:t>
            </w:r>
            <w:r w:rsidRPr="00F614F9">
              <w:rPr>
                <w:rFonts w:ascii="Times New Roman" w:eastAsia="宋体" w:hAnsi="Times New Roman" w:cs="宋体"/>
                <w:sz w:val="18"/>
                <w:szCs w:val="18"/>
              </w:rPr>
              <w:t>日</w:t>
            </w:r>
          </w:p>
        </w:tc>
        <w:tc>
          <w:tcPr>
            <w:tcW w:w="2551" w:type="dxa"/>
            <w:tcBorders>
              <w:top w:val="single" w:sz="2" w:space="0" w:color="auto"/>
              <w:left w:val="single" w:sz="2" w:space="0" w:color="auto"/>
              <w:bottom w:val="single" w:sz="2" w:space="0" w:color="auto"/>
              <w:right w:val="single" w:sz="2" w:space="0" w:color="auto"/>
            </w:tcBorders>
            <w:vAlign w:val="center"/>
          </w:tcPr>
          <w:p w14:paraId="4D76C35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具体内容详见巨潮资讯网（</w:t>
            </w:r>
            <w:r w:rsidRPr="00F614F9">
              <w:rPr>
                <w:rFonts w:ascii="Times New Roman" w:eastAsia="宋体" w:hAnsi="Times New Roman" w:cs="宋体"/>
                <w:sz w:val="18"/>
                <w:szCs w:val="18"/>
              </w:rPr>
              <w:t>http://www.cninfo.com.cn</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年第四次临时股东大会决议公告》（</w:t>
            </w:r>
            <w:r w:rsidRPr="00F614F9">
              <w:rPr>
                <w:rFonts w:ascii="Times New Roman" w:eastAsia="宋体" w:hAnsi="Times New Roman" w:cs="宋体"/>
                <w:sz w:val="18"/>
                <w:szCs w:val="18"/>
              </w:rPr>
              <w:t>2023-097</w:t>
            </w:r>
            <w:r w:rsidRPr="00F614F9">
              <w:rPr>
                <w:rFonts w:ascii="Times New Roman" w:eastAsia="宋体" w:hAnsi="Times New Roman" w:cs="宋体"/>
                <w:sz w:val="18"/>
                <w:szCs w:val="18"/>
              </w:rPr>
              <w:t>）</w:t>
            </w:r>
          </w:p>
        </w:tc>
      </w:tr>
    </w:tbl>
    <w:p w14:paraId="5B02C30D" w14:textId="77777777" w:rsidR="001D26E7" w:rsidRPr="00F614F9" w:rsidRDefault="00000000">
      <w:pPr>
        <w:pStyle w:val="3"/>
        <w:spacing w:line="280" w:lineRule="exact"/>
        <w:jc w:val="left"/>
        <w:rPr>
          <w:rFonts w:ascii="Times New Roman" w:hAnsi="Times New Roman" w:cs="宋体"/>
          <w:b/>
          <w:bCs/>
        </w:rPr>
      </w:pPr>
      <w:bookmarkStart w:id="87" w:name="_Toc988950"/>
      <w:r w:rsidRPr="00F614F9">
        <w:rPr>
          <w:rFonts w:ascii="Times New Roman" w:hAnsi="Times New Roman" w:cs="宋体"/>
          <w:b/>
          <w:bCs/>
        </w:rPr>
        <w:lastRenderedPageBreak/>
        <w:t>2</w:t>
      </w:r>
      <w:r w:rsidRPr="00F614F9">
        <w:rPr>
          <w:rFonts w:ascii="Times New Roman" w:hAnsi="Times New Roman" w:cs="宋体"/>
          <w:b/>
          <w:bCs/>
        </w:rPr>
        <w:t>、表决权恢复的优先股股东请求召开临时股东大会</w:t>
      </w:r>
      <w:bookmarkEnd w:id="87"/>
    </w:p>
    <w:p w14:paraId="1401AB6F"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1F1A6F68"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88" w:name="_Toc988951"/>
      <w:bookmarkStart w:id="89" w:name="_Toc164024773"/>
      <w:r w:rsidRPr="00F614F9">
        <w:rPr>
          <w:rFonts w:ascii="Times New Roman" w:eastAsia="宋体" w:hAnsi="Times New Roman" w:cs="宋体"/>
          <w:b/>
          <w:bCs/>
          <w:sz w:val="24"/>
          <w:szCs w:val="24"/>
        </w:rPr>
        <w:t>五、董事、监事和高级管理人员情况</w:t>
      </w:r>
      <w:bookmarkEnd w:id="88"/>
      <w:bookmarkEnd w:id="89"/>
    </w:p>
    <w:p w14:paraId="5430B774" w14:textId="77777777" w:rsidR="001D26E7" w:rsidRPr="00F614F9" w:rsidRDefault="00000000">
      <w:pPr>
        <w:pStyle w:val="3"/>
        <w:spacing w:line="280" w:lineRule="exact"/>
        <w:jc w:val="left"/>
        <w:rPr>
          <w:rFonts w:ascii="Times New Roman" w:hAnsi="Times New Roman" w:cs="宋体"/>
          <w:b/>
          <w:bCs/>
        </w:rPr>
      </w:pPr>
      <w:bookmarkStart w:id="90" w:name="_Toc988952"/>
      <w:r w:rsidRPr="00F614F9">
        <w:rPr>
          <w:rFonts w:ascii="Times New Roman" w:hAnsi="Times New Roman" w:cs="宋体"/>
          <w:b/>
          <w:bCs/>
        </w:rPr>
        <w:t>1</w:t>
      </w:r>
      <w:r w:rsidRPr="00F614F9">
        <w:rPr>
          <w:rFonts w:ascii="Times New Roman" w:hAnsi="Times New Roman" w:cs="宋体"/>
          <w:b/>
          <w:bCs/>
        </w:rPr>
        <w:t>、基本情况</w:t>
      </w:r>
      <w:bookmarkEnd w:id="90"/>
    </w:p>
    <w:tbl>
      <w:tblPr>
        <w:tblW w:w="10156"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658"/>
        <w:gridCol w:w="567"/>
        <w:gridCol w:w="567"/>
        <w:gridCol w:w="1134"/>
        <w:gridCol w:w="567"/>
        <w:gridCol w:w="993"/>
        <w:gridCol w:w="992"/>
        <w:gridCol w:w="850"/>
        <w:gridCol w:w="709"/>
        <w:gridCol w:w="851"/>
        <w:gridCol w:w="708"/>
        <w:gridCol w:w="851"/>
        <w:gridCol w:w="709"/>
      </w:tblGrid>
      <w:tr w:rsidR="001407A3" w:rsidRPr="00F614F9" w14:paraId="398FA749" w14:textId="77777777" w:rsidTr="001407A3">
        <w:trPr>
          <w:trHeight w:val="240"/>
          <w:jc w:val="center"/>
        </w:trPr>
        <w:tc>
          <w:tcPr>
            <w:tcW w:w="658" w:type="dxa"/>
            <w:tcBorders>
              <w:top w:val="single" w:sz="2" w:space="0" w:color="auto"/>
              <w:left w:val="single" w:sz="2" w:space="0" w:color="auto"/>
              <w:bottom w:val="single" w:sz="2" w:space="0" w:color="auto"/>
              <w:right w:val="single" w:sz="2" w:space="0" w:color="auto"/>
            </w:tcBorders>
            <w:shd w:val="clear" w:color="auto" w:fill="D3D3D3"/>
            <w:vAlign w:val="center"/>
          </w:tcPr>
          <w:p w14:paraId="6BFAD2B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姓名</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10721D0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性别</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04CF927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年龄</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A33D18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职务</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20F9F52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任职状态</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303E62C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任期起始日期</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645F8FE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任期终止日期</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4120928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期初持股数（股）</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19A2C17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本期增持股份数量（股）</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13E53D2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本期减持股份数量（股）</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5C673D0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其他增减变动（股）</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7F9E3E0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期末持股数（股）</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74BE09E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股份增减变动的原因</w:t>
            </w:r>
          </w:p>
        </w:tc>
      </w:tr>
      <w:tr w:rsidR="001D26E7" w:rsidRPr="00F614F9" w14:paraId="079EB2B6" w14:textId="77777777" w:rsidTr="001407A3">
        <w:trPr>
          <w:trHeight w:val="240"/>
          <w:jc w:val="center"/>
        </w:trPr>
        <w:tc>
          <w:tcPr>
            <w:tcW w:w="658" w:type="dxa"/>
            <w:tcBorders>
              <w:top w:val="single" w:sz="2" w:space="0" w:color="auto"/>
              <w:left w:val="single" w:sz="2" w:space="0" w:color="auto"/>
              <w:bottom w:val="single" w:sz="2" w:space="0" w:color="auto"/>
              <w:right w:val="single" w:sz="2" w:space="0" w:color="auto"/>
            </w:tcBorders>
            <w:vAlign w:val="center"/>
          </w:tcPr>
          <w:p w14:paraId="57115B6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杨晓初</w:t>
            </w:r>
          </w:p>
        </w:tc>
        <w:tc>
          <w:tcPr>
            <w:tcW w:w="567" w:type="dxa"/>
            <w:tcBorders>
              <w:top w:val="single" w:sz="2" w:space="0" w:color="auto"/>
              <w:left w:val="single" w:sz="2" w:space="0" w:color="auto"/>
              <w:bottom w:val="single" w:sz="2" w:space="0" w:color="auto"/>
              <w:right w:val="single" w:sz="2" w:space="0" w:color="auto"/>
            </w:tcBorders>
            <w:vAlign w:val="center"/>
          </w:tcPr>
          <w:p w14:paraId="4FED88D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男</w:t>
            </w:r>
          </w:p>
        </w:tc>
        <w:tc>
          <w:tcPr>
            <w:tcW w:w="567" w:type="dxa"/>
            <w:tcBorders>
              <w:top w:val="single" w:sz="2" w:space="0" w:color="auto"/>
              <w:left w:val="single" w:sz="2" w:space="0" w:color="auto"/>
              <w:bottom w:val="single" w:sz="2" w:space="0" w:color="auto"/>
              <w:right w:val="single" w:sz="2" w:space="0" w:color="auto"/>
            </w:tcBorders>
            <w:vAlign w:val="center"/>
          </w:tcPr>
          <w:p w14:paraId="66A77FF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w:t>
            </w:r>
          </w:p>
        </w:tc>
        <w:tc>
          <w:tcPr>
            <w:tcW w:w="1134" w:type="dxa"/>
            <w:tcBorders>
              <w:top w:val="single" w:sz="2" w:space="0" w:color="auto"/>
              <w:left w:val="single" w:sz="2" w:space="0" w:color="auto"/>
              <w:bottom w:val="single" w:sz="2" w:space="0" w:color="auto"/>
              <w:right w:val="single" w:sz="2" w:space="0" w:color="auto"/>
            </w:tcBorders>
            <w:vAlign w:val="center"/>
          </w:tcPr>
          <w:p w14:paraId="42E4003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董事长</w:t>
            </w:r>
          </w:p>
        </w:tc>
        <w:tc>
          <w:tcPr>
            <w:tcW w:w="567" w:type="dxa"/>
            <w:tcBorders>
              <w:top w:val="single" w:sz="2" w:space="0" w:color="auto"/>
              <w:left w:val="single" w:sz="2" w:space="0" w:color="auto"/>
              <w:bottom w:val="single" w:sz="2" w:space="0" w:color="auto"/>
              <w:right w:val="single" w:sz="2" w:space="0" w:color="auto"/>
            </w:tcBorders>
            <w:vAlign w:val="center"/>
          </w:tcPr>
          <w:p w14:paraId="3FEA0D2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993" w:type="dxa"/>
            <w:tcBorders>
              <w:top w:val="single" w:sz="2" w:space="0" w:color="auto"/>
              <w:left w:val="single" w:sz="2" w:space="0" w:color="auto"/>
              <w:bottom w:val="single" w:sz="2" w:space="0" w:color="auto"/>
              <w:right w:val="single" w:sz="2" w:space="0" w:color="auto"/>
            </w:tcBorders>
            <w:vAlign w:val="center"/>
          </w:tcPr>
          <w:p w14:paraId="1106BD8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日</w:t>
            </w:r>
          </w:p>
        </w:tc>
        <w:tc>
          <w:tcPr>
            <w:tcW w:w="992" w:type="dxa"/>
            <w:tcBorders>
              <w:top w:val="single" w:sz="2" w:space="0" w:color="auto"/>
              <w:left w:val="single" w:sz="2" w:space="0" w:color="auto"/>
              <w:bottom w:val="single" w:sz="2" w:space="0" w:color="auto"/>
              <w:right w:val="single" w:sz="2" w:space="0" w:color="auto"/>
            </w:tcBorders>
            <w:vAlign w:val="center"/>
          </w:tcPr>
          <w:p w14:paraId="4AA288C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2025</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30</w:t>
            </w:r>
            <w:r w:rsidRPr="00F614F9">
              <w:rPr>
                <w:rFonts w:ascii="Times New Roman" w:eastAsia="宋体" w:hAnsi="Times New Roman" w:cs="宋体"/>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58667A8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6E789D3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2434E61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1C6C757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07E275E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15D0D59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7432C113" w14:textId="77777777" w:rsidTr="001407A3">
        <w:trPr>
          <w:trHeight w:val="240"/>
          <w:jc w:val="center"/>
        </w:trPr>
        <w:tc>
          <w:tcPr>
            <w:tcW w:w="658" w:type="dxa"/>
            <w:tcBorders>
              <w:top w:val="single" w:sz="2" w:space="0" w:color="auto"/>
              <w:left w:val="single" w:sz="2" w:space="0" w:color="auto"/>
              <w:bottom w:val="single" w:sz="2" w:space="0" w:color="auto"/>
              <w:right w:val="single" w:sz="2" w:space="0" w:color="auto"/>
            </w:tcBorders>
            <w:vAlign w:val="center"/>
          </w:tcPr>
          <w:p w14:paraId="6E3AB41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王豪杰</w:t>
            </w:r>
          </w:p>
        </w:tc>
        <w:tc>
          <w:tcPr>
            <w:tcW w:w="567" w:type="dxa"/>
            <w:tcBorders>
              <w:top w:val="single" w:sz="2" w:space="0" w:color="auto"/>
              <w:left w:val="single" w:sz="2" w:space="0" w:color="auto"/>
              <w:bottom w:val="single" w:sz="2" w:space="0" w:color="auto"/>
              <w:right w:val="single" w:sz="2" w:space="0" w:color="auto"/>
            </w:tcBorders>
            <w:vAlign w:val="center"/>
          </w:tcPr>
          <w:p w14:paraId="5D1B337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男</w:t>
            </w:r>
          </w:p>
        </w:tc>
        <w:tc>
          <w:tcPr>
            <w:tcW w:w="567" w:type="dxa"/>
            <w:tcBorders>
              <w:top w:val="single" w:sz="2" w:space="0" w:color="auto"/>
              <w:left w:val="single" w:sz="2" w:space="0" w:color="auto"/>
              <w:bottom w:val="single" w:sz="2" w:space="0" w:color="auto"/>
              <w:right w:val="single" w:sz="2" w:space="0" w:color="auto"/>
            </w:tcBorders>
            <w:vAlign w:val="center"/>
          </w:tcPr>
          <w:p w14:paraId="7791374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w:t>
            </w:r>
          </w:p>
        </w:tc>
        <w:tc>
          <w:tcPr>
            <w:tcW w:w="1134" w:type="dxa"/>
            <w:tcBorders>
              <w:top w:val="single" w:sz="2" w:space="0" w:color="auto"/>
              <w:left w:val="single" w:sz="2" w:space="0" w:color="auto"/>
              <w:bottom w:val="single" w:sz="2" w:space="0" w:color="auto"/>
              <w:right w:val="single" w:sz="2" w:space="0" w:color="auto"/>
            </w:tcBorders>
            <w:vAlign w:val="center"/>
          </w:tcPr>
          <w:p w14:paraId="1903D9E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董事</w:t>
            </w:r>
          </w:p>
        </w:tc>
        <w:tc>
          <w:tcPr>
            <w:tcW w:w="567" w:type="dxa"/>
            <w:tcBorders>
              <w:top w:val="single" w:sz="2" w:space="0" w:color="auto"/>
              <w:left w:val="single" w:sz="2" w:space="0" w:color="auto"/>
              <w:bottom w:val="single" w:sz="2" w:space="0" w:color="auto"/>
              <w:right w:val="single" w:sz="2" w:space="0" w:color="auto"/>
            </w:tcBorders>
            <w:vAlign w:val="center"/>
          </w:tcPr>
          <w:p w14:paraId="43CBEEE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993" w:type="dxa"/>
            <w:tcBorders>
              <w:top w:val="single" w:sz="2" w:space="0" w:color="auto"/>
              <w:left w:val="single" w:sz="2" w:space="0" w:color="auto"/>
              <w:bottom w:val="single" w:sz="2" w:space="0" w:color="auto"/>
              <w:right w:val="single" w:sz="2" w:space="0" w:color="auto"/>
            </w:tcBorders>
            <w:vAlign w:val="center"/>
          </w:tcPr>
          <w:p w14:paraId="0198E84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992" w:type="dxa"/>
            <w:tcBorders>
              <w:top w:val="single" w:sz="2" w:space="0" w:color="auto"/>
              <w:left w:val="single" w:sz="2" w:space="0" w:color="auto"/>
              <w:bottom w:val="single" w:sz="2" w:space="0" w:color="auto"/>
              <w:right w:val="single" w:sz="2" w:space="0" w:color="auto"/>
            </w:tcBorders>
            <w:vAlign w:val="center"/>
          </w:tcPr>
          <w:p w14:paraId="6214269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3A19422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760C9D0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5CF1DA5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4552BEC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126DE3D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1CC95E4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782AC0E4" w14:textId="77777777" w:rsidTr="001407A3">
        <w:trPr>
          <w:trHeight w:val="240"/>
          <w:jc w:val="center"/>
        </w:trPr>
        <w:tc>
          <w:tcPr>
            <w:tcW w:w="658" w:type="dxa"/>
            <w:tcBorders>
              <w:top w:val="single" w:sz="2" w:space="0" w:color="auto"/>
              <w:left w:val="single" w:sz="2" w:space="0" w:color="auto"/>
              <w:bottom w:val="single" w:sz="2" w:space="0" w:color="auto"/>
              <w:right w:val="single" w:sz="2" w:space="0" w:color="auto"/>
            </w:tcBorders>
            <w:vAlign w:val="center"/>
          </w:tcPr>
          <w:p w14:paraId="5A25FCB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张瑞</w:t>
            </w:r>
          </w:p>
        </w:tc>
        <w:tc>
          <w:tcPr>
            <w:tcW w:w="567" w:type="dxa"/>
            <w:tcBorders>
              <w:top w:val="single" w:sz="2" w:space="0" w:color="auto"/>
              <w:left w:val="single" w:sz="2" w:space="0" w:color="auto"/>
              <w:bottom w:val="single" w:sz="2" w:space="0" w:color="auto"/>
              <w:right w:val="single" w:sz="2" w:space="0" w:color="auto"/>
            </w:tcBorders>
            <w:vAlign w:val="center"/>
          </w:tcPr>
          <w:p w14:paraId="7E5C302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男</w:t>
            </w:r>
          </w:p>
        </w:tc>
        <w:tc>
          <w:tcPr>
            <w:tcW w:w="567" w:type="dxa"/>
            <w:tcBorders>
              <w:top w:val="single" w:sz="2" w:space="0" w:color="auto"/>
              <w:left w:val="single" w:sz="2" w:space="0" w:color="auto"/>
              <w:bottom w:val="single" w:sz="2" w:space="0" w:color="auto"/>
              <w:right w:val="single" w:sz="2" w:space="0" w:color="auto"/>
            </w:tcBorders>
            <w:vAlign w:val="center"/>
          </w:tcPr>
          <w:p w14:paraId="31B0FD5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w:t>
            </w:r>
          </w:p>
        </w:tc>
        <w:tc>
          <w:tcPr>
            <w:tcW w:w="1134" w:type="dxa"/>
            <w:tcBorders>
              <w:top w:val="single" w:sz="2" w:space="0" w:color="auto"/>
              <w:left w:val="single" w:sz="2" w:space="0" w:color="auto"/>
              <w:bottom w:val="single" w:sz="2" w:space="0" w:color="auto"/>
              <w:right w:val="single" w:sz="2" w:space="0" w:color="auto"/>
            </w:tcBorders>
            <w:vAlign w:val="center"/>
          </w:tcPr>
          <w:p w14:paraId="6DF31E0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董事、</w:t>
            </w:r>
            <w:r w:rsidR="000C52A2" w:rsidRPr="00F614F9">
              <w:rPr>
                <w:rFonts w:ascii="Times New Roman" w:eastAsia="宋体" w:hAnsi="Times New Roman" w:cs="宋体" w:hint="eastAsia"/>
                <w:sz w:val="18"/>
                <w:szCs w:val="18"/>
              </w:rPr>
              <w:t>副总经理、</w:t>
            </w:r>
            <w:r w:rsidRPr="00F614F9">
              <w:rPr>
                <w:rFonts w:ascii="Times New Roman" w:eastAsia="宋体" w:hAnsi="Times New Roman" w:cs="宋体"/>
                <w:sz w:val="18"/>
                <w:szCs w:val="18"/>
              </w:rPr>
              <w:t>董事会秘书</w:t>
            </w:r>
          </w:p>
        </w:tc>
        <w:tc>
          <w:tcPr>
            <w:tcW w:w="567" w:type="dxa"/>
            <w:tcBorders>
              <w:top w:val="single" w:sz="2" w:space="0" w:color="auto"/>
              <w:left w:val="single" w:sz="2" w:space="0" w:color="auto"/>
              <w:bottom w:val="single" w:sz="2" w:space="0" w:color="auto"/>
              <w:right w:val="single" w:sz="2" w:space="0" w:color="auto"/>
            </w:tcBorders>
            <w:vAlign w:val="center"/>
          </w:tcPr>
          <w:p w14:paraId="22D3302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993" w:type="dxa"/>
            <w:tcBorders>
              <w:top w:val="single" w:sz="2" w:space="0" w:color="auto"/>
              <w:left w:val="single" w:sz="2" w:space="0" w:color="auto"/>
              <w:bottom w:val="single" w:sz="2" w:space="0" w:color="auto"/>
              <w:right w:val="single" w:sz="2" w:space="0" w:color="auto"/>
            </w:tcBorders>
            <w:vAlign w:val="center"/>
          </w:tcPr>
          <w:p w14:paraId="1AEB4B1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2018</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09</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28</w:t>
            </w:r>
            <w:r w:rsidRPr="00F614F9">
              <w:rPr>
                <w:rFonts w:ascii="Times New Roman" w:eastAsia="宋体" w:hAnsi="Times New Roman" w:cs="宋体"/>
                <w:sz w:val="18"/>
                <w:szCs w:val="18"/>
              </w:rPr>
              <w:t>日</w:t>
            </w:r>
          </w:p>
        </w:tc>
        <w:tc>
          <w:tcPr>
            <w:tcW w:w="992" w:type="dxa"/>
            <w:tcBorders>
              <w:top w:val="single" w:sz="2" w:space="0" w:color="auto"/>
              <w:left w:val="single" w:sz="2" w:space="0" w:color="auto"/>
              <w:bottom w:val="single" w:sz="2" w:space="0" w:color="auto"/>
              <w:right w:val="single" w:sz="2" w:space="0" w:color="auto"/>
            </w:tcBorders>
            <w:vAlign w:val="center"/>
          </w:tcPr>
          <w:p w14:paraId="4FABB18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2025</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08C6668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1,092,000</w:t>
            </w:r>
          </w:p>
        </w:tc>
        <w:tc>
          <w:tcPr>
            <w:tcW w:w="709" w:type="dxa"/>
            <w:tcBorders>
              <w:top w:val="single" w:sz="2" w:space="0" w:color="auto"/>
              <w:left w:val="single" w:sz="2" w:space="0" w:color="auto"/>
              <w:bottom w:val="single" w:sz="2" w:space="0" w:color="auto"/>
              <w:right w:val="single" w:sz="2" w:space="0" w:color="auto"/>
            </w:tcBorders>
            <w:vAlign w:val="center"/>
          </w:tcPr>
          <w:p w14:paraId="3E5824C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5686E68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1047219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13E04F1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1,092,000</w:t>
            </w:r>
          </w:p>
        </w:tc>
        <w:tc>
          <w:tcPr>
            <w:tcW w:w="709" w:type="dxa"/>
            <w:tcBorders>
              <w:top w:val="single" w:sz="2" w:space="0" w:color="auto"/>
              <w:left w:val="single" w:sz="2" w:space="0" w:color="auto"/>
              <w:bottom w:val="single" w:sz="2" w:space="0" w:color="auto"/>
              <w:right w:val="single" w:sz="2" w:space="0" w:color="auto"/>
            </w:tcBorders>
            <w:vAlign w:val="center"/>
          </w:tcPr>
          <w:p w14:paraId="1F46BF6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4B2738E0" w14:textId="77777777" w:rsidTr="001407A3">
        <w:trPr>
          <w:trHeight w:val="240"/>
          <w:jc w:val="center"/>
        </w:trPr>
        <w:tc>
          <w:tcPr>
            <w:tcW w:w="658" w:type="dxa"/>
            <w:tcBorders>
              <w:top w:val="single" w:sz="2" w:space="0" w:color="auto"/>
              <w:left w:val="single" w:sz="2" w:space="0" w:color="auto"/>
              <w:bottom w:val="single" w:sz="2" w:space="0" w:color="auto"/>
              <w:right w:val="single" w:sz="2" w:space="0" w:color="auto"/>
            </w:tcBorders>
            <w:vAlign w:val="center"/>
          </w:tcPr>
          <w:p w14:paraId="1B36D42E"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祝波</w:t>
            </w:r>
            <w:proofErr w:type="gramEnd"/>
          </w:p>
        </w:tc>
        <w:tc>
          <w:tcPr>
            <w:tcW w:w="567" w:type="dxa"/>
            <w:tcBorders>
              <w:top w:val="single" w:sz="2" w:space="0" w:color="auto"/>
              <w:left w:val="single" w:sz="2" w:space="0" w:color="auto"/>
              <w:bottom w:val="single" w:sz="2" w:space="0" w:color="auto"/>
              <w:right w:val="single" w:sz="2" w:space="0" w:color="auto"/>
            </w:tcBorders>
            <w:vAlign w:val="center"/>
          </w:tcPr>
          <w:p w14:paraId="2176AB2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男</w:t>
            </w:r>
          </w:p>
        </w:tc>
        <w:tc>
          <w:tcPr>
            <w:tcW w:w="567" w:type="dxa"/>
            <w:tcBorders>
              <w:top w:val="single" w:sz="2" w:space="0" w:color="auto"/>
              <w:left w:val="single" w:sz="2" w:space="0" w:color="auto"/>
              <w:bottom w:val="single" w:sz="2" w:space="0" w:color="auto"/>
              <w:right w:val="single" w:sz="2" w:space="0" w:color="auto"/>
            </w:tcBorders>
            <w:vAlign w:val="center"/>
          </w:tcPr>
          <w:p w14:paraId="6091953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w:t>
            </w:r>
          </w:p>
        </w:tc>
        <w:tc>
          <w:tcPr>
            <w:tcW w:w="1134" w:type="dxa"/>
            <w:tcBorders>
              <w:top w:val="single" w:sz="2" w:space="0" w:color="auto"/>
              <w:left w:val="single" w:sz="2" w:space="0" w:color="auto"/>
              <w:bottom w:val="single" w:sz="2" w:space="0" w:color="auto"/>
              <w:right w:val="single" w:sz="2" w:space="0" w:color="auto"/>
            </w:tcBorders>
            <w:vAlign w:val="center"/>
          </w:tcPr>
          <w:p w14:paraId="4C1758B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董事</w:t>
            </w:r>
          </w:p>
        </w:tc>
        <w:tc>
          <w:tcPr>
            <w:tcW w:w="567" w:type="dxa"/>
            <w:tcBorders>
              <w:top w:val="single" w:sz="2" w:space="0" w:color="auto"/>
              <w:left w:val="single" w:sz="2" w:space="0" w:color="auto"/>
              <w:bottom w:val="single" w:sz="2" w:space="0" w:color="auto"/>
              <w:right w:val="single" w:sz="2" w:space="0" w:color="auto"/>
            </w:tcBorders>
            <w:vAlign w:val="center"/>
          </w:tcPr>
          <w:p w14:paraId="36B2711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993" w:type="dxa"/>
            <w:tcBorders>
              <w:top w:val="single" w:sz="2" w:space="0" w:color="auto"/>
              <w:left w:val="single" w:sz="2" w:space="0" w:color="auto"/>
              <w:bottom w:val="single" w:sz="2" w:space="0" w:color="auto"/>
              <w:right w:val="single" w:sz="2" w:space="0" w:color="auto"/>
            </w:tcBorders>
            <w:vAlign w:val="center"/>
          </w:tcPr>
          <w:p w14:paraId="76A963A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992" w:type="dxa"/>
            <w:tcBorders>
              <w:top w:val="single" w:sz="2" w:space="0" w:color="auto"/>
              <w:left w:val="single" w:sz="2" w:space="0" w:color="auto"/>
              <w:bottom w:val="single" w:sz="2" w:space="0" w:color="auto"/>
              <w:right w:val="single" w:sz="2" w:space="0" w:color="auto"/>
            </w:tcBorders>
            <w:vAlign w:val="center"/>
          </w:tcPr>
          <w:p w14:paraId="5B6212B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2025</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5C7567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1F22A5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0F3BD9F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0625779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666A227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10BA038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75C69F88" w14:textId="77777777" w:rsidTr="001407A3">
        <w:trPr>
          <w:trHeight w:val="240"/>
          <w:jc w:val="center"/>
        </w:trPr>
        <w:tc>
          <w:tcPr>
            <w:tcW w:w="658" w:type="dxa"/>
            <w:tcBorders>
              <w:top w:val="single" w:sz="2" w:space="0" w:color="auto"/>
              <w:left w:val="single" w:sz="2" w:space="0" w:color="auto"/>
              <w:bottom w:val="single" w:sz="2" w:space="0" w:color="auto"/>
              <w:right w:val="single" w:sz="2" w:space="0" w:color="auto"/>
            </w:tcBorders>
            <w:vAlign w:val="center"/>
          </w:tcPr>
          <w:p w14:paraId="3ABDBE7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周婧</w:t>
            </w:r>
          </w:p>
        </w:tc>
        <w:tc>
          <w:tcPr>
            <w:tcW w:w="567" w:type="dxa"/>
            <w:tcBorders>
              <w:top w:val="single" w:sz="2" w:space="0" w:color="auto"/>
              <w:left w:val="single" w:sz="2" w:space="0" w:color="auto"/>
              <w:bottom w:val="single" w:sz="2" w:space="0" w:color="auto"/>
              <w:right w:val="single" w:sz="2" w:space="0" w:color="auto"/>
            </w:tcBorders>
            <w:vAlign w:val="center"/>
          </w:tcPr>
          <w:p w14:paraId="1C41CEC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女</w:t>
            </w:r>
          </w:p>
        </w:tc>
        <w:tc>
          <w:tcPr>
            <w:tcW w:w="567" w:type="dxa"/>
            <w:tcBorders>
              <w:top w:val="single" w:sz="2" w:space="0" w:color="auto"/>
              <w:left w:val="single" w:sz="2" w:space="0" w:color="auto"/>
              <w:bottom w:val="single" w:sz="2" w:space="0" w:color="auto"/>
              <w:right w:val="single" w:sz="2" w:space="0" w:color="auto"/>
            </w:tcBorders>
            <w:vAlign w:val="center"/>
          </w:tcPr>
          <w:p w14:paraId="23A75EF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w:t>
            </w:r>
          </w:p>
        </w:tc>
        <w:tc>
          <w:tcPr>
            <w:tcW w:w="1134" w:type="dxa"/>
            <w:tcBorders>
              <w:top w:val="single" w:sz="2" w:space="0" w:color="auto"/>
              <w:left w:val="single" w:sz="2" w:space="0" w:color="auto"/>
              <w:bottom w:val="single" w:sz="2" w:space="0" w:color="auto"/>
              <w:right w:val="single" w:sz="2" w:space="0" w:color="auto"/>
            </w:tcBorders>
            <w:vAlign w:val="center"/>
          </w:tcPr>
          <w:p w14:paraId="66F246E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独立董事</w:t>
            </w:r>
          </w:p>
        </w:tc>
        <w:tc>
          <w:tcPr>
            <w:tcW w:w="567" w:type="dxa"/>
            <w:tcBorders>
              <w:top w:val="single" w:sz="2" w:space="0" w:color="auto"/>
              <w:left w:val="single" w:sz="2" w:space="0" w:color="auto"/>
              <w:bottom w:val="single" w:sz="2" w:space="0" w:color="auto"/>
              <w:right w:val="single" w:sz="2" w:space="0" w:color="auto"/>
            </w:tcBorders>
            <w:vAlign w:val="center"/>
          </w:tcPr>
          <w:p w14:paraId="7796CF5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993" w:type="dxa"/>
            <w:tcBorders>
              <w:top w:val="single" w:sz="2" w:space="0" w:color="auto"/>
              <w:left w:val="single" w:sz="2" w:space="0" w:color="auto"/>
              <w:bottom w:val="single" w:sz="2" w:space="0" w:color="auto"/>
              <w:right w:val="single" w:sz="2" w:space="0" w:color="auto"/>
            </w:tcBorders>
            <w:vAlign w:val="center"/>
          </w:tcPr>
          <w:p w14:paraId="6F9D9BD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992" w:type="dxa"/>
            <w:tcBorders>
              <w:top w:val="single" w:sz="2" w:space="0" w:color="auto"/>
              <w:left w:val="single" w:sz="2" w:space="0" w:color="auto"/>
              <w:bottom w:val="single" w:sz="2" w:space="0" w:color="auto"/>
              <w:right w:val="single" w:sz="2" w:space="0" w:color="auto"/>
            </w:tcBorders>
            <w:vAlign w:val="center"/>
          </w:tcPr>
          <w:p w14:paraId="0C6F7EF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2025</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2C667B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72A4AE8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32C7B6A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32B7D1A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50F2E67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117FFAD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434F1086" w14:textId="77777777" w:rsidTr="001407A3">
        <w:trPr>
          <w:trHeight w:val="240"/>
          <w:jc w:val="center"/>
        </w:trPr>
        <w:tc>
          <w:tcPr>
            <w:tcW w:w="658" w:type="dxa"/>
            <w:tcBorders>
              <w:top w:val="single" w:sz="2" w:space="0" w:color="auto"/>
              <w:left w:val="single" w:sz="2" w:space="0" w:color="auto"/>
              <w:bottom w:val="single" w:sz="2" w:space="0" w:color="auto"/>
              <w:right w:val="single" w:sz="2" w:space="0" w:color="auto"/>
            </w:tcBorders>
            <w:vAlign w:val="center"/>
          </w:tcPr>
          <w:p w14:paraId="5FE322A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杨帆</w:t>
            </w:r>
          </w:p>
        </w:tc>
        <w:tc>
          <w:tcPr>
            <w:tcW w:w="567" w:type="dxa"/>
            <w:tcBorders>
              <w:top w:val="single" w:sz="2" w:space="0" w:color="auto"/>
              <w:left w:val="single" w:sz="2" w:space="0" w:color="auto"/>
              <w:bottom w:val="single" w:sz="2" w:space="0" w:color="auto"/>
              <w:right w:val="single" w:sz="2" w:space="0" w:color="auto"/>
            </w:tcBorders>
            <w:vAlign w:val="center"/>
          </w:tcPr>
          <w:p w14:paraId="27B589C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女</w:t>
            </w:r>
          </w:p>
        </w:tc>
        <w:tc>
          <w:tcPr>
            <w:tcW w:w="567" w:type="dxa"/>
            <w:tcBorders>
              <w:top w:val="single" w:sz="2" w:space="0" w:color="auto"/>
              <w:left w:val="single" w:sz="2" w:space="0" w:color="auto"/>
              <w:bottom w:val="single" w:sz="2" w:space="0" w:color="auto"/>
              <w:right w:val="single" w:sz="2" w:space="0" w:color="auto"/>
            </w:tcBorders>
            <w:vAlign w:val="center"/>
          </w:tcPr>
          <w:p w14:paraId="7A73961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w:t>
            </w:r>
          </w:p>
        </w:tc>
        <w:tc>
          <w:tcPr>
            <w:tcW w:w="1134" w:type="dxa"/>
            <w:tcBorders>
              <w:top w:val="single" w:sz="2" w:space="0" w:color="auto"/>
              <w:left w:val="single" w:sz="2" w:space="0" w:color="auto"/>
              <w:bottom w:val="single" w:sz="2" w:space="0" w:color="auto"/>
              <w:right w:val="single" w:sz="2" w:space="0" w:color="auto"/>
            </w:tcBorders>
            <w:vAlign w:val="center"/>
          </w:tcPr>
          <w:p w14:paraId="3F51174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独立董事</w:t>
            </w:r>
          </w:p>
        </w:tc>
        <w:tc>
          <w:tcPr>
            <w:tcW w:w="567" w:type="dxa"/>
            <w:tcBorders>
              <w:top w:val="single" w:sz="2" w:space="0" w:color="auto"/>
              <w:left w:val="single" w:sz="2" w:space="0" w:color="auto"/>
              <w:bottom w:val="single" w:sz="2" w:space="0" w:color="auto"/>
              <w:right w:val="single" w:sz="2" w:space="0" w:color="auto"/>
            </w:tcBorders>
            <w:vAlign w:val="center"/>
          </w:tcPr>
          <w:p w14:paraId="24F666B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993" w:type="dxa"/>
            <w:tcBorders>
              <w:top w:val="single" w:sz="2" w:space="0" w:color="auto"/>
              <w:left w:val="single" w:sz="2" w:space="0" w:color="auto"/>
              <w:bottom w:val="single" w:sz="2" w:space="0" w:color="auto"/>
              <w:right w:val="single" w:sz="2" w:space="0" w:color="auto"/>
            </w:tcBorders>
            <w:vAlign w:val="center"/>
          </w:tcPr>
          <w:p w14:paraId="1BD0551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992" w:type="dxa"/>
            <w:tcBorders>
              <w:top w:val="single" w:sz="2" w:space="0" w:color="auto"/>
              <w:left w:val="single" w:sz="2" w:space="0" w:color="auto"/>
              <w:bottom w:val="single" w:sz="2" w:space="0" w:color="auto"/>
              <w:right w:val="single" w:sz="2" w:space="0" w:color="auto"/>
            </w:tcBorders>
            <w:vAlign w:val="center"/>
          </w:tcPr>
          <w:p w14:paraId="225D844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2025</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78A7D28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5945981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5DE8394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30E9C52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133D9F7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3E1B95D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62B8C36D" w14:textId="77777777" w:rsidTr="001407A3">
        <w:trPr>
          <w:trHeight w:val="240"/>
          <w:jc w:val="center"/>
        </w:trPr>
        <w:tc>
          <w:tcPr>
            <w:tcW w:w="658" w:type="dxa"/>
            <w:tcBorders>
              <w:top w:val="single" w:sz="2" w:space="0" w:color="auto"/>
              <w:left w:val="single" w:sz="2" w:space="0" w:color="auto"/>
              <w:bottom w:val="single" w:sz="2" w:space="0" w:color="auto"/>
              <w:right w:val="single" w:sz="2" w:space="0" w:color="auto"/>
            </w:tcBorders>
            <w:vAlign w:val="center"/>
          </w:tcPr>
          <w:p w14:paraId="4B39B4D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余茂鑫</w:t>
            </w:r>
          </w:p>
        </w:tc>
        <w:tc>
          <w:tcPr>
            <w:tcW w:w="567" w:type="dxa"/>
            <w:tcBorders>
              <w:top w:val="single" w:sz="2" w:space="0" w:color="auto"/>
              <w:left w:val="single" w:sz="2" w:space="0" w:color="auto"/>
              <w:bottom w:val="single" w:sz="2" w:space="0" w:color="auto"/>
              <w:right w:val="single" w:sz="2" w:space="0" w:color="auto"/>
            </w:tcBorders>
            <w:vAlign w:val="center"/>
          </w:tcPr>
          <w:p w14:paraId="7FDBF6A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男</w:t>
            </w:r>
          </w:p>
        </w:tc>
        <w:tc>
          <w:tcPr>
            <w:tcW w:w="567" w:type="dxa"/>
            <w:tcBorders>
              <w:top w:val="single" w:sz="2" w:space="0" w:color="auto"/>
              <w:left w:val="single" w:sz="2" w:space="0" w:color="auto"/>
              <w:bottom w:val="single" w:sz="2" w:space="0" w:color="auto"/>
              <w:right w:val="single" w:sz="2" w:space="0" w:color="auto"/>
            </w:tcBorders>
            <w:vAlign w:val="center"/>
          </w:tcPr>
          <w:p w14:paraId="3492F8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w:t>
            </w:r>
          </w:p>
        </w:tc>
        <w:tc>
          <w:tcPr>
            <w:tcW w:w="1134" w:type="dxa"/>
            <w:tcBorders>
              <w:top w:val="single" w:sz="2" w:space="0" w:color="auto"/>
              <w:left w:val="single" w:sz="2" w:space="0" w:color="auto"/>
              <w:bottom w:val="single" w:sz="2" w:space="0" w:color="auto"/>
              <w:right w:val="single" w:sz="2" w:space="0" w:color="auto"/>
            </w:tcBorders>
            <w:vAlign w:val="center"/>
          </w:tcPr>
          <w:p w14:paraId="0550720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独立董事</w:t>
            </w:r>
          </w:p>
        </w:tc>
        <w:tc>
          <w:tcPr>
            <w:tcW w:w="567" w:type="dxa"/>
            <w:tcBorders>
              <w:top w:val="single" w:sz="2" w:space="0" w:color="auto"/>
              <w:left w:val="single" w:sz="2" w:space="0" w:color="auto"/>
              <w:bottom w:val="single" w:sz="2" w:space="0" w:color="auto"/>
              <w:right w:val="single" w:sz="2" w:space="0" w:color="auto"/>
            </w:tcBorders>
            <w:vAlign w:val="center"/>
          </w:tcPr>
          <w:p w14:paraId="7A33D5A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993" w:type="dxa"/>
            <w:tcBorders>
              <w:top w:val="single" w:sz="2" w:space="0" w:color="auto"/>
              <w:left w:val="single" w:sz="2" w:space="0" w:color="auto"/>
              <w:bottom w:val="single" w:sz="2" w:space="0" w:color="auto"/>
              <w:right w:val="single" w:sz="2" w:space="0" w:color="auto"/>
            </w:tcBorders>
            <w:vAlign w:val="center"/>
          </w:tcPr>
          <w:p w14:paraId="31994B3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992" w:type="dxa"/>
            <w:tcBorders>
              <w:top w:val="single" w:sz="2" w:space="0" w:color="auto"/>
              <w:left w:val="single" w:sz="2" w:space="0" w:color="auto"/>
              <w:bottom w:val="single" w:sz="2" w:space="0" w:color="auto"/>
              <w:right w:val="single" w:sz="2" w:space="0" w:color="auto"/>
            </w:tcBorders>
            <w:vAlign w:val="center"/>
          </w:tcPr>
          <w:p w14:paraId="60E6DF6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2025</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1414961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74CF6C0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54709A7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7EE3AC1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7F4EB44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0967807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4FCCCABA" w14:textId="77777777" w:rsidTr="001407A3">
        <w:trPr>
          <w:trHeight w:val="240"/>
          <w:jc w:val="center"/>
        </w:trPr>
        <w:tc>
          <w:tcPr>
            <w:tcW w:w="658" w:type="dxa"/>
            <w:tcBorders>
              <w:top w:val="single" w:sz="2" w:space="0" w:color="auto"/>
              <w:left w:val="single" w:sz="2" w:space="0" w:color="auto"/>
              <w:bottom w:val="single" w:sz="2" w:space="0" w:color="auto"/>
              <w:right w:val="single" w:sz="2" w:space="0" w:color="auto"/>
            </w:tcBorders>
            <w:vAlign w:val="center"/>
          </w:tcPr>
          <w:p w14:paraId="652E172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张玮</w:t>
            </w:r>
          </w:p>
        </w:tc>
        <w:tc>
          <w:tcPr>
            <w:tcW w:w="567" w:type="dxa"/>
            <w:tcBorders>
              <w:top w:val="single" w:sz="2" w:space="0" w:color="auto"/>
              <w:left w:val="single" w:sz="2" w:space="0" w:color="auto"/>
              <w:bottom w:val="single" w:sz="2" w:space="0" w:color="auto"/>
              <w:right w:val="single" w:sz="2" w:space="0" w:color="auto"/>
            </w:tcBorders>
            <w:vAlign w:val="center"/>
          </w:tcPr>
          <w:p w14:paraId="343ACB8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女</w:t>
            </w:r>
          </w:p>
        </w:tc>
        <w:tc>
          <w:tcPr>
            <w:tcW w:w="567" w:type="dxa"/>
            <w:tcBorders>
              <w:top w:val="single" w:sz="2" w:space="0" w:color="auto"/>
              <w:left w:val="single" w:sz="2" w:space="0" w:color="auto"/>
              <w:bottom w:val="single" w:sz="2" w:space="0" w:color="auto"/>
              <w:right w:val="single" w:sz="2" w:space="0" w:color="auto"/>
            </w:tcBorders>
            <w:vAlign w:val="center"/>
          </w:tcPr>
          <w:p w14:paraId="4E9E886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w:t>
            </w:r>
          </w:p>
        </w:tc>
        <w:tc>
          <w:tcPr>
            <w:tcW w:w="1134" w:type="dxa"/>
            <w:tcBorders>
              <w:top w:val="single" w:sz="2" w:space="0" w:color="auto"/>
              <w:left w:val="single" w:sz="2" w:space="0" w:color="auto"/>
              <w:bottom w:val="single" w:sz="2" w:space="0" w:color="auto"/>
              <w:right w:val="single" w:sz="2" w:space="0" w:color="auto"/>
            </w:tcBorders>
            <w:vAlign w:val="center"/>
          </w:tcPr>
          <w:p w14:paraId="32E4B90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监事</w:t>
            </w:r>
          </w:p>
        </w:tc>
        <w:tc>
          <w:tcPr>
            <w:tcW w:w="567" w:type="dxa"/>
            <w:tcBorders>
              <w:top w:val="single" w:sz="2" w:space="0" w:color="auto"/>
              <w:left w:val="single" w:sz="2" w:space="0" w:color="auto"/>
              <w:bottom w:val="single" w:sz="2" w:space="0" w:color="auto"/>
              <w:right w:val="single" w:sz="2" w:space="0" w:color="auto"/>
            </w:tcBorders>
            <w:vAlign w:val="center"/>
          </w:tcPr>
          <w:p w14:paraId="0B9A3B6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993" w:type="dxa"/>
            <w:tcBorders>
              <w:top w:val="single" w:sz="2" w:space="0" w:color="auto"/>
              <w:left w:val="single" w:sz="2" w:space="0" w:color="auto"/>
              <w:bottom w:val="single" w:sz="2" w:space="0" w:color="auto"/>
              <w:right w:val="single" w:sz="2" w:space="0" w:color="auto"/>
            </w:tcBorders>
            <w:vAlign w:val="center"/>
          </w:tcPr>
          <w:p w14:paraId="36E672D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992" w:type="dxa"/>
            <w:tcBorders>
              <w:top w:val="single" w:sz="2" w:space="0" w:color="auto"/>
              <w:left w:val="single" w:sz="2" w:space="0" w:color="auto"/>
              <w:bottom w:val="single" w:sz="2" w:space="0" w:color="auto"/>
              <w:right w:val="single" w:sz="2" w:space="0" w:color="auto"/>
            </w:tcBorders>
            <w:vAlign w:val="center"/>
          </w:tcPr>
          <w:p w14:paraId="41D00BA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2025</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655AE67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6B477DC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30B1176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14DAC73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2819872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7663053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437CE5CA" w14:textId="77777777" w:rsidTr="001407A3">
        <w:trPr>
          <w:trHeight w:val="240"/>
          <w:jc w:val="center"/>
        </w:trPr>
        <w:tc>
          <w:tcPr>
            <w:tcW w:w="658" w:type="dxa"/>
            <w:tcBorders>
              <w:top w:val="single" w:sz="2" w:space="0" w:color="auto"/>
              <w:left w:val="single" w:sz="2" w:space="0" w:color="auto"/>
              <w:bottom w:val="single" w:sz="2" w:space="0" w:color="auto"/>
              <w:right w:val="single" w:sz="2" w:space="0" w:color="auto"/>
            </w:tcBorders>
            <w:vAlign w:val="center"/>
          </w:tcPr>
          <w:p w14:paraId="7E8A2C3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张楠</w:t>
            </w:r>
          </w:p>
        </w:tc>
        <w:tc>
          <w:tcPr>
            <w:tcW w:w="567" w:type="dxa"/>
            <w:tcBorders>
              <w:top w:val="single" w:sz="2" w:space="0" w:color="auto"/>
              <w:left w:val="single" w:sz="2" w:space="0" w:color="auto"/>
              <w:bottom w:val="single" w:sz="2" w:space="0" w:color="auto"/>
              <w:right w:val="single" w:sz="2" w:space="0" w:color="auto"/>
            </w:tcBorders>
            <w:vAlign w:val="center"/>
          </w:tcPr>
          <w:p w14:paraId="15CE3FD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男</w:t>
            </w:r>
          </w:p>
        </w:tc>
        <w:tc>
          <w:tcPr>
            <w:tcW w:w="567" w:type="dxa"/>
            <w:tcBorders>
              <w:top w:val="single" w:sz="2" w:space="0" w:color="auto"/>
              <w:left w:val="single" w:sz="2" w:space="0" w:color="auto"/>
              <w:bottom w:val="single" w:sz="2" w:space="0" w:color="auto"/>
              <w:right w:val="single" w:sz="2" w:space="0" w:color="auto"/>
            </w:tcBorders>
            <w:vAlign w:val="center"/>
          </w:tcPr>
          <w:p w14:paraId="24743EF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w:t>
            </w:r>
          </w:p>
        </w:tc>
        <w:tc>
          <w:tcPr>
            <w:tcW w:w="1134" w:type="dxa"/>
            <w:tcBorders>
              <w:top w:val="single" w:sz="2" w:space="0" w:color="auto"/>
              <w:left w:val="single" w:sz="2" w:space="0" w:color="auto"/>
              <w:bottom w:val="single" w:sz="2" w:space="0" w:color="auto"/>
              <w:right w:val="single" w:sz="2" w:space="0" w:color="auto"/>
            </w:tcBorders>
            <w:vAlign w:val="center"/>
          </w:tcPr>
          <w:p w14:paraId="1AA0B9D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监事</w:t>
            </w:r>
          </w:p>
        </w:tc>
        <w:tc>
          <w:tcPr>
            <w:tcW w:w="567" w:type="dxa"/>
            <w:tcBorders>
              <w:top w:val="single" w:sz="2" w:space="0" w:color="auto"/>
              <w:left w:val="single" w:sz="2" w:space="0" w:color="auto"/>
              <w:bottom w:val="single" w:sz="2" w:space="0" w:color="auto"/>
              <w:right w:val="single" w:sz="2" w:space="0" w:color="auto"/>
            </w:tcBorders>
            <w:vAlign w:val="center"/>
          </w:tcPr>
          <w:p w14:paraId="230534D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993" w:type="dxa"/>
            <w:tcBorders>
              <w:top w:val="single" w:sz="2" w:space="0" w:color="auto"/>
              <w:left w:val="single" w:sz="2" w:space="0" w:color="auto"/>
              <w:bottom w:val="single" w:sz="2" w:space="0" w:color="auto"/>
              <w:right w:val="single" w:sz="2" w:space="0" w:color="auto"/>
            </w:tcBorders>
            <w:vAlign w:val="center"/>
          </w:tcPr>
          <w:p w14:paraId="19C99CA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日</w:t>
            </w:r>
          </w:p>
        </w:tc>
        <w:tc>
          <w:tcPr>
            <w:tcW w:w="992" w:type="dxa"/>
            <w:tcBorders>
              <w:top w:val="single" w:sz="2" w:space="0" w:color="auto"/>
              <w:left w:val="single" w:sz="2" w:space="0" w:color="auto"/>
              <w:bottom w:val="single" w:sz="2" w:space="0" w:color="auto"/>
              <w:right w:val="single" w:sz="2" w:space="0" w:color="auto"/>
            </w:tcBorders>
            <w:vAlign w:val="center"/>
          </w:tcPr>
          <w:p w14:paraId="668BD6D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2025</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1DBDA89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0FFA2C7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0B89534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2E4CE0E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565BC48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198FFA2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3047AF14" w14:textId="77777777" w:rsidTr="001407A3">
        <w:trPr>
          <w:trHeight w:val="240"/>
          <w:jc w:val="center"/>
        </w:trPr>
        <w:tc>
          <w:tcPr>
            <w:tcW w:w="658" w:type="dxa"/>
            <w:tcBorders>
              <w:top w:val="single" w:sz="2" w:space="0" w:color="auto"/>
              <w:left w:val="single" w:sz="2" w:space="0" w:color="auto"/>
              <w:bottom w:val="single" w:sz="2" w:space="0" w:color="auto"/>
              <w:right w:val="single" w:sz="2" w:space="0" w:color="auto"/>
            </w:tcBorders>
            <w:vAlign w:val="center"/>
          </w:tcPr>
          <w:p w14:paraId="298849A1"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吴战宗</w:t>
            </w:r>
            <w:proofErr w:type="gramEnd"/>
          </w:p>
        </w:tc>
        <w:tc>
          <w:tcPr>
            <w:tcW w:w="567" w:type="dxa"/>
            <w:tcBorders>
              <w:top w:val="single" w:sz="2" w:space="0" w:color="auto"/>
              <w:left w:val="single" w:sz="2" w:space="0" w:color="auto"/>
              <w:bottom w:val="single" w:sz="2" w:space="0" w:color="auto"/>
              <w:right w:val="single" w:sz="2" w:space="0" w:color="auto"/>
            </w:tcBorders>
            <w:vAlign w:val="center"/>
          </w:tcPr>
          <w:p w14:paraId="6C7D77C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男</w:t>
            </w:r>
          </w:p>
        </w:tc>
        <w:tc>
          <w:tcPr>
            <w:tcW w:w="567" w:type="dxa"/>
            <w:tcBorders>
              <w:top w:val="single" w:sz="2" w:space="0" w:color="auto"/>
              <w:left w:val="single" w:sz="2" w:space="0" w:color="auto"/>
              <w:bottom w:val="single" w:sz="2" w:space="0" w:color="auto"/>
              <w:right w:val="single" w:sz="2" w:space="0" w:color="auto"/>
            </w:tcBorders>
            <w:vAlign w:val="center"/>
          </w:tcPr>
          <w:p w14:paraId="2468384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w:t>
            </w:r>
          </w:p>
        </w:tc>
        <w:tc>
          <w:tcPr>
            <w:tcW w:w="1134" w:type="dxa"/>
            <w:tcBorders>
              <w:top w:val="single" w:sz="2" w:space="0" w:color="auto"/>
              <w:left w:val="single" w:sz="2" w:space="0" w:color="auto"/>
              <w:bottom w:val="single" w:sz="2" w:space="0" w:color="auto"/>
              <w:right w:val="single" w:sz="2" w:space="0" w:color="auto"/>
            </w:tcBorders>
            <w:vAlign w:val="center"/>
          </w:tcPr>
          <w:p w14:paraId="4D42C2F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监事</w:t>
            </w:r>
          </w:p>
        </w:tc>
        <w:tc>
          <w:tcPr>
            <w:tcW w:w="567" w:type="dxa"/>
            <w:tcBorders>
              <w:top w:val="single" w:sz="2" w:space="0" w:color="auto"/>
              <w:left w:val="single" w:sz="2" w:space="0" w:color="auto"/>
              <w:bottom w:val="single" w:sz="2" w:space="0" w:color="auto"/>
              <w:right w:val="single" w:sz="2" w:space="0" w:color="auto"/>
            </w:tcBorders>
            <w:vAlign w:val="center"/>
          </w:tcPr>
          <w:p w14:paraId="153D93A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993" w:type="dxa"/>
            <w:tcBorders>
              <w:top w:val="single" w:sz="2" w:space="0" w:color="auto"/>
              <w:left w:val="single" w:sz="2" w:space="0" w:color="auto"/>
              <w:bottom w:val="single" w:sz="2" w:space="0" w:color="auto"/>
              <w:right w:val="single" w:sz="2" w:space="0" w:color="auto"/>
            </w:tcBorders>
            <w:vAlign w:val="center"/>
          </w:tcPr>
          <w:p w14:paraId="76557FE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992" w:type="dxa"/>
            <w:tcBorders>
              <w:top w:val="single" w:sz="2" w:space="0" w:color="auto"/>
              <w:left w:val="single" w:sz="2" w:space="0" w:color="auto"/>
              <w:bottom w:val="single" w:sz="2" w:space="0" w:color="auto"/>
              <w:right w:val="single" w:sz="2" w:space="0" w:color="auto"/>
            </w:tcBorders>
            <w:vAlign w:val="center"/>
          </w:tcPr>
          <w:p w14:paraId="4918706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2025</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499DBF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43C354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3795A29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028C020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5035B73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37C233B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4E3B3D3B" w14:textId="77777777" w:rsidTr="001407A3">
        <w:trPr>
          <w:trHeight w:val="240"/>
          <w:jc w:val="center"/>
        </w:trPr>
        <w:tc>
          <w:tcPr>
            <w:tcW w:w="658" w:type="dxa"/>
            <w:tcBorders>
              <w:top w:val="single" w:sz="2" w:space="0" w:color="auto"/>
              <w:left w:val="single" w:sz="2" w:space="0" w:color="auto"/>
              <w:bottom w:val="single" w:sz="2" w:space="0" w:color="auto"/>
              <w:right w:val="single" w:sz="2" w:space="0" w:color="auto"/>
            </w:tcBorders>
            <w:vAlign w:val="center"/>
          </w:tcPr>
          <w:p w14:paraId="49146ECD"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张凌</w:t>
            </w:r>
            <w:proofErr w:type="gramEnd"/>
          </w:p>
        </w:tc>
        <w:tc>
          <w:tcPr>
            <w:tcW w:w="567" w:type="dxa"/>
            <w:tcBorders>
              <w:top w:val="single" w:sz="2" w:space="0" w:color="auto"/>
              <w:left w:val="single" w:sz="2" w:space="0" w:color="auto"/>
              <w:bottom w:val="single" w:sz="2" w:space="0" w:color="auto"/>
              <w:right w:val="single" w:sz="2" w:space="0" w:color="auto"/>
            </w:tcBorders>
            <w:vAlign w:val="center"/>
          </w:tcPr>
          <w:p w14:paraId="2FEB94D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女</w:t>
            </w:r>
          </w:p>
        </w:tc>
        <w:tc>
          <w:tcPr>
            <w:tcW w:w="567" w:type="dxa"/>
            <w:tcBorders>
              <w:top w:val="single" w:sz="2" w:space="0" w:color="auto"/>
              <w:left w:val="single" w:sz="2" w:space="0" w:color="auto"/>
              <w:bottom w:val="single" w:sz="2" w:space="0" w:color="auto"/>
              <w:right w:val="single" w:sz="2" w:space="0" w:color="auto"/>
            </w:tcBorders>
            <w:vAlign w:val="center"/>
          </w:tcPr>
          <w:p w14:paraId="7BB9412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w:t>
            </w:r>
          </w:p>
        </w:tc>
        <w:tc>
          <w:tcPr>
            <w:tcW w:w="1134" w:type="dxa"/>
            <w:tcBorders>
              <w:top w:val="single" w:sz="2" w:space="0" w:color="auto"/>
              <w:left w:val="single" w:sz="2" w:space="0" w:color="auto"/>
              <w:bottom w:val="single" w:sz="2" w:space="0" w:color="auto"/>
              <w:right w:val="single" w:sz="2" w:space="0" w:color="auto"/>
            </w:tcBorders>
            <w:vAlign w:val="center"/>
          </w:tcPr>
          <w:p w14:paraId="0D04B76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财务总监</w:t>
            </w:r>
          </w:p>
        </w:tc>
        <w:tc>
          <w:tcPr>
            <w:tcW w:w="567" w:type="dxa"/>
            <w:tcBorders>
              <w:top w:val="single" w:sz="2" w:space="0" w:color="auto"/>
              <w:left w:val="single" w:sz="2" w:space="0" w:color="auto"/>
              <w:bottom w:val="single" w:sz="2" w:space="0" w:color="auto"/>
              <w:right w:val="single" w:sz="2" w:space="0" w:color="auto"/>
            </w:tcBorders>
            <w:vAlign w:val="center"/>
          </w:tcPr>
          <w:p w14:paraId="08FDB70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993" w:type="dxa"/>
            <w:tcBorders>
              <w:top w:val="single" w:sz="2" w:space="0" w:color="auto"/>
              <w:left w:val="single" w:sz="2" w:space="0" w:color="auto"/>
              <w:bottom w:val="single" w:sz="2" w:space="0" w:color="auto"/>
              <w:right w:val="single" w:sz="2" w:space="0" w:color="auto"/>
            </w:tcBorders>
            <w:vAlign w:val="center"/>
          </w:tcPr>
          <w:p w14:paraId="086346A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992" w:type="dxa"/>
            <w:tcBorders>
              <w:top w:val="single" w:sz="2" w:space="0" w:color="auto"/>
              <w:left w:val="single" w:sz="2" w:space="0" w:color="auto"/>
              <w:bottom w:val="single" w:sz="2" w:space="0" w:color="auto"/>
              <w:right w:val="single" w:sz="2" w:space="0" w:color="auto"/>
            </w:tcBorders>
            <w:vAlign w:val="center"/>
          </w:tcPr>
          <w:p w14:paraId="63998C7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2025</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14ADB1D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668CDA2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4498E6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38E1C72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48A133A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6B4842E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1F668D2F" w14:textId="77777777" w:rsidTr="001407A3">
        <w:trPr>
          <w:trHeight w:val="240"/>
          <w:jc w:val="center"/>
        </w:trPr>
        <w:tc>
          <w:tcPr>
            <w:tcW w:w="658" w:type="dxa"/>
            <w:tcBorders>
              <w:top w:val="single" w:sz="2" w:space="0" w:color="auto"/>
              <w:left w:val="single" w:sz="2" w:space="0" w:color="auto"/>
              <w:bottom w:val="single" w:sz="2" w:space="0" w:color="auto"/>
              <w:right w:val="single" w:sz="2" w:space="0" w:color="auto"/>
            </w:tcBorders>
            <w:vAlign w:val="center"/>
          </w:tcPr>
          <w:p w14:paraId="51A8EBF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刘婧</w:t>
            </w:r>
          </w:p>
        </w:tc>
        <w:tc>
          <w:tcPr>
            <w:tcW w:w="567" w:type="dxa"/>
            <w:tcBorders>
              <w:top w:val="single" w:sz="2" w:space="0" w:color="auto"/>
              <w:left w:val="single" w:sz="2" w:space="0" w:color="auto"/>
              <w:bottom w:val="single" w:sz="2" w:space="0" w:color="auto"/>
              <w:right w:val="single" w:sz="2" w:space="0" w:color="auto"/>
            </w:tcBorders>
            <w:vAlign w:val="center"/>
          </w:tcPr>
          <w:p w14:paraId="5870E29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女</w:t>
            </w:r>
          </w:p>
        </w:tc>
        <w:tc>
          <w:tcPr>
            <w:tcW w:w="567" w:type="dxa"/>
            <w:tcBorders>
              <w:top w:val="single" w:sz="2" w:space="0" w:color="auto"/>
              <w:left w:val="single" w:sz="2" w:space="0" w:color="auto"/>
              <w:bottom w:val="single" w:sz="2" w:space="0" w:color="auto"/>
              <w:right w:val="single" w:sz="2" w:space="0" w:color="auto"/>
            </w:tcBorders>
            <w:vAlign w:val="center"/>
          </w:tcPr>
          <w:p w14:paraId="7DB13A0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w:t>
            </w:r>
          </w:p>
        </w:tc>
        <w:tc>
          <w:tcPr>
            <w:tcW w:w="1134" w:type="dxa"/>
            <w:tcBorders>
              <w:top w:val="single" w:sz="2" w:space="0" w:color="auto"/>
              <w:left w:val="single" w:sz="2" w:space="0" w:color="auto"/>
              <w:bottom w:val="single" w:sz="2" w:space="0" w:color="auto"/>
              <w:right w:val="single" w:sz="2" w:space="0" w:color="auto"/>
            </w:tcBorders>
            <w:vAlign w:val="center"/>
          </w:tcPr>
          <w:p w14:paraId="130C1ED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副总经理</w:t>
            </w:r>
          </w:p>
        </w:tc>
        <w:tc>
          <w:tcPr>
            <w:tcW w:w="567" w:type="dxa"/>
            <w:tcBorders>
              <w:top w:val="single" w:sz="2" w:space="0" w:color="auto"/>
              <w:left w:val="single" w:sz="2" w:space="0" w:color="auto"/>
              <w:bottom w:val="single" w:sz="2" w:space="0" w:color="auto"/>
              <w:right w:val="single" w:sz="2" w:space="0" w:color="auto"/>
            </w:tcBorders>
            <w:vAlign w:val="center"/>
          </w:tcPr>
          <w:p w14:paraId="530736E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993" w:type="dxa"/>
            <w:tcBorders>
              <w:top w:val="single" w:sz="2" w:space="0" w:color="auto"/>
              <w:left w:val="single" w:sz="2" w:space="0" w:color="auto"/>
              <w:bottom w:val="single" w:sz="2" w:space="0" w:color="auto"/>
              <w:right w:val="single" w:sz="2" w:space="0" w:color="auto"/>
            </w:tcBorders>
            <w:vAlign w:val="center"/>
          </w:tcPr>
          <w:p w14:paraId="56D31DB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992" w:type="dxa"/>
            <w:tcBorders>
              <w:top w:val="single" w:sz="2" w:space="0" w:color="auto"/>
              <w:left w:val="single" w:sz="2" w:space="0" w:color="auto"/>
              <w:bottom w:val="single" w:sz="2" w:space="0" w:color="auto"/>
              <w:right w:val="single" w:sz="2" w:space="0" w:color="auto"/>
            </w:tcBorders>
            <w:vAlign w:val="center"/>
          </w:tcPr>
          <w:p w14:paraId="7C285D8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2025</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3399190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1360F2B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094CF90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68FB50F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0C5F285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399B8C6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244FC68A" w14:textId="77777777" w:rsidTr="001407A3">
        <w:trPr>
          <w:trHeight w:val="240"/>
          <w:jc w:val="center"/>
        </w:trPr>
        <w:tc>
          <w:tcPr>
            <w:tcW w:w="658" w:type="dxa"/>
            <w:tcBorders>
              <w:top w:val="single" w:sz="2" w:space="0" w:color="auto"/>
              <w:left w:val="single" w:sz="2" w:space="0" w:color="auto"/>
              <w:bottom w:val="single" w:sz="2" w:space="0" w:color="auto"/>
              <w:right w:val="single" w:sz="2" w:space="0" w:color="auto"/>
            </w:tcBorders>
            <w:vAlign w:val="center"/>
          </w:tcPr>
          <w:p w14:paraId="3C431346"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余宇</w:t>
            </w:r>
            <w:proofErr w:type="gramEnd"/>
          </w:p>
        </w:tc>
        <w:tc>
          <w:tcPr>
            <w:tcW w:w="567" w:type="dxa"/>
            <w:tcBorders>
              <w:top w:val="single" w:sz="2" w:space="0" w:color="auto"/>
              <w:left w:val="single" w:sz="2" w:space="0" w:color="auto"/>
              <w:bottom w:val="single" w:sz="2" w:space="0" w:color="auto"/>
              <w:right w:val="single" w:sz="2" w:space="0" w:color="auto"/>
            </w:tcBorders>
            <w:vAlign w:val="center"/>
          </w:tcPr>
          <w:p w14:paraId="74473E0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男</w:t>
            </w:r>
          </w:p>
        </w:tc>
        <w:tc>
          <w:tcPr>
            <w:tcW w:w="567" w:type="dxa"/>
            <w:tcBorders>
              <w:top w:val="single" w:sz="2" w:space="0" w:color="auto"/>
              <w:left w:val="single" w:sz="2" w:space="0" w:color="auto"/>
              <w:bottom w:val="single" w:sz="2" w:space="0" w:color="auto"/>
              <w:right w:val="single" w:sz="2" w:space="0" w:color="auto"/>
            </w:tcBorders>
            <w:vAlign w:val="center"/>
          </w:tcPr>
          <w:p w14:paraId="6C240F2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w:t>
            </w:r>
          </w:p>
        </w:tc>
        <w:tc>
          <w:tcPr>
            <w:tcW w:w="1134" w:type="dxa"/>
            <w:tcBorders>
              <w:top w:val="single" w:sz="2" w:space="0" w:color="auto"/>
              <w:left w:val="single" w:sz="2" w:space="0" w:color="auto"/>
              <w:bottom w:val="single" w:sz="2" w:space="0" w:color="auto"/>
              <w:right w:val="single" w:sz="2" w:space="0" w:color="auto"/>
            </w:tcBorders>
            <w:vAlign w:val="center"/>
          </w:tcPr>
          <w:p w14:paraId="3E65247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原董事长</w:t>
            </w:r>
          </w:p>
        </w:tc>
        <w:tc>
          <w:tcPr>
            <w:tcW w:w="567" w:type="dxa"/>
            <w:tcBorders>
              <w:top w:val="single" w:sz="2" w:space="0" w:color="auto"/>
              <w:left w:val="single" w:sz="2" w:space="0" w:color="auto"/>
              <w:bottom w:val="single" w:sz="2" w:space="0" w:color="auto"/>
              <w:right w:val="single" w:sz="2" w:space="0" w:color="auto"/>
            </w:tcBorders>
            <w:vAlign w:val="center"/>
          </w:tcPr>
          <w:p w14:paraId="49344A4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离任</w:t>
            </w:r>
          </w:p>
        </w:tc>
        <w:tc>
          <w:tcPr>
            <w:tcW w:w="993" w:type="dxa"/>
            <w:tcBorders>
              <w:top w:val="single" w:sz="2" w:space="0" w:color="auto"/>
              <w:left w:val="single" w:sz="2" w:space="0" w:color="auto"/>
              <w:bottom w:val="single" w:sz="2" w:space="0" w:color="auto"/>
              <w:right w:val="single" w:sz="2" w:space="0" w:color="auto"/>
            </w:tcBorders>
            <w:vAlign w:val="center"/>
          </w:tcPr>
          <w:p w14:paraId="7612ABA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2018</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15</w:t>
            </w:r>
            <w:r w:rsidRPr="00F614F9">
              <w:rPr>
                <w:rFonts w:ascii="Times New Roman" w:eastAsia="宋体" w:hAnsi="Times New Roman" w:cs="宋体"/>
                <w:sz w:val="18"/>
                <w:szCs w:val="18"/>
              </w:rPr>
              <w:t>日</w:t>
            </w:r>
          </w:p>
        </w:tc>
        <w:tc>
          <w:tcPr>
            <w:tcW w:w="992" w:type="dxa"/>
            <w:tcBorders>
              <w:top w:val="single" w:sz="2" w:space="0" w:color="auto"/>
              <w:left w:val="single" w:sz="2" w:space="0" w:color="auto"/>
              <w:bottom w:val="single" w:sz="2" w:space="0" w:color="auto"/>
              <w:right w:val="single" w:sz="2" w:space="0" w:color="auto"/>
            </w:tcBorders>
            <w:vAlign w:val="center"/>
          </w:tcPr>
          <w:p w14:paraId="4551384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57E8142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1,638,000</w:t>
            </w:r>
          </w:p>
        </w:tc>
        <w:tc>
          <w:tcPr>
            <w:tcW w:w="709" w:type="dxa"/>
            <w:tcBorders>
              <w:top w:val="single" w:sz="2" w:space="0" w:color="auto"/>
              <w:left w:val="single" w:sz="2" w:space="0" w:color="auto"/>
              <w:bottom w:val="single" w:sz="2" w:space="0" w:color="auto"/>
              <w:right w:val="single" w:sz="2" w:space="0" w:color="auto"/>
            </w:tcBorders>
            <w:vAlign w:val="center"/>
          </w:tcPr>
          <w:p w14:paraId="7D5A877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150AE16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5D750C4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6E65931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1,638,000</w:t>
            </w:r>
          </w:p>
        </w:tc>
        <w:tc>
          <w:tcPr>
            <w:tcW w:w="709" w:type="dxa"/>
            <w:tcBorders>
              <w:top w:val="single" w:sz="2" w:space="0" w:color="auto"/>
              <w:left w:val="single" w:sz="2" w:space="0" w:color="auto"/>
              <w:bottom w:val="single" w:sz="2" w:space="0" w:color="auto"/>
              <w:right w:val="single" w:sz="2" w:space="0" w:color="auto"/>
            </w:tcBorders>
            <w:vAlign w:val="center"/>
          </w:tcPr>
          <w:p w14:paraId="49C84D7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0A5A872B" w14:textId="77777777" w:rsidTr="001407A3">
        <w:trPr>
          <w:trHeight w:val="240"/>
          <w:jc w:val="center"/>
        </w:trPr>
        <w:tc>
          <w:tcPr>
            <w:tcW w:w="658" w:type="dxa"/>
            <w:tcBorders>
              <w:top w:val="single" w:sz="2" w:space="0" w:color="auto"/>
              <w:left w:val="single" w:sz="2" w:space="0" w:color="auto"/>
              <w:bottom w:val="single" w:sz="2" w:space="0" w:color="auto"/>
              <w:right w:val="single" w:sz="2" w:space="0" w:color="auto"/>
            </w:tcBorders>
            <w:vAlign w:val="center"/>
          </w:tcPr>
          <w:p w14:paraId="2380517C"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何爽</w:t>
            </w:r>
            <w:proofErr w:type="gramEnd"/>
          </w:p>
        </w:tc>
        <w:tc>
          <w:tcPr>
            <w:tcW w:w="567" w:type="dxa"/>
            <w:tcBorders>
              <w:top w:val="single" w:sz="2" w:space="0" w:color="auto"/>
              <w:left w:val="single" w:sz="2" w:space="0" w:color="auto"/>
              <w:bottom w:val="single" w:sz="2" w:space="0" w:color="auto"/>
              <w:right w:val="single" w:sz="2" w:space="0" w:color="auto"/>
            </w:tcBorders>
            <w:vAlign w:val="center"/>
          </w:tcPr>
          <w:p w14:paraId="0CC2C21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女</w:t>
            </w:r>
          </w:p>
        </w:tc>
        <w:tc>
          <w:tcPr>
            <w:tcW w:w="567" w:type="dxa"/>
            <w:tcBorders>
              <w:top w:val="single" w:sz="2" w:space="0" w:color="auto"/>
              <w:left w:val="single" w:sz="2" w:space="0" w:color="auto"/>
              <w:bottom w:val="single" w:sz="2" w:space="0" w:color="auto"/>
              <w:right w:val="single" w:sz="2" w:space="0" w:color="auto"/>
            </w:tcBorders>
            <w:vAlign w:val="center"/>
          </w:tcPr>
          <w:p w14:paraId="269D91A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w:t>
            </w:r>
          </w:p>
        </w:tc>
        <w:tc>
          <w:tcPr>
            <w:tcW w:w="1134" w:type="dxa"/>
            <w:tcBorders>
              <w:top w:val="single" w:sz="2" w:space="0" w:color="auto"/>
              <w:left w:val="single" w:sz="2" w:space="0" w:color="auto"/>
              <w:bottom w:val="single" w:sz="2" w:space="0" w:color="auto"/>
              <w:right w:val="single" w:sz="2" w:space="0" w:color="auto"/>
            </w:tcBorders>
            <w:vAlign w:val="center"/>
          </w:tcPr>
          <w:p w14:paraId="05E87EB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原副总经理</w:t>
            </w:r>
          </w:p>
        </w:tc>
        <w:tc>
          <w:tcPr>
            <w:tcW w:w="567" w:type="dxa"/>
            <w:tcBorders>
              <w:top w:val="single" w:sz="2" w:space="0" w:color="auto"/>
              <w:left w:val="single" w:sz="2" w:space="0" w:color="auto"/>
              <w:bottom w:val="single" w:sz="2" w:space="0" w:color="auto"/>
              <w:right w:val="single" w:sz="2" w:space="0" w:color="auto"/>
            </w:tcBorders>
            <w:vAlign w:val="center"/>
          </w:tcPr>
          <w:p w14:paraId="4352194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离任</w:t>
            </w:r>
          </w:p>
        </w:tc>
        <w:tc>
          <w:tcPr>
            <w:tcW w:w="993" w:type="dxa"/>
            <w:tcBorders>
              <w:top w:val="single" w:sz="2" w:space="0" w:color="auto"/>
              <w:left w:val="single" w:sz="2" w:space="0" w:color="auto"/>
              <w:bottom w:val="single" w:sz="2" w:space="0" w:color="auto"/>
              <w:right w:val="single" w:sz="2" w:space="0" w:color="auto"/>
            </w:tcBorders>
            <w:vAlign w:val="center"/>
          </w:tcPr>
          <w:p w14:paraId="3FA0C11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992" w:type="dxa"/>
            <w:tcBorders>
              <w:top w:val="single" w:sz="2" w:space="0" w:color="auto"/>
              <w:left w:val="single" w:sz="2" w:space="0" w:color="auto"/>
              <w:bottom w:val="single" w:sz="2" w:space="0" w:color="auto"/>
              <w:right w:val="single" w:sz="2" w:space="0" w:color="auto"/>
            </w:tcBorders>
            <w:vAlign w:val="center"/>
          </w:tcPr>
          <w:p w14:paraId="151C525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7A8FBC4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7736E67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1034CBB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5478B70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361339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1A9968E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4788159E" w14:textId="77777777" w:rsidTr="001407A3">
        <w:trPr>
          <w:trHeight w:val="240"/>
          <w:jc w:val="center"/>
        </w:trPr>
        <w:tc>
          <w:tcPr>
            <w:tcW w:w="658" w:type="dxa"/>
            <w:tcBorders>
              <w:top w:val="single" w:sz="2" w:space="0" w:color="auto"/>
              <w:left w:val="single" w:sz="2" w:space="0" w:color="auto"/>
              <w:bottom w:val="single" w:sz="2" w:space="0" w:color="auto"/>
              <w:right w:val="single" w:sz="2" w:space="0" w:color="auto"/>
            </w:tcBorders>
            <w:vAlign w:val="center"/>
          </w:tcPr>
          <w:p w14:paraId="4E002BE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刘婧</w:t>
            </w:r>
          </w:p>
        </w:tc>
        <w:tc>
          <w:tcPr>
            <w:tcW w:w="567" w:type="dxa"/>
            <w:tcBorders>
              <w:top w:val="single" w:sz="2" w:space="0" w:color="auto"/>
              <w:left w:val="single" w:sz="2" w:space="0" w:color="auto"/>
              <w:bottom w:val="single" w:sz="2" w:space="0" w:color="auto"/>
              <w:right w:val="single" w:sz="2" w:space="0" w:color="auto"/>
            </w:tcBorders>
            <w:vAlign w:val="center"/>
          </w:tcPr>
          <w:p w14:paraId="77A107F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女</w:t>
            </w:r>
          </w:p>
        </w:tc>
        <w:tc>
          <w:tcPr>
            <w:tcW w:w="567" w:type="dxa"/>
            <w:tcBorders>
              <w:top w:val="single" w:sz="2" w:space="0" w:color="auto"/>
              <w:left w:val="single" w:sz="2" w:space="0" w:color="auto"/>
              <w:bottom w:val="single" w:sz="2" w:space="0" w:color="auto"/>
              <w:right w:val="single" w:sz="2" w:space="0" w:color="auto"/>
            </w:tcBorders>
            <w:vAlign w:val="center"/>
          </w:tcPr>
          <w:p w14:paraId="77BC9B9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w:t>
            </w:r>
          </w:p>
        </w:tc>
        <w:tc>
          <w:tcPr>
            <w:tcW w:w="1134" w:type="dxa"/>
            <w:tcBorders>
              <w:top w:val="single" w:sz="2" w:space="0" w:color="auto"/>
              <w:left w:val="single" w:sz="2" w:space="0" w:color="auto"/>
              <w:bottom w:val="single" w:sz="2" w:space="0" w:color="auto"/>
              <w:right w:val="single" w:sz="2" w:space="0" w:color="auto"/>
            </w:tcBorders>
            <w:vAlign w:val="center"/>
          </w:tcPr>
          <w:p w14:paraId="19AB28D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原监事</w:t>
            </w:r>
          </w:p>
        </w:tc>
        <w:tc>
          <w:tcPr>
            <w:tcW w:w="567" w:type="dxa"/>
            <w:tcBorders>
              <w:top w:val="single" w:sz="2" w:space="0" w:color="auto"/>
              <w:left w:val="single" w:sz="2" w:space="0" w:color="auto"/>
              <w:bottom w:val="single" w:sz="2" w:space="0" w:color="auto"/>
              <w:right w:val="single" w:sz="2" w:space="0" w:color="auto"/>
            </w:tcBorders>
            <w:vAlign w:val="center"/>
          </w:tcPr>
          <w:p w14:paraId="5649656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离任</w:t>
            </w:r>
          </w:p>
        </w:tc>
        <w:tc>
          <w:tcPr>
            <w:tcW w:w="993" w:type="dxa"/>
            <w:tcBorders>
              <w:top w:val="single" w:sz="2" w:space="0" w:color="auto"/>
              <w:left w:val="single" w:sz="2" w:space="0" w:color="auto"/>
              <w:bottom w:val="single" w:sz="2" w:space="0" w:color="auto"/>
              <w:right w:val="single" w:sz="2" w:space="0" w:color="auto"/>
            </w:tcBorders>
            <w:vAlign w:val="center"/>
          </w:tcPr>
          <w:p w14:paraId="58C37F2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992" w:type="dxa"/>
            <w:tcBorders>
              <w:top w:val="single" w:sz="2" w:space="0" w:color="auto"/>
              <w:left w:val="single" w:sz="2" w:space="0" w:color="auto"/>
              <w:bottom w:val="single" w:sz="2" w:space="0" w:color="auto"/>
              <w:right w:val="single" w:sz="2" w:space="0" w:color="auto"/>
            </w:tcBorders>
            <w:vAlign w:val="center"/>
          </w:tcPr>
          <w:p w14:paraId="5EF1BC2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7ACB2A5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5F23F1B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00FDF16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292294B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2EAF44D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14EF9DD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761F2CB8" w14:textId="77777777" w:rsidTr="001407A3">
        <w:trPr>
          <w:trHeight w:val="240"/>
          <w:jc w:val="center"/>
        </w:trPr>
        <w:tc>
          <w:tcPr>
            <w:tcW w:w="658" w:type="dxa"/>
            <w:tcBorders>
              <w:top w:val="single" w:sz="2" w:space="0" w:color="auto"/>
              <w:left w:val="single" w:sz="2" w:space="0" w:color="auto"/>
              <w:bottom w:val="single" w:sz="2" w:space="0" w:color="auto"/>
              <w:right w:val="single" w:sz="2" w:space="0" w:color="auto"/>
            </w:tcBorders>
            <w:vAlign w:val="center"/>
          </w:tcPr>
          <w:p w14:paraId="4AB226E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王豪杰</w:t>
            </w:r>
          </w:p>
        </w:tc>
        <w:tc>
          <w:tcPr>
            <w:tcW w:w="567" w:type="dxa"/>
            <w:tcBorders>
              <w:top w:val="single" w:sz="2" w:space="0" w:color="auto"/>
              <w:left w:val="single" w:sz="2" w:space="0" w:color="auto"/>
              <w:bottom w:val="single" w:sz="2" w:space="0" w:color="auto"/>
              <w:right w:val="single" w:sz="2" w:space="0" w:color="auto"/>
            </w:tcBorders>
            <w:vAlign w:val="center"/>
          </w:tcPr>
          <w:p w14:paraId="2F8C300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男</w:t>
            </w:r>
          </w:p>
        </w:tc>
        <w:tc>
          <w:tcPr>
            <w:tcW w:w="567" w:type="dxa"/>
            <w:tcBorders>
              <w:top w:val="single" w:sz="2" w:space="0" w:color="auto"/>
              <w:left w:val="single" w:sz="2" w:space="0" w:color="auto"/>
              <w:bottom w:val="single" w:sz="2" w:space="0" w:color="auto"/>
              <w:right w:val="single" w:sz="2" w:space="0" w:color="auto"/>
            </w:tcBorders>
            <w:vAlign w:val="center"/>
          </w:tcPr>
          <w:p w14:paraId="301C80B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w:t>
            </w:r>
          </w:p>
        </w:tc>
        <w:tc>
          <w:tcPr>
            <w:tcW w:w="1134" w:type="dxa"/>
            <w:tcBorders>
              <w:top w:val="single" w:sz="2" w:space="0" w:color="auto"/>
              <w:left w:val="single" w:sz="2" w:space="0" w:color="auto"/>
              <w:bottom w:val="single" w:sz="2" w:space="0" w:color="auto"/>
              <w:right w:val="single" w:sz="2" w:space="0" w:color="auto"/>
            </w:tcBorders>
            <w:vAlign w:val="center"/>
          </w:tcPr>
          <w:p w14:paraId="5083FC4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原总经理</w:t>
            </w:r>
          </w:p>
        </w:tc>
        <w:tc>
          <w:tcPr>
            <w:tcW w:w="567" w:type="dxa"/>
            <w:tcBorders>
              <w:top w:val="single" w:sz="2" w:space="0" w:color="auto"/>
              <w:left w:val="single" w:sz="2" w:space="0" w:color="auto"/>
              <w:bottom w:val="single" w:sz="2" w:space="0" w:color="auto"/>
              <w:right w:val="single" w:sz="2" w:space="0" w:color="auto"/>
            </w:tcBorders>
            <w:vAlign w:val="center"/>
          </w:tcPr>
          <w:p w14:paraId="7272D27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离任</w:t>
            </w:r>
          </w:p>
        </w:tc>
        <w:tc>
          <w:tcPr>
            <w:tcW w:w="993" w:type="dxa"/>
            <w:tcBorders>
              <w:top w:val="single" w:sz="2" w:space="0" w:color="auto"/>
              <w:left w:val="single" w:sz="2" w:space="0" w:color="auto"/>
              <w:bottom w:val="single" w:sz="2" w:space="0" w:color="auto"/>
              <w:right w:val="single" w:sz="2" w:space="0" w:color="auto"/>
            </w:tcBorders>
            <w:vAlign w:val="center"/>
          </w:tcPr>
          <w:p w14:paraId="3A0002E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992" w:type="dxa"/>
            <w:tcBorders>
              <w:top w:val="single" w:sz="2" w:space="0" w:color="auto"/>
              <w:left w:val="single" w:sz="2" w:space="0" w:color="auto"/>
              <w:bottom w:val="single" w:sz="2" w:space="0" w:color="auto"/>
              <w:right w:val="single" w:sz="2" w:space="0" w:color="auto"/>
            </w:tcBorders>
            <w:vAlign w:val="center"/>
          </w:tcPr>
          <w:p w14:paraId="2D7D423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19</w:t>
            </w:r>
            <w:r w:rsidRPr="00F614F9">
              <w:rPr>
                <w:rFonts w:ascii="Times New Roman" w:eastAsia="宋体" w:hAnsi="Times New Roman" w:cs="宋体"/>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39615AEC" w14:textId="77777777" w:rsidR="001D26E7" w:rsidRPr="00F614F9" w:rsidRDefault="001D26E7">
            <w:pPr>
              <w:spacing w:line="240" w:lineRule="exact"/>
              <w:jc w:val="right"/>
              <w:rPr>
                <w:rFonts w:ascii="Times New Roman" w:eastAsia="宋体" w:hAnsi="Times New Roman"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6E9D2A5" w14:textId="77777777" w:rsidR="001D26E7" w:rsidRPr="00F614F9" w:rsidRDefault="001D26E7">
            <w:pPr>
              <w:spacing w:line="240" w:lineRule="exact"/>
              <w:jc w:val="right"/>
              <w:rPr>
                <w:rFonts w:ascii="Times New Roman" w:eastAsia="宋体" w:hAnsi="Times New Roman"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3342E5A6" w14:textId="77777777" w:rsidR="001D26E7" w:rsidRPr="00F614F9" w:rsidRDefault="001D26E7">
            <w:pPr>
              <w:spacing w:line="240" w:lineRule="exact"/>
              <w:jc w:val="right"/>
              <w:rPr>
                <w:rFonts w:ascii="Times New Roman" w:eastAsia="宋体" w:hAnsi="Times New Roman"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2870E5C0" w14:textId="77777777" w:rsidR="001D26E7" w:rsidRPr="00F614F9" w:rsidRDefault="001D26E7">
            <w:pPr>
              <w:spacing w:line="240" w:lineRule="exact"/>
              <w:jc w:val="right"/>
              <w:rPr>
                <w:rFonts w:ascii="Times New Roman" w:eastAsia="宋体" w:hAnsi="Times New Roman"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0E2AC56E" w14:textId="77777777" w:rsidR="001D26E7" w:rsidRPr="00F614F9" w:rsidRDefault="001D26E7">
            <w:pPr>
              <w:spacing w:line="240" w:lineRule="exact"/>
              <w:jc w:val="right"/>
              <w:rPr>
                <w:rFonts w:ascii="Times New Roman" w:eastAsia="宋体" w:hAnsi="Times New Roman"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9E4B5CD" w14:textId="77777777" w:rsidR="001D26E7" w:rsidRPr="00F614F9" w:rsidRDefault="001D26E7">
            <w:pPr>
              <w:spacing w:line="240" w:lineRule="exact"/>
              <w:rPr>
                <w:rFonts w:ascii="Times New Roman" w:eastAsia="宋体" w:hAnsi="Times New Roman" w:cs="宋体"/>
                <w:sz w:val="18"/>
                <w:szCs w:val="18"/>
              </w:rPr>
            </w:pPr>
          </w:p>
        </w:tc>
      </w:tr>
      <w:tr w:rsidR="001407A3" w:rsidRPr="00F614F9" w14:paraId="65F6889B" w14:textId="77777777" w:rsidTr="001407A3">
        <w:trPr>
          <w:trHeight w:val="240"/>
          <w:jc w:val="center"/>
        </w:trPr>
        <w:tc>
          <w:tcPr>
            <w:tcW w:w="658" w:type="dxa"/>
            <w:tcBorders>
              <w:top w:val="single" w:sz="2" w:space="0" w:color="auto"/>
              <w:left w:val="single" w:sz="2" w:space="0" w:color="auto"/>
              <w:bottom w:val="single" w:sz="2" w:space="0" w:color="auto"/>
              <w:right w:val="single" w:sz="2" w:space="0" w:color="auto"/>
            </w:tcBorders>
            <w:shd w:val="clear" w:color="auto" w:fill="D3D3D3"/>
            <w:vAlign w:val="center"/>
          </w:tcPr>
          <w:p w14:paraId="2503985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15F8011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664DE39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521A9D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077E8D7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1D0572E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7515167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850" w:type="dxa"/>
            <w:tcBorders>
              <w:top w:val="single" w:sz="2" w:space="0" w:color="auto"/>
              <w:left w:val="single" w:sz="2" w:space="0" w:color="auto"/>
              <w:bottom w:val="single" w:sz="2" w:space="0" w:color="auto"/>
              <w:right w:val="single" w:sz="2" w:space="0" w:color="auto"/>
            </w:tcBorders>
            <w:vAlign w:val="center"/>
          </w:tcPr>
          <w:p w14:paraId="450C200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2,730,000</w:t>
            </w:r>
          </w:p>
        </w:tc>
        <w:tc>
          <w:tcPr>
            <w:tcW w:w="709" w:type="dxa"/>
            <w:tcBorders>
              <w:top w:val="single" w:sz="2" w:space="0" w:color="auto"/>
              <w:left w:val="single" w:sz="2" w:space="0" w:color="auto"/>
              <w:bottom w:val="single" w:sz="2" w:space="0" w:color="auto"/>
              <w:right w:val="single" w:sz="2" w:space="0" w:color="auto"/>
            </w:tcBorders>
            <w:vAlign w:val="center"/>
          </w:tcPr>
          <w:p w14:paraId="7D34D6E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6F251E2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7E02ADE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14:paraId="47D5B0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2,730,000</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6BE9087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r>
    </w:tbl>
    <w:p w14:paraId="3DE3985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报告期是否存在任期内董事、监事离任和高级管理人员解聘的情况</w:t>
      </w:r>
    </w:p>
    <w:p w14:paraId="5F575ED9"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否</w:t>
      </w:r>
    </w:p>
    <w:p w14:paraId="35DE9B9A" w14:textId="77777777" w:rsidR="00872599" w:rsidRPr="00F614F9" w:rsidRDefault="00000000" w:rsidP="001407A3">
      <w:pPr>
        <w:pStyle w:val="a3"/>
        <w:spacing w:line="276" w:lineRule="auto"/>
        <w:ind w:firstLineChars="200" w:firstLine="360"/>
        <w:divId w:val="306133779"/>
        <w:rPr>
          <w:rFonts w:ascii="Times New Roman" w:hAnsi="Times New Roman"/>
          <w:sz w:val="18"/>
          <w:szCs w:val="18"/>
        </w:rPr>
      </w:pPr>
      <w:r w:rsidRPr="00F614F9">
        <w:rPr>
          <w:rFonts w:ascii="Times New Roman" w:hAnsi="Times New Roman" w:hint="eastAsia"/>
          <w:sz w:val="18"/>
          <w:szCs w:val="18"/>
        </w:rPr>
        <w:t>报告期内，原董事长</w:t>
      </w:r>
      <w:proofErr w:type="gramStart"/>
      <w:r w:rsidRPr="00F614F9">
        <w:rPr>
          <w:rFonts w:ascii="Times New Roman" w:hAnsi="Times New Roman" w:hint="eastAsia"/>
          <w:sz w:val="18"/>
          <w:szCs w:val="18"/>
        </w:rPr>
        <w:t>余宇因</w:t>
      </w:r>
      <w:proofErr w:type="gramEnd"/>
      <w:r w:rsidRPr="00F614F9">
        <w:rPr>
          <w:rFonts w:ascii="Times New Roman" w:hAnsi="Times New Roman" w:hint="eastAsia"/>
          <w:sz w:val="18"/>
          <w:szCs w:val="18"/>
        </w:rPr>
        <w:t>个人原因辞去公司法定代表人、第五届董事会董事长、董事，同时一并辞去公司董事会战略委员会主任、董事会审计委员会委员、董事会薪酬与考核委员会委员职务。原副总经理何爽女士因个人原因辞去公司副总经理职务。原监事刘婧因工作调整辞去公司监事的职务，担任公司副总经理职务。</w:t>
      </w:r>
    </w:p>
    <w:p w14:paraId="38042495"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公司董事、监事、高级管理人员变动情况</w:t>
      </w:r>
    </w:p>
    <w:p w14:paraId="11FC467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tbl>
      <w:tblPr>
        <w:tblW w:w="9923"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2212"/>
      </w:tblGrid>
      <w:tr w:rsidR="001D26E7" w:rsidRPr="00F614F9" w14:paraId="21C402BC" w14:textId="77777777" w:rsidTr="001407A3">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1628110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姓名</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A21420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担任的职务</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8EF119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类型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6836C4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日期</w:t>
            </w:r>
          </w:p>
        </w:tc>
        <w:tc>
          <w:tcPr>
            <w:tcW w:w="2212" w:type="dxa"/>
            <w:tcBorders>
              <w:top w:val="single" w:sz="2" w:space="0" w:color="auto"/>
              <w:left w:val="single" w:sz="2" w:space="0" w:color="auto"/>
              <w:bottom w:val="single" w:sz="2" w:space="0" w:color="auto"/>
              <w:right w:val="single" w:sz="2" w:space="0" w:color="auto"/>
            </w:tcBorders>
            <w:shd w:val="clear" w:color="auto" w:fill="D3D3D3"/>
            <w:vAlign w:val="center"/>
          </w:tcPr>
          <w:p w14:paraId="0ADED5F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原因</w:t>
            </w:r>
          </w:p>
        </w:tc>
      </w:tr>
      <w:tr w:rsidR="001D26E7" w:rsidRPr="00F614F9" w14:paraId="2A162914" w14:textId="77777777" w:rsidTr="001407A3">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77A9A622"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余宇</w:t>
            </w:r>
            <w:proofErr w:type="gramEnd"/>
          </w:p>
        </w:tc>
        <w:tc>
          <w:tcPr>
            <w:tcW w:w="1928" w:type="dxa"/>
            <w:tcBorders>
              <w:top w:val="single" w:sz="2" w:space="0" w:color="auto"/>
              <w:left w:val="single" w:sz="2" w:space="0" w:color="auto"/>
              <w:bottom w:val="single" w:sz="2" w:space="0" w:color="auto"/>
              <w:right w:val="single" w:sz="2" w:space="0" w:color="auto"/>
            </w:tcBorders>
            <w:vAlign w:val="center"/>
          </w:tcPr>
          <w:p w14:paraId="42575D4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原董事长</w:t>
            </w:r>
          </w:p>
        </w:tc>
        <w:tc>
          <w:tcPr>
            <w:tcW w:w="1928" w:type="dxa"/>
            <w:tcBorders>
              <w:top w:val="single" w:sz="2" w:space="0" w:color="auto"/>
              <w:left w:val="single" w:sz="2" w:space="0" w:color="auto"/>
              <w:bottom w:val="single" w:sz="2" w:space="0" w:color="auto"/>
              <w:right w:val="single" w:sz="2" w:space="0" w:color="auto"/>
            </w:tcBorders>
            <w:vAlign w:val="center"/>
          </w:tcPr>
          <w:p w14:paraId="2CA1B75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离任</w:t>
            </w:r>
          </w:p>
        </w:tc>
        <w:tc>
          <w:tcPr>
            <w:tcW w:w="1928" w:type="dxa"/>
            <w:tcBorders>
              <w:top w:val="single" w:sz="2" w:space="0" w:color="auto"/>
              <w:left w:val="single" w:sz="2" w:space="0" w:color="auto"/>
              <w:bottom w:val="single" w:sz="2" w:space="0" w:color="auto"/>
              <w:right w:val="single" w:sz="2" w:space="0" w:color="auto"/>
            </w:tcBorders>
            <w:vAlign w:val="center"/>
          </w:tcPr>
          <w:p w14:paraId="53047DC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2212" w:type="dxa"/>
            <w:tcBorders>
              <w:top w:val="single" w:sz="2" w:space="0" w:color="auto"/>
              <w:left w:val="single" w:sz="2" w:space="0" w:color="auto"/>
              <w:bottom w:val="single" w:sz="2" w:space="0" w:color="auto"/>
              <w:right w:val="single" w:sz="2" w:space="0" w:color="auto"/>
            </w:tcBorders>
            <w:vAlign w:val="center"/>
          </w:tcPr>
          <w:p w14:paraId="6E5ABD1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个人原因辞职</w:t>
            </w:r>
          </w:p>
        </w:tc>
      </w:tr>
      <w:tr w:rsidR="001D26E7" w:rsidRPr="00F614F9" w14:paraId="1621D4CC" w14:textId="77777777" w:rsidTr="001407A3">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2F329D7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何爽</w:t>
            </w:r>
          </w:p>
        </w:tc>
        <w:tc>
          <w:tcPr>
            <w:tcW w:w="1928" w:type="dxa"/>
            <w:tcBorders>
              <w:top w:val="single" w:sz="2" w:space="0" w:color="auto"/>
              <w:left w:val="single" w:sz="2" w:space="0" w:color="auto"/>
              <w:bottom w:val="single" w:sz="2" w:space="0" w:color="auto"/>
              <w:right w:val="single" w:sz="2" w:space="0" w:color="auto"/>
            </w:tcBorders>
            <w:vAlign w:val="center"/>
          </w:tcPr>
          <w:p w14:paraId="43CE9BD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原副总经理</w:t>
            </w:r>
          </w:p>
        </w:tc>
        <w:tc>
          <w:tcPr>
            <w:tcW w:w="1928" w:type="dxa"/>
            <w:tcBorders>
              <w:top w:val="single" w:sz="2" w:space="0" w:color="auto"/>
              <w:left w:val="single" w:sz="2" w:space="0" w:color="auto"/>
              <w:bottom w:val="single" w:sz="2" w:space="0" w:color="auto"/>
              <w:right w:val="single" w:sz="2" w:space="0" w:color="auto"/>
            </w:tcBorders>
            <w:vAlign w:val="center"/>
          </w:tcPr>
          <w:p w14:paraId="683E66B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离任</w:t>
            </w:r>
          </w:p>
        </w:tc>
        <w:tc>
          <w:tcPr>
            <w:tcW w:w="1928" w:type="dxa"/>
            <w:tcBorders>
              <w:top w:val="single" w:sz="2" w:space="0" w:color="auto"/>
              <w:left w:val="single" w:sz="2" w:space="0" w:color="auto"/>
              <w:bottom w:val="single" w:sz="2" w:space="0" w:color="auto"/>
              <w:right w:val="single" w:sz="2" w:space="0" w:color="auto"/>
            </w:tcBorders>
            <w:vAlign w:val="center"/>
          </w:tcPr>
          <w:p w14:paraId="3CF871B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2212" w:type="dxa"/>
            <w:tcBorders>
              <w:top w:val="single" w:sz="2" w:space="0" w:color="auto"/>
              <w:left w:val="single" w:sz="2" w:space="0" w:color="auto"/>
              <w:bottom w:val="single" w:sz="2" w:space="0" w:color="auto"/>
              <w:right w:val="single" w:sz="2" w:space="0" w:color="auto"/>
            </w:tcBorders>
            <w:vAlign w:val="center"/>
          </w:tcPr>
          <w:p w14:paraId="222F92D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个人原因辞职</w:t>
            </w:r>
          </w:p>
        </w:tc>
      </w:tr>
      <w:tr w:rsidR="001D26E7" w:rsidRPr="00F614F9" w14:paraId="1FBB89D1" w14:textId="77777777" w:rsidTr="001407A3">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2AED458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刘婧</w:t>
            </w:r>
          </w:p>
        </w:tc>
        <w:tc>
          <w:tcPr>
            <w:tcW w:w="1928" w:type="dxa"/>
            <w:tcBorders>
              <w:top w:val="single" w:sz="2" w:space="0" w:color="auto"/>
              <w:left w:val="single" w:sz="2" w:space="0" w:color="auto"/>
              <w:bottom w:val="single" w:sz="2" w:space="0" w:color="auto"/>
              <w:right w:val="single" w:sz="2" w:space="0" w:color="auto"/>
            </w:tcBorders>
            <w:vAlign w:val="center"/>
          </w:tcPr>
          <w:p w14:paraId="6B91982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原监事</w:t>
            </w:r>
          </w:p>
        </w:tc>
        <w:tc>
          <w:tcPr>
            <w:tcW w:w="1928" w:type="dxa"/>
            <w:tcBorders>
              <w:top w:val="single" w:sz="2" w:space="0" w:color="auto"/>
              <w:left w:val="single" w:sz="2" w:space="0" w:color="auto"/>
              <w:bottom w:val="single" w:sz="2" w:space="0" w:color="auto"/>
              <w:right w:val="single" w:sz="2" w:space="0" w:color="auto"/>
            </w:tcBorders>
            <w:vAlign w:val="center"/>
          </w:tcPr>
          <w:p w14:paraId="4B86BB8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离任</w:t>
            </w:r>
          </w:p>
        </w:tc>
        <w:tc>
          <w:tcPr>
            <w:tcW w:w="1928" w:type="dxa"/>
            <w:tcBorders>
              <w:top w:val="single" w:sz="2" w:space="0" w:color="auto"/>
              <w:left w:val="single" w:sz="2" w:space="0" w:color="auto"/>
              <w:bottom w:val="single" w:sz="2" w:space="0" w:color="auto"/>
              <w:right w:val="single" w:sz="2" w:space="0" w:color="auto"/>
            </w:tcBorders>
            <w:vAlign w:val="center"/>
          </w:tcPr>
          <w:p w14:paraId="0AD5F0A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日</w:t>
            </w:r>
          </w:p>
        </w:tc>
        <w:tc>
          <w:tcPr>
            <w:tcW w:w="2212" w:type="dxa"/>
            <w:tcBorders>
              <w:top w:val="single" w:sz="2" w:space="0" w:color="auto"/>
              <w:left w:val="single" w:sz="2" w:space="0" w:color="auto"/>
              <w:bottom w:val="single" w:sz="2" w:space="0" w:color="auto"/>
              <w:right w:val="single" w:sz="2" w:space="0" w:color="auto"/>
            </w:tcBorders>
            <w:vAlign w:val="center"/>
          </w:tcPr>
          <w:p w14:paraId="4C7E2E1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工作调动，担任副总经理</w:t>
            </w:r>
          </w:p>
        </w:tc>
      </w:tr>
    </w:tbl>
    <w:p w14:paraId="78A2DFC1" w14:textId="77777777" w:rsidR="001D26E7" w:rsidRPr="00F614F9" w:rsidRDefault="00000000">
      <w:pPr>
        <w:pStyle w:val="3"/>
        <w:spacing w:line="280" w:lineRule="exact"/>
        <w:jc w:val="left"/>
        <w:rPr>
          <w:rFonts w:ascii="Times New Roman" w:hAnsi="Times New Roman" w:cs="宋体"/>
          <w:b/>
          <w:bCs/>
        </w:rPr>
      </w:pPr>
      <w:bookmarkStart w:id="91" w:name="_Toc988953"/>
      <w:r w:rsidRPr="00F614F9">
        <w:rPr>
          <w:rFonts w:ascii="Times New Roman" w:hAnsi="Times New Roman" w:cs="宋体"/>
          <w:b/>
          <w:bCs/>
        </w:rPr>
        <w:t>2</w:t>
      </w:r>
      <w:r w:rsidRPr="00F614F9">
        <w:rPr>
          <w:rFonts w:ascii="Times New Roman" w:hAnsi="Times New Roman" w:cs="宋体"/>
          <w:b/>
          <w:bCs/>
        </w:rPr>
        <w:t>、任职情况</w:t>
      </w:r>
      <w:bookmarkEnd w:id="91"/>
    </w:p>
    <w:p w14:paraId="1B6EDE3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公司现任董事、监事、高级管理人员专业背景、主要工作经历以及目前在公司的主要职责</w:t>
      </w:r>
    </w:p>
    <w:p w14:paraId="075065AA" w14:textId="77777777" w:rsidR="00872599" w:rsidRPr="00F614F9" w:rsidRDefault="00000000" w:rsidP="001407A3">
      <w:pPr>
        <w:spacing w:line="276" w:lineRule="auto"/>
        <w:ind w:firstLineChars="200" w:firstLine="360"/>
        <w:jc w:val="both"/>
        <w:divId w:val="1776712505"/>
        <w:rPr>
          <w:rFonts w:ascii="Times New Roman" w:eastAsia="宋体" w:hAnsi="Times New Roman" w:cs="Times New Roman"/>
          <w:sz w:val="18"/>
          <w:szCs w:val="18"/>
        </w:rPr>
      </w:pPr>
      <w:r w:rsidRPr="00F614F9">
        <w:rPr>
          <w:rFonts w:ascii="Times New Roman" w:eastAsia="宋体" w:hAnsi="Times New Roman" w:cs="Times New Roman"/>
          <w:sz w:val="18"/>
          <w:szCs w:val="18"/>
        </w:rPr>
        <w:t>杨晓初先生，</w:t>
      </w:r>
      <w:r w:rsidRPr="00F614F9">
        <w:rPr>
          <w:rFonts w:ascii="Times New Roman" w:eastAsia="宋体" w:hAnsi="Times New Roman" w:cs="Times New Roman"/>
          <w:sz w:val="18"/>
          <w:szCs w:val="18"/>
        </w:rPr>
        <w:t>1969</w:t>
      </w:r>
      <w:r w:rsidRPr="00F614F9">
        <w:rPr>
          <w:rFonts w:ascii="Times New Roman" w:eastAsia="宋体" w:hAnsi="Times New Roman" w:cs="Times New Roman"/>
          <w:sz w:val="18"/>
          <w:szCs w:val="18"/>
        </w:rPr>
        <w:t>年出生，中国国籍，无境外永久居留权，硕士学位。历任和</w:t>
      </w:r>
      <w:proofErr w:type="gramStart"/>
      <w:r w:rsidRPr="00F614F9">
        <w:rPr>
          <w:rFonts w:ascii="Times New Roman" w:eastAsia="宋体" w:hAnsi="Times New Roman" w:cs="Times New Roman"/>
          <w:sz w:val="18"/>
          <w:szCs w:val="18"/>
        </w:rPr>
        <w:t>骏咨询</w:t>
      </w:r>
      <w:proofErr w:type="gramEnd"/>
      <w:r w:rsidRPr="00F614F9">
        <w:rPr>
          <w:rFonts w:ascii="Times New Roman" w:eastAsia="宋体" w:hAnsi="Times New Roman" w:cs="Times New Roman"/>
          <w:sz w:val="18"/>
          <w:szCs w:val="18"/>
        </w:rPr>
        <w:t>公司总经理、嘉宝管理顾问有限公司董事长兼总裁、蓝光实业集团有限公司总裁、四川蓝光和</w:t>
      </w:r>
      <w:proofErr w:type="gramStart"/>
      <w:r w:rsidRPr="00F614F9">
        <w:rPr>
          <w:rFonts w:ascii="Times New Roman" w:eastAsia="宋体" w:hAnsi="Times New Roman" w:cs="Times New Roman"/>
          <w:sz w:val="18"/>
          <w:szCs w:val="18"/>
        </w:rPr>
        <w:t>骏实业</w:t>
      </w:r>
      <w:proofErr w:type="gramEnd"/>
      <w:r w:rsidRPr="00F614F9">
        <w:rPr>
          <w:rFonts w:ascii="Times New Roman" w:eastAsia="宋体" w:hAnsi="Times New Roman" w:cs="Times New Roman"/>
          <w:sz w:val="18"/>
          <w:szCs w:val="18"/>
        </w:rPr>
        <w:t>股份有限公司副董事长兼总裁、</w:t>
      </w:r>
      <w:proofErr w:type="gramStart"/>
      <w:r w:rsidRPr="00F614F9">
        <w:rPr>
          <w:rFonts w:ascii="Times New Roman" w:eastAsia="宋体" w:hAnsi="Times New Roman" w:cs="Times New Roman"/>
          <w:sz w:val="18"/>
          <w:szCs w:val="18"/>
        </w:rPr>
        <w:t>五仓农牧</w:t>
      </w:r>
      <w:proofErr w:type="gramEnd"/>
      <w:r w:rsidRPr="00F614F9">
        <w:rPr>
          <w:rFonts w:ascii="Times New Roman" w:eastAsia="宋体" w:hAnsi="Times New Roman" w:cs="Times New Roman"/>
          <w:sz w:val="18"/>
          <w:szCs w:val="18"/>
        </w:rPr>
        <w:t>集团有限公司董事长等职务、蓝润集团执行总裁、现任蓝润集团董事、本公司董事长。</w:t>
      </w:r>
    </w:p>
    <w:p w14:paraId="3258D146" w14:textId="77777777" w:rsidR="001407A3" w:rsidRPr="00F614F9" w:rsidRDefault="00000000" w:rsidP="001407A3">
      <w:pPr>
        <w:spacing w:line="276" w:lineRule="auto"/>
        <w:ind w:firstLineChars="200" w:firstLine="360"/>
        <w:jc w:val="both"/>
        <w:divId w:val="1776712505"/>
        <w:rPr>
          <w:rFonts w:ascii="Times New Roman" w:eastAsia="宋体" w:hAnsi="Times New Roman" w:cs="Times New Roman"/>
          <w:sz w:val="18"/>
          <w:szCs w:val="18"/>
        </w:rPr>
      </w:pPr>
      <w:r w:rsidRPr="00F614F9">
        <w:rPr>
          <w:rFonts w:ascii="Times New Roman" w:eastAsia="宋体" w:hAnsi="Times New Roman" w:cs="Times New Roman" w:hint="eastAsia"/>
          <w:sz w:val="18"/>
          <w:szCs w:val="18"/>
        </w:rPr>
        <w:t>王豪杰先生，</w:t>
      </w:r>
      <w:r w:rsidRPr="00F614F9">
        <w:rPr>
          <w:rFonts w:ascii="Times New Roman" w:eastAsia="宋体" w:hAnsi="Times New Roman" w:cs="Times New Roman" w:hint="eastAsia"/>
          <w:sz w:val="18"/>
          <w:szCs w:val="18"/>
        </w:rPr>
        <w:t>1977</w:t>
      </w:r>
      <w:r w:rsidRPr="00F614F9">
        <w:rPr>
          <w:rFonts w:ascii="Times New Roman" w:eastAsia="宋体" w:hAnsi="Times New Roman" w:cs="Times New Roman" w:hint="eastAsia"/>
          <w:sz w:val="18"/>
          <w:szCs w:val="18"/>
        </w:rPr>
        <w:t>年出生，中国国籍，无境外永久居留权，本科学历。历任河南双汇投资发展股份有限公司集团副总裁</w:t>
      </w:r>
      <w:proofErr w:type="gramStart"/>
      <w:r w:rsidRPr="00F614F9">
        <w:rPr>
          <w:rFonts w:ascii="Times New Roman" w:eastAsia="宋体" w:hAnsi="Times New Roman" w:cs="Times New Roman" w:hint="eastAsia"/>
          <w:sz w:val="18"/>
          <w:szCs w:val="18"/>
        </w:rPr>
        <w:t>兼事业</w:t>
      </w:r>
      <w:proofErr w:type="gramEnd"/>
      <w:r w:rsidRPr="00F614F9">
        <w:rPr>
          <w:rFonts w:ascii="Times New Roman" w:eastAsia="宋体" w:hAnsi="Times New Roman" w:cs="Times New Roman" w:hint="eastAsia"/>
          <w:sz w:val="18"/>
          <w:szCs w:val="18"/>
        </w:rPr>
        <w:t>部总经理，现任本公司董事。</w:t>
      </w:r>
    </w:p>
    <w:p w14:paraId="14612BD8" w14:textId="77777777" w:rsidR="00872599" w:rsidRPr="00F614F9" w:rsidRDefault="00000000" w:rsidP="001407A3">
      <w:pPr>
        <w:spacing w:line="276" w:lineRule="auto"/>
        <w:ind w:firstLineChars="200" w:firstLine="360"/>
        <w:jc w:val="both"/>
        <w:divId w:val="1776712505"/>
        <w:rPr>
          <w:rFonts w:ascii="Times New Roman" w:eastAsia="宋体" w:hAnsi="Times New Roman" w:cs="Times New Roman"/>
          <w:sz w:val="18"/>
          <w:szCs w:val="18"/>
        </w:rPr>
      </w:pPr>
      <w:r w:rsidRPr="00F614F9">
        <w:rPr>
          <w:rFonts w:ascii="Times New Roman" w:eastAsia="宋体" w:hAnsi="Times New Roman" w:cs="Times New Roman" w:hint="eastAsia"/>
          <w:sz w:val="18"/>
          <w:szCs w:val="18"/>
        </w:rPr>
        <w:t>张瑞先生，</w:t>
      </w:r>
      <w:r w:rsidRPr="00F614F9">
        <w:rPr>
          <w:rFonts w:ascii="Times New Roman" w:eastAsia="宋体" w:hAnsi="Times New Roman" w:cs="Times New Roman" w:hint="eastAsia"/>
          <w:sz w:val="18"/>
          <w:szCs w:val="18"/>
        </w:rPr>
        <w:t>1981</w:t>
      </w:r>
      <w:r w:rsidRPr="00F614F9">
        <w:rPr>
          <w:rFonts w:ascii="Times New Roman" w:eastAsia="宋体" w:hAnsi="Times New Roman" w:cs="Times New Roman" w:hint="eastAsia"/>
          <w:sz w:val="18"/>
          <w:szCs w:val="18"/>
        </w:rPr>
        <w:t>年出生，中国国籍，无境外永久居留权，学士学位。历任</w:t>
      </w:r>
      <w:proofErr w:type="gramStart"/>
      <w:r w:rsidRPr="00F614F9">
        <w:rPr>
          <w:rFonts w:ascii="Times New Roman" w:eastAsia="宋体" w:hAnsi="Times New Roman" w:cs="Times New Roman" w:hint="eastAsia"/>
          <w:sz w:val="18"/>
          <w:szCs w:val="18"/>
        </w:rPr>
        <w:t>怡</w:t>
      </w:r>
      <w:proofErr w:type="gramEnd"/>
      <w:r w:rsidRPr="00F614F9">
        <w:rPr>
          <w:rFonts w:ascii="Times New Roman" w:eastAsia="宋体" w:hAnsi="Times New Roman" w:cs="Times New Roman" w:hint="eastAsia"/>
          <w:sz w:val="18"/>
          <w:szCs w:val="18"/>
        </w:rPr>
        <w:t>君控股有限公司法</w:t>
      </w:r>
      <w:proofErr w:type="gramStart"/>
      <w:r w:rsidRPr="00F614F9">
        <w:rPr>
          <w:rFonts w:ascii="Times New Roman" w:eastAsia="宋体" w:hAnsi="Times New Roman" w:cs="Times New Roman" w:hint="eastAsia"/>
          <w:sz w:val="18"/>
          <w:szCs w:val="18"/>
        </w:rPr>
        <w:t>务</w:t>
      </w:r>
      <w:proofErr w:type="gramEnd"/>
      <w:r w:rsidRPr="00F614F9">
        <w:rPr>
          <w:rFonts w:ascii="Times New Roman" w:eastAsia="宋体" w:hAnsi="Times New Roman" w:cs="Times New Roman" w:hint="eastAsia"/>
          <w:sz w:val="18"/>
          <w:szCs w:val="18"/>
        </w:rPr>
        <w:t>总监，现任本公司董事、副总经理、董事会秘书。</w:t>
      </w:r>
    </w:p>
    <w:p w14:paraId="6EDBC6E5" w14:textId="77777777" w:rsidR="00872599" w:rsidRPr="00F614F9" w:rsidRDefault="00000000" w:rsidP="001407A3">
      <w:pPr>
        <w:spacing w:line="276" w:lineRule="auto"/>
        <w:ind w:firstLineChars="200" w:firstLine="360"/>
        <w:jc w:val="both"/>
        <w:divId w:val="1776712505"/>
        <w:rPr>
          <w:rFonts w:ascii="Times New Roman" w:eastAsia="宋体" w:hAnsi="Times New Roman" w:cs="Times New Roman"/>
          <w:sz w:val="18"/>
          <w:szCs w:val="18"/>
        </w:rPr>
      </w:pPr>
      <w:r w:rsidRPr="00F614F9">
        <w:rPr>
          <w:rFonts w:ascii="Times New Roman" w:eastAsia="宋体" w:hAnsi="Times New Roman" w:cs="Times New Roman" w:hint="eastAsia"/>
          <w:sz w:val="18"/>
          <w:szCs w:val="18"/>
        </w:rPr>
        <w:t>祝波先生，</w:t>
      </w:r>
      <w:r w:rsidRPr="00F614F9">
        <w:rPr>
          <w:rFonts w:ascii="Times New Roman" w:eastAsia="宋体" w:hAnsi="Times New Roman" w:cs="Times New Roman" w:hint="eastAsia"/>
          <w:sz w:val="18"/>
          <w:szCs w:val="18"/>
        </w:rPr>
        <w:t>1982</w:t>
      </w:r>
      <w:r w:rsidRPr="00F614F9">
        <w:rPr>
          <w:rFonts w:ascii="Times New Roman" w:eastAsia="宋体" w:hAnsi="Times New Roman" w:cs="Times New Roman" w:hint="eastAsia"/>
          <w:sz w:val="18"/>
          <w:szCs w:val="18"/>
        </w:rPr>
        <w:t>年出生，中国国籍，无境外永久居留权，本科学历。</w:t>
      </w:r>
      <w:proofErr w:type="gramStart"/>
      <w:r w:rsidRPr="00F614F9">
        <w:rPr>
          <w:rFonts w:ascii="Times New Roman" w:eastAsia="宋体" w:hAnsi="Times New Roman" w:cs="Times New Roman" w:hint="eastAsia"/>
          <w:sz w:val="18"/>
          <w:szCs w:val="18"/>
        </w:rPr>
        <w:t>历任万腾实业</w:t>
      </w:r>
      <w:proofErr w:type="gramEnd"/>
      <w:r w:rsidRPr="00F614F9">
        <w:rPr>
          <w:rFonts w:ascii="Times New Roman" w:eastAsia="宋体" w:hAnsi="Times New Roman" w:cs="Times New Roman" w:hint="eastAsia"/>
          <w:sz w:val="18"/>
          <w:szCs w:val="18"/>
        </w:rPr>
        <w:t>集团有限公司开发报建部经理，现成都</w:t>
      </w:r>
      <w:proofErr w:type="gramStart"/>
      <w:r w:rsidRPr="00F614F9">
        <w:rPr>
          <w:rFonts w:ascii="Times New Roman" w:eastAsia="宋体" w:hAnsi="Times New Roman" w:cs="Times New Roman" w:hint="eastAsia"/>
          <w:sz w:val="18"/>
          <w:szCs w:val="18"/>
        </w:rPr>
        <w:t>昊</w:t>
      </w:r>
      <w:proofErr w:type="gramEnd"/>
      <w:r w:rsidRPr="00F614F9">
        <w:rPr>
          <w:rFonts w:ascii="Times New Roman" w:eastAsia="宋体" w:hAnsi="Times New Roman" w:cs="Times New Roman" w:hint="eastAsia"/>
          <w:sz w:val="18"/>
          <w:szCs w:val="18"/>
        </w:rPr>
        <w:t>华君宇置业有限公司外联中心总经理，本公司董事。</w:t>
      </w:r>
    </w:p>
    <w:p w14:paraId="006A3FB3" w14:textId="77777777" w:rsidR="00872599" w:rsidRPr="00F614F9" w:rsidRDefault="00000000" w:rsidP="001407A3">
      <w:pPr>
        <w:spacing w:line="276" w:lineRule="auto"/>
        <w:ind w:firstLineChars="200" w:firstLine="360"/>
        <w:jc w:val="both"/>
        <w:divId w:val="1776712505"/>
        <w:rPr>
          <w:rFonts w:ascii="Times New Roman" w:eastAsia="宋体" w:hAnsi="Times New Roman" w:cs="Times New Roman"/>
          <w:sz w:val="18"/>
          <w:szCs w:val="18"/>
        </w:rPr>
      </w:pPr>
      <w:r w:rsidRPr="00F614F9">
        <w:rPr>
          <w:rFonts w:ascii="Times New Roman" w:eastAsia="宋体" w:hAnsi="Times New Roman" w:cs="Times New Roman" w:hint="eastAsia"/>
          <w:sz w:val="18"/>
          <w:szCs w:val="18"/>
        </w:rPr>
        <w:t>周婧女士，</w:t>
      </w:r>
      <w:r w:rsidRPr="00F614F9">
        <w:rPr>
          <w:rFonts w:ascii="Times New Roman" w:eastAsia="宋体" w:hAnsi="Times New Roman" w:cs="Times New Roman" w:hint="eastAsia"/>
          <w:sz w:val="18"/>
          <w:szCs w:val="18"/>
        </w:rPr>
        <w:t>1984</w:t>
      </w:r>
      <w:r w:rsidRPr="00F614F9">
        <w:rPr>
          <w:rFonts w:ascii="Times New Roman" w:eastAsia="宋体" w:hAnsi="Times New Roman" w:cs="Times New Roman" w:hint="eastAsia"/>
          <w:sz w:val="18"/>
          <w:szCs w:val="18"/>
        </w:rPr>
        <w:t>年出生，中国国籍，无境外永久居留权，学士学位。历任四川德文会计师事务所（特殊普通合伙）合伙人，现任四川天和联合会计师事务所（普通合伙）主任会计师、本公司独立董事。</w:t>
      </w:r>
    </w:p>
    <w:p w14:paraId="071A56ED" w14:textId="77777777" w:rsidR="00872599" w:rsidRPr="00F614F9" w:rsidRDefault="00000000" w:rsidP="001407A3">
      <w:pPr>
        <w:spacing w:line="276" w:lineRule="auto"/>
        <w:ind w:firstLineChars="200" w:firstLine="360"/>
        <w:jc w:val="both"/>
        <w:divId w:val="1776712505"/>
        <w:rPr>
          <w:rFonts w:ascii="Times New Roman" w:eastAsia="宋体" w:hAnsi="Times New Roman" w:cs="Times New Roman"/>
          <w:sz w:val="18"/>
          <w:szCs w:val="18"/>
        </w:rPr>
      </w:pPr>
      <w:r w:rsidRPr="00F614F9">
        <w:rPr>
          <w:rFonts w:ascii="Times New Roman" w:eastAsia="宋体" w:hAnsi="Times New Roman" w:cs="Times New Roman" w:hint="eastAsia"/>
          <w:sz w:val="18"/>
          <w:szCs w:val="18"/>
        </w:rPr>
        <w:t>杨帆女士，中国国籍，</w:t>
      </w:r>
      <w:r w:rsidRPr="00F614F9">
        <w:rPr>
          <w:rFonts w:ascii="Times New Roman" w:eastAsia="宋体" w:hAnsi="Times New Roman" w:cs="Times New Roman" w:hint="eastAsia"/>
          <w:sz w:val="18"/>
          <w:szCs w:val="18"/>
        </w:rPr>
        <w:t>1967</w:t>
      </w:r>
      <w:r w:rsidRPr="00F614F9">
        <w:rPr>
          <w:rFonts w:ascii="Times New Roman" w:eastAsia="宋体" w:hAnsi="Times New Roman" w:cs="Times New Roman" w:hint="eastAsia"/>
          <w:sz w:val="18"/>
          <w:szCs w:val="18"/>
        </w:rPr>
        <w:t>年出生，无境外永久居留权，学士学位。历任四川万德律师事务所律师，现任四川天仁和律师事务所律师、本公司独立董事。</w:t>
      </w:r>
    </w:p>
    <w:p w14:paraId="18856B9D" w14:textId="77777777" w:rsidR="00872599" w:rsidRPr="00F614F9" w:rsidRDefault="00000000" w:rsidP="001407A3">
      <w:pPr>
        <w:spacing w:line="276" w:lineRule="auto"/>
        <w:ind w:firstLineChars="200" w:firstLine="360"/>
        <w:jc w:val="both"/>
        <w:divId w:val="1776712505"/>
        <w:rPr>
          <w:rFonts w:ascii="Times New Roman" w:eastAsia="宋体" w:hAnsi="Times New Roman" w:cs="Times New Roman"/>
          <w:sz w:val="18"/>
          <w:szCs w:val="18"/>
        </w:rPr>
      </w:pPr>
      <w:r w:rsidRPr="00F614F9">
        <w:rPr>
          <w:rFonts w:ascii="Times New Roman" w:eastAsia="宋体" w:hAnsi="Times New Roman" w:cs="Times New Roman" w:hint="eastAsia"/>
          <w:sz w:val="18"/>
          <w:szCs w:val="18"/>
        </w:rPr>
        <w:t>余茂鑫先生，中国国籍，</w:t>
      </w:r>
      <w:r w:rsidRPr="00F614F9">
        <w:rPr>
          <w:rFonts w:ascii="Times New Roman" w:eastAsia="宋体" w:hAnsi="Times New Roman" w:cs="Times New Roman" w:hint="eastAsia"/>
          <w:sz w:val="18"/>
          <w:szCs w:val="18"/>
        </w:rPr>
        <w:t>1990</w:t>
      </w:r>
      <w:r w:rsidRPr="00F614F9">
        <w:rPr>
          <w:rFonts w:ascii="Times New Roman" w:eastAsia="宋体" w:hAnsi="Times New Roman" w:cs="Times New Roman" w:hint="eastAsia"/>
          <w:sz w:val="18"/>
          <w:szCs w:val="18"/>
        </w:rPr>
        <w:t>年出生，无境外永久居留权，学士学位。历任四川弘齐律师事务所律师，现任四川图都律师事务所合伙人、本公司独立董事。</w:t>
      </w:r>
    </w:p>
    <w:p w14:paraId="517E16C6" w14:textId="77777777" w:rsidR="00872599" w:rsidRPr="00F614F9" w:rsidRDefault="00000000" w:rsidP="001407A3">
      <w:pPr>
        <w:spacing w:line="276" w:lineRule="auto"/>
        <w:ind w:firstLineChars="200" w:firstLine="360"/>
        <w:jc w:val="both"/>
        <w:divId w:val="1776712505"/>
        <w:rPr>
          <w:rFonts w:ascii="Times New Roman" w:eastAsia="宋体" w:hAnsi="Times New Roman" w:cs="Times New Roman"/>
          <w:sz w:val="18"/>
          <w:szCs w:val="18"/>
        </w:rPr>
      </w:pPr>
      <w:r w:rsidRPr="00F614F9">
        <w:rPr>
          <w:rFonts w:ascii="Times New Roman" w:eastAsia="宋体" w:hAnsi="Times New Roman" w:cs="Times New Roman" w:hint="eastAsia"/>
          <w:sz w:val="18"/>
          <w:szCs w:val="18"/>
        </w:rPr>
        <w:t>张玮女士，</w:t>
      </w:r>
      <w:r w:rsidRPr="00F614F9">
        <w:rPr>
          <w:rFonts w:ascii="Times New Roman" w:eastAsia="宋体" w:hAnsi="Times New Roman" w:cs="Times New Roman" w:hint="eastAsia"/>
          <w:sz w:val="18"/>
          <w:szCs w:val="18"/>
        </w:rPr>
        <w:t>1984</w:t>
      </w:r>
      <w:r w:rsidRPr="00F614F9">
        <w:rPr>
          <w:rFonts w:ascii="Times New Roman" w:eastAsia="宋体" w:hAnsi="Times New Roman" w:cs="Times New Roman" w:hint="eastAsia"/>
          <w:sz w:val="18"/>
          <w:szCs w:val="18"/>
        </w:rPr>
        <w:t>年出生，中国国籍，无境外永久居留权，硕士学位。历任四川蓝光发展股份有限公司招委会主任，现任蓝润集团有限公司审计负责人、监事会主席。</w:t>
      </w:r>
    </w:p>
    <w:p w14:paraId="6D3C9CFB" w14:textId="77777777" w:rsidR="00872599" w:rsidRPr="00F614F9" w:rsidRDefault="00000000" w:rsidP="001407A3">
      <w:pPr>
        <w:spacing w:line="276" w:lineRule="auto"/>
        <w:ind w:firstLineChars="200" w:firstLine="360"/>
        <w:jc w:val="both"/>
        <w:divId w:val="1776712505"/>
        <w:rPr>
          <w:rFonts w:ascii="Times New Roman" w:eastAsia="宋体" w:hAnsi="Times New Roman" w:cs="Times New Roman"/>
          <w:sz w:val="18"/>
          <w:szCs w:val="18"/>
        </w:rPr>
      </w:pPr>
      <w:r w:rsidRPr="00F614F9">
        <w:rPr>
          <w:rFonts w:ascii="Times New Roman" w:eastAsia="宋体" w:hAnsi="Times New Roman" w:cs="Times New Roman" w:hint="eastAsia"/>
          <w:sz w:val="18"/>
          <w:szCs w:val="18"/>
        </w:rPr>
        <w:t>张楠先生，</w:t>
      </w:r>
      <w:r w:rsidRPr="00F614F9">
        <w:rPr>
          <w:rFonts w:ascii="Times New Roman" w:eastAsia="宋体" w:hAnsi="Times New Roman" w:cs="Times New Roman" w:hint="eastAsia"/>
          <w:sz w:val="18"/>
          <w:szCs w:val="18"/>
        </w:rPr>
        <w:t>1984</w:t>
      </w:r>
      <w:r w:rsidRPr="00F614F9">
        <w:rPr>
          <w:rFonts w:ascii="Times New Roman" w:eastAsia="宋体" w:hAnsi="Times New Roman" w:cs="Times New Roman" w:hint="eastAsia"/>
          <w:sz w:val="18"/>
          <w:szCs w:val="18"/>
        </w:rPr>
        <w:t>年出生，中国国籍，无境外永久居留权，本科学历。历任蓝润集团有限公司监察审计中心经理，现任本公司审计部部长、监事。</w:t>
      </w:r>
    </w:p>
    <w:p w14:paraId="495F32AF" w14:textId="77777777" w:rsidR="00872599" w:rsidRPr="00F614F9" w:rsidRDefault="00000000" w:rsidP="001407A3">
      <w:pPr>
        <w:spacing w:line="276" w:lineRule="auto"/>
        <w:ind w:firstLineChars="200" w:firstLine="360"/>
        <w:jc w:val="both"/>
        <w:divId w:val="1776712505"/>
        <w:rPr>
          <w:rFonts w:ascii="Times New Roman" w:eastAsia="宋体" w:hAnsi="Times New Roman" w:cs="Times New Roman"/>
          <w:sz w:val="18"/>
          <w:szCs w:val="18"/>
        </w:rPr>
      </w:pPr>
      <w:r w:rsidRPr="00F614F9">
        <w:rPr>
          <w:rFonts w:ascii="Times New Roman" w:eastAsia="宋体" w:hAnsi="Times New Roman" w:cs="Times New Roman" w:hint="eastAsia"/>
          <w:sz w:val="18"/>
          <w:szCs w:val="18"/>
        </w:rPr>
        <w:t>吴战宗先生，</w:t>
      </w:r>
      <w:r w:rsidRPr="00F614F9">
        <w:rPr>
          <w:rFonts w:ascii="Times New Roman" w:eastAsia="宋体" w:hAnsi="Times New Roman" w:cs="Times New Roman" w:hint="eastAsia"/>
          <w:sz w:val="18"/>
          <w:szCs w:val="18"/>
        </w:rPr>
        <w:t>1983</w:t>
      </w:r>
      <w:r w:rsidRPr="00F614F9">
        <w:rPr>
          <w:rFonts w:ascii="Times New Roman" w:eastAsia="宋体" w:hAnsi="Times New Roman" w:cs="Times New Roman" w:hint="eastAsia"/>
          <w:sz w:val="18"/>
          <w:szCs w:val="18"/>
        </w:rPr>
        <w:t>年出生，中国国籍，无境外永久居留权，硕士学位。历任蓝润地产股份有限公司区域人力行政总监，运</w:t>
      </w:r>
      <w:proofErr w:type="gramStart"/>
      <w:r w:rsidRPr="00F614F9">
        <w:rPr>
          <w:rFonts w:ascii="Times New Roman" w:eastAsia="宋体" w:hAnsi="Times New Roman" w:cs="Times New Roman" w:hint="eastAsia"/>
          <w:sz w:val="18"/>
          <w:szCs w:val="18"/>
        </w:rPr>
        <w:t>盛医疗</w:t>
      </w:r>
      <w:proofErr w:type="gramEnd"/>
      <w:r w:rsidRPr="00F614F9">
        <w:rPr>
          <w:rFonts w:ascii="Times New Roman" w:eastAsia="宋体" w:hAnsi="Times New Roman" w:cs="Times New Roman" w:hint="eastAsia"/>
          <w:sz w:val="18"/>
          <w:szCs w:val="18"/>
        </w:rPr>
        <w:t>成都科技股份有限公司综合管理部负责人，现任本公司招标采购部副总监、职工代表监事。</w:t>
      </w:r>
    </w:p>
    <w:p w14:paraId="642833D2" w14:textId="77777777" w:rsidR="00872599" w:rsidRPr="00F614F9" w:rsidRDefault="00000000" w:rsidP="001407A3">
      <w:pPr>
        <w:spacing w:line="276" w:lineRule="auto"/>
        <w:ind w:firstLineChars="200" w:firstLine="360"/>
        <w:jc w:val="both"/>
        <w:divId w:val="1776712505"/>
        <w:rPr>
          <w:rFonts w:ascii="Times New Roman" w:eastAsia="宋体" w:hAnsi="Times New Roman" w:cs="Times New Roman"/>
          <w:sz w:val="18"/>
          <w:szCs w:val="18"/>
        </w:rPr>
      </w:pPr>
      <w:r w:rsidRPr="00F614F9">
        <w:rPr>
          <w:rFonts w:ascii="Times New Roman" w:eastAsia="宋体" w:hAnsi="Times New Roman" w:cs="Times New Roman" w:hint="eastAsia"/>
          <w:sz w:val="18"/>
          <w:szCs w:val="18"/>
        </w:rPr>
        <w:t>张凌女士，</w:t>
      </w:r>
      <w:r w:rsidRPr="00F614F9">
        <w:rPr>
          <w:rFonts w:ascii="Times New Roman" w:eastAsia="宋体" w:hAnsi="Times New Roman" w:cs="Times New Roman" w:hint="eastAsia"/>
          <w:sz w:val="18"/>
          <w:szCs w:val="18"/>
        </w:rPr>
        <w:t>1978</w:t>
      </w:r>
      <w:r w:rsidRPr="00F614F9">
        <w:rPr>
          <w:rFonts w:ascii="Times New Roman" w:eastAsia="宋体" w:hAnsi="Times New Roman" w:cs="Times New Roman" w:hint="eastAsia"/>
          <w:sz w:val="18"/>
          <w:szCs w:val="18"/>
        </w:rPr>
        <w:t>年出生，中国国籍，无境外永久居留权，注册会计师，本科学历。历任花样年集团（中国）有限公司地产集团副总裁、地产集团助理总裁、中国集团资金部总经理，蓝润集团有限公司首席财务官、山东龙大美食股份有限公司监事会主席，现任本公司财务总监。</w:t>
      </w:r>
    </w:p>
    <w:p w14:paraId="7558EDBB" w14:textId="77777777" w:rsidR="00872599" w:rsidRPr="00F614F9" w:rsidRDefault="00000000" w:rsidP="001407A3">
      <w:pPr>
        <w:spacing w:line="276" w:lineRule="auto"/>
        <w:ind w:firstLineChars="200" w:firstLine="360"/>
        <w:jc w:val="both"/>
        <w:divId w:val="1776712505"/>
        <w:rPr>
          <w:rFonts w:ascii="Times New Roman" w:eastAsia="宋体" w:hAnsi="Times New Roman" w:cs="Times New Roman"/>
          <w:sz w:val="18"/>
          <w:szCs w:val="18"/>
        </w:rPr>
      </w:pPr>
      <w:r w:rsidRPr="00F614F9">
        <w:rPr>
          <w:rFonts w:ascii="Times New Roman" w:eastAsia="宋体" w:hAnsi="Times New Roman" w:cs="Times New Roman" w:hint="eastAsia"/>
          <w:sz w:val="18"/>
          <w:szCs w:val="18"/>
        </w:rPr>
        <w:t>刘婧女士，</w:t>
      </w:r>
      <w:r w:rsidRPr="00F614F9">
        <w:rPr>
          <w:rFonts w:ascii="Times New Roman" w:eastAsia="宋体" w:hAnsi="Times New Roman" w:cs="Times New Roman" w:hint="eastAsia"/>
          <w:sz w:val="18"/>
          <w:szCs w:val="18"/>
        </w:rPr>
        <w:t>1988</w:t>
      </w:r>
      <w:r w:rsidRPr="00F614F9">
        <w:rPr>
          <w:rFonts w:ascii="Times New Roman" w:eastAsia="宋体" w:hAnsi="Times New Roman" w:cs="Times New Roman" w:hint="eastAsia"/>
          <w:sz w:val="18"/>
          <w:szCs w:val="18"/>
        </w:rPr>
        <w:t>年出生，中国国籍，无境外居留权，本科学历。历任成都高新区国家税务局税收协管员、蓝润集团有限公司董事会办公室董办副主任、运盛（成都）医疗科技股份有限公司董事会秘书、本公司监事（</w:t>
      </w:r>
      <w:r w:rsidRPr="00F614F9">
        <w:rPr>
          <w:rFonts w:ascii="Times New Roman" w:eastAsia="宋体" w:hAnsi="Times New Roman" w:cs="Times New Roman" w:hint="eastAsia"/>
          <w:sz w:val="18"/>
          <w:szCs w:val="18"/>
        </w:rPr>
        <w:t>2023</w:t>
      </w:r>
      <w:r w:rsidRPr="00F614F9">
        <w:rPr>
          <w:rFonts w:ascii="Times New Roman" w:eastAsia="宋体" w:hAnsi="Times New Roman" w:cs="Times New Roman" w:hint="eastAsia"/>
          <w:sz w:val="18"/>
          <w:szCs w:val="18"/>
        </w:rPr>
        <w:t>年</w:t>
      </w:r>
      <w:r w:rsidRPr="00F614F9">
        <w:rPr>
          <w:rFonts w:ascii="Times New Roman" w:eastAsia="宋体" w:hAnsi="Times New Roman" w:cs="Times New Roman" w:hint="eastAsia"/>
          <w:sz w:val="18"/>
          <w:szCs w:val="18"/>
        </w:rPr>
        <w:t>1</w:t>
      </w:r>
      <w:r w:rsidRPr="00F614F9">
        <w:rPr>
          <w:rFonts w:ascii="Times New Roman" w:eastAsia="宋体" w:hAnsi="Times New Roman" w:cs="Times New Roman" w:hint="eastAsia"/>
          <w:sz w:val="18"/>
          <w:szCs w:val="18"/>
        </w:rPr>
        <w:t>月</w:t>
      </w:r>
      <w:r w:rsidRPr="00F614F9">
        <w:rPr>
          <w:rFonts w:ascii="Times New Roman" w:eastAsia="宋体" w:hAnsi="Times New Roman" w:cs="Times New Roman" w:hint="eastAsia"/>
          <w:sz w:val="18"/>
          <w:szCs w:val="18"/>
        </w:rPr>
        <w:t>12</w:t>
      </w:r>
      <w:r w:rsidRPr="00F614F9">
        <w:rPr>
          <w:rFonts w:ascii="Times New Roman" w:eastAsia="宋体" w:hAnsi="Times New Roman" w:cs="Times New Roman" w:hint="eastAsia"/>
          <w:sz w:val="18"/>
          <w:szCs w:val="18"/>
        </w:rPr>
        <w:t>日因工作调整离任），现任本公司副总经理（</w:t>
      </w:r>
      <w:r w:rsidRPr="00F614F9">
        <w:rPr>
          <w:rFonts w:ascii="Times New Roman" w:eastAsia="宋体" w:hAnsi="Times New Roman" w:cs="Times New Roman" w:hint="eastAsia"/>
          <w:sz w:val="18"/>
          <w:szCs w:val="18"/>
        </w:rPr>
        <w:t>2023</w:t>
      </w:r>
      <w:r w:rsidRPr="00F614F9">
        <w:rPr>
          <w:rFonts w:ascii="Times New Roman" w:eastAsia="宋体" w:hAnsi="Times New Roman" w:cs="Times New Roman" w:hint="eastAsia"/>
          <w:sz w:val="18"/>
          <w:szCs w:val="18"/>
        </w:rPr>
        <w:t>年</w:t>
      </w:r>
      <w:r w:rsidRPr="00F614F9">
        <w:rPr>
          <w:rFonts w:ascii="Times New Roman" w:eastAsia="宋体" w:hAnsi="Times New Roman" w:cs="Times New Roman" w:hint="eastAsia"/>
          <w:sz w:val="18"/>
          <w:szCs w:val="18"/>
        </w:rPr>
        <w:t>1</w:t>
      </w:r>
      <w:r w:rsidRPr="00F614F9">
        <w:rPr>
          <w:rFonts w:ascii="Times New Roman" w:eastAsia="宋体" w:hAnsi="Times New Roman" w:cs="Times New Roman" w:hint="eastAsia"/>
          <w:sz w:val="18"/>
          <w:szCs w:val="18"/>
        </w:rPr>
        <w:t>月</w:t>
      </w:r>
      <w:r w:rsidRPr="00F614F9">
        <w:rPr>
          <w:rFonts w:ascii="Times New Roman" w:eastAsia="宋体" w:hAnsi="Times New Roman" w:cs="Times New Roman" w:hint="eastAsia"/>
          <w:sz w:val="18"/>
          <w:szCs w:val="18"/>
        </w:rPr>
        <w:t>17</w:t>
      </w:r>
      <w:r w:rsidRPr="00F614F9">
        <w:rPr>
          <w:rFonts w:ascii="Times New Roman" w:eastAsia="宋体" w:hAnsi="Times New Roman" w:cs="Times New Roman" w:hint="eastAsia"/>
          <w:sz w:val="18"/>
          <w:szCs w:val="18"/>
        </w:rPr>
        <w:t>日聘任）。</w:t>
      </w:r>
    </w:p>
    <w:p w14:paraId="6FA51518"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在股东单位任职情况</w:t>
      </w:r>
    </w:p>
    <w:p w14:paraId="2B2724C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tbl>
      <w:tblPr>
        <w:tblW w:w="9781"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7"/>
        <w:gridCol w:w="1606"/>
        <w:gridCol w:w="1606"/>
        <w:gridCol w:w="1702"/>
        <w:gridCol w:w="1701"/>
        <w:gridCol w:w="1559"/>
      </w:tblGrid>
      <w:tr w:rsidR="001D26E7" w:rsidRPr="00F614F9" w14:paraId="6964D962" w14:textId="77777777" w:rsidTr="001407A3">
        <w:trPr>
          <w:trHeight w:val="240"/>
          <w:jc w:val="center"/>
        </w:trPr>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17BB48F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任职人员姓名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6EA7DE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股东单位名称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CEBCDE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在股东单位担任</w:t>
            </w:r>
            <w:r w:rsidRPr="00F614F9">
              <w:rPr>
                <w:rFonts w:ascii="Times New Roman" w:eastAsia="宋体" w:hAnsi="Times New Roman" w:cs="宋体"/>
                <w:sz w:val="18"/>
                <w:szCs w:val="18"/>
              </w:rPr>
              <w:lastRenderedPageBreak/>
              <w:t>的职务</w:t>
            </w:r>
          </w:p>
        </w:tc>
        <w:tc>
          <w:tcPr>
            <w:tcW w:w="1702" w:type="dxa"/>
            <w:tcBorders>
              <w:top w:val="single" w:sz="2" w:space="0" w:color="auto"/>
              <w:left w:val="single" w:sz="2" w:space="0" w:color="auto"/>
              <w:bottom w:val="single" w:sz="2" w:space="0" w:color="auto"/>
              <w:right w:val="single" w:sz="2" w:space="0" w:color="auto"/>
            </w:tcBorders>
            <w:shd w:val="clear" w:color="auto" w:fill="D3D3D3"/>
            <w:vAlign w:val="center"/>
          </w:tcPr>
          <w:p w14:paraId="2D479E8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lastRenderedPageBreak/>
              <w:t>任期起始日期</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2F99086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任期终止日期</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1CE3C76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在股东单位是否</w:t>
            </w:r>
            <w:r w:rsidRPr="00F614F9">
              <w:rPr>
                <w:rFonts w:ascii="Times New Roman" w:eastAsia="宋体" w:hAnsi="Times New Roman" w:cs="宋体"/>
                <w:sz w:val="18"/>
                <w:szCs w:val="18"/>
              </w:rPr>
              <w:lastRenderedPageBreak/>
              <w:t>领取报酬津贴</w:t>
            </w:r>
          </w:p>
        </w:tc>
      </w:tr>
      <w:tr w:rsidR="001D26E7" w:rsidRPr="00F614F9" w14:paraId="484F0E9A" w14:textId="77777777" w:rsidTr="001407A3">
        <w:trPr>
          <w:trHeight w:val="240"/>
          <w:jc w:val="center"/>
        </w:trPr>
        <w:tc>
          <w:tcPr>
            <w:tcW w:w="1607" w:type="dxa"/>
            <w:tcBorders>
              <w:top w:val="single" w:sz="2" w:space="0" w:color="auto"/>
              <w:left w:val="single" w:sz="2" w:space="0" w:color="auto"/>
              <w:bottom w:val="single" w:sz="2" w:space="0" w:color="auto"/>
              <w:right w:val="single" w:sz="2" w:space="0" w:color="auto"/>
            </w:tcBorders>
            <w:vAlign w:val="center"/>
          </w:tcPr>
          <w:p w14:paraId="5CF47C30"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lastRenderedPageBreak/>
              <w:t>杨晓初</w:t>
            </w:r>
          </w:p>
        </w:tc>
        <w:tc>
          <w:tcPr>
            <w:tcW w:w="1606" w:type="dxa"/>
            <w:tcBorders>
              <w:top w:val="single" w:sz="2" w:space="0" w:color="auto"/>
              <w:left w:val="single" w:sz="2" w:space="0" w:color="auto"/>
              <w:bottom w:val="single" w:sz="2" w:space="0" w:color="auto"/>
              <w:right w:val="single" w:sz="2" w:space="0" w:color="auto"/>
            </w:tcBorders>
            <w:vAlign w:val="center"/>
          </w:tcPr>
          <w:p w14:paraId="2A4D136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蓝润集团有限公司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9ED573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执行总裁</w:t>
            </w:r>
          </w:p>
        </w:tc>
        <w:tc>
          <w:tcPr>
            <w:tcW w:w="1702" w:type="dxa"/>
            <w:tcBorders>
              <w:top w:val="single" w:sz="2" w:space="0" w:color="auto"/>
              <w:left w:val="single" w:sz="2" w:space="0" w:color="auto"/>
              <w:bottom w:val="single" w:sz="2" w:space="0" w:color="auto"/>
              <w:right w:val="single" w:sz="2" w:space="0" w:color="auto"/>
            </w:tcBorders>
            <w:vAlign w:val="center"/>
          </w:tcPr>
          <w:p w14:paraId="5136BC4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2018</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3BE2DD7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日</w:t>
            </w:r>
          </w:p>
        </w:tc>
        <w:tc>
          <w:tcPr>
            <w:tcW w:w="1559" w:type="dxa"/>
            <w:tcBorders>
              <w:top w:val="single" w:sz="2" w:space="0" w:color="auto"/>
              <w:left w:val="single" w:sz="2" w:space="0" w:color="auto"/>
              <w:bottom w:val="single" w:sz="2" w:space="0" w:color="auto"/>
              <w:right w:val="single" w:sz="2" w:space="0" w:color="auto"/>
            </w:tcBorders>
            <w:vAlign w:val="center"/>
          </w:tcPr>
          <w:p w14:paraId="0956217B" w14:textId="77777777" w:rsidR="001D26E7" w:rsidRPr="00F614F9" w:rsidRDefault="00455489" w:rsidP="001407A3">
            <w:pPr>
              <w:spacing w:line="240" w:lineRule="exact"/>
              <w:jc w:val="center"/>
              <w:rPr>
                <w:rFonts w:ascii="Times New Roman" w:eastAsia="宋体" w:hAnsi="Times New Roman" w:cs="宋体"/>
                <w:sz w:val="18"/>
                <w:szCs w:val="18"/>
              </w:rPr>
            </w:pPr>
            <w:r>
              <w:rPr>
                <w:rFonts w:ascii="Times New Roman" w:eastAsia="宋体" w:hAnsi="Times New Roman" w:cs="宋体" w:hint="eastAsia"/>
                <w:sz w:val="18"/>
                <w:szCs w:val="18"/>
              </w:rPr>
              <w:t>否</w:t>
            </w:r>
          </w:p>
        </w:tc>
      </w:tr>
      <w:tr w:rsidR="001D26E7" w:rsidRPr="00F614F9" w14:paraId="0C031AC5" w14:textId="77777777" w:rsidTr="001407A3">
        <w:trPr>
          <w:trHeight w:val="240"/>
          <w:jc w:val="center"/>
        </w:trPr>
        <w:tc>
          <w:tcPr>
            <w:tcW w:w="1607" w:type="dxa"/>
            <w:tcBorders>
              <w:top w:val="single" w:sz="2" w:space="0" w:color="auto"/>
              <w:left w:val="single" w:sz="2" w:space="0" w:color="auto"/>
              <w:bottom w:val="single" w:sz="2" w:space="0" w:color="auto"/>
              <w:right w:val="single" w:sz="2" w:space="0" w:color="auto"/>
            </w:tcBorders>
            <w:vAlign w:val="center"/>
          </w:tcPr>
          <w:p w14:paraId="1BEFF626"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杨晓初</w:t>
            </w:r>
          </w:p>
        </w:tc>
        <w:tc>
          <w:tcPr>
            <w:tcW w:w="1606" w:type="dxa"/>
            <w:tcBorders>
              <w:top w:val="single" w:sz="2" w:space="0" w:color="auto"/>
              <w:left w:val="single" w:sz="2" w:space="0" w:color="auto"/>
              <w:bottom w:val="single" w:sz="2" w:space="0" w:color="auto"/>
              <w:right w:val="single" w:sz="2" w:space="0" w:color="auto"/>
            </w:tcBorders>
            <w:vAlign w:val="center"/>
          </w:tcPr>
          <w:p w14:paraId="5FC2DF3A"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五仓农牧</w:t>
            </w:r>
            <w:proofErr w:type="gramEnd"/>
            <w:r w:rsidRPr="00F614F9">
              <w:rPr>
                <w:rFonts w:ascii="Times New Roman" w:eastAsia="宋体" w:hAnsi="Times New Roman" w:cs="宋体"/>
                <w:sz w:val="18"/>
                <w:szCs w:val="18"/>
              </w:rPr>
              <w:t>集团</w:t>
            </w:r>
          </w:p>
        </w:tc>
        <w:tc>
          <w:tcPr>
            <w:tcW w:w="1606" w:type="dxa"/>
            <w:tcBorders>
              <w:top w:val="single" w:sz="2" w:space="0" w:color="auto"/>
              <w:left w:val="single" w:sz="2" w:space="0" w:color="auto"/>
              <w:bottom w:val="single" w:sz="2" w:space="0" w:color="auto"/>
              <w:right w:val="single" w:sz="2" w:space="0" w:color="auto"/>
            </w:tcBorders>
            <w:vAlign w:val="center"/>
          </w:tcPr>
          <w:p w14:paraId="51FAA29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董事长</w:t>
            </w:r>
          </w:p>
        </w:tc>
        <w:tc>
          <w:tcPr>
            <w:tcW w:w="1702" w:type="dxa"/>
            <w:tcBorders>
              <w:top w:val="single" w:sz="2" w:space="0" w:color="auto"/>
              <w:left w:val="single" w:sz="2" w:space="0" w:color="auto"/>
              <w:bottom w:val="single" w:sz="2" w:space="0" w:color="auto"/>
              <w:right w:val="single" w:sz="2" w:space="0" w:color="auto"/>
            </w:tcBorders>
            <w:vAlign w:val="center"/>
          </w:tcPr>
          <w:p w14:paraId="173C51A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2019</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26</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001427A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09</w:t>
            </w:r>
            <w:r w:rsidRPr="00F614F9">
              <w:rPr>
                <w:rFonts w:ascii="Times New Roman" w:eastAsia="宋体" w:hAnsi="Times New Roman" w:cs="宋体"/>
                <w:sz w:val="18"/>
                <w:szCs w:val="18"/>
              </w:rPr>
              <w:t>日</w:t>
            </w:r>
          </w:p>
        </w:tc>
        <w:tc>
          <w:tcPr>
            <w:tcW w:w="1559" w:type="dxa"/>
            <w:tcBorders>
              <w:top w:val="single" w:sz="2" w:space="0" w:color="auto"/>
              <w:left w:val="single" w:sz="2" w:space="0" w:color="auto"/>
              <w:bottom w:val="single" w:sz="2" w:space="0" w:color="auto"/>
              <w:right w:val="single" w:sz="2" w:space="0" w:color="auto"/>
            </w:tcBorders>
            <w:vAlign w:val="center"/>
          </w:tcPr>
          <w:p w14:paraId="2041811E"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D2C03DB" w14:textId="77777777" w:rsidTr="001407A3">
        <w:trPr>
          <w:trHeight w:val="240"/>
          <w:jc w:val="center"/>
        </w:trPr>
        <w:tc>
          <w:tcPr>
            <w:tcW w:w="1607" w:type="dxa"/>
            <w:tcBorders>
              <w:top w:val="single" w:sz="2" w:space="0" w:color="auto"/>
              <w:left w:val="single" w:sz="2" w:space="0" w:color="auto"/>
              <w:bottom w:val="single" w:sz="2" w:space="0" w:color="auto"/>
              <w:right w:val="single" w:sz="2" w:space="0" w:color="auto"/>
            </w:tcBorders>
            <w:vAlign w:val="center"/>
          </w:tcPr>
          <w:p w14:paraId="6E26A186"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杨晓初</w:t>
            </w:r>
          </w:p>
        </w:tc>
        <w:tc>
          <w:tcPr>
            <w:tcW w:w="1606" w:type="dxa"/>
            <w:tcBorders>
              <w:top w:val="single" w:sz="2" w:space="0" w:color="auto"/>
              <w:left w:val="single" w:sz="2" w:space="0" w:color="auto"/>
              <w:bottom w:val="single" w:sz="2" w:space="0" w:color="auto"/>
              <w:right w:val="single" w:sz="2" w:space="0" w:color="auto"/>
            </w:tcBorders>
            <w:vAlign w:val="center"/>
          </w:tcPr>
          <w:p w14:paraId="5B0F871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7DBE6F7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董事</w:t>
            </w:r>
          </w:p>
        </w:tc>
        <w:tc>
          <w:tcPr>
            <w:tcW w:w="1702" w:type="dxa"/>
            <w:tcBorders>
              <w:top w:val="single" w:sz="2" w:space="0" w:color="auto"/>
              <w:left w:val="single" w:sz="2" w:space="0" w:color="auto"/>
              <w:bottom w:val="single" w:sz="2" w:space="0" w:color="auto"/>
              <w:right w:val="single" w:sz="2" w:space="0" w:color="auto"/>
            </w:tcBorders>
            <w:vAlign w:val="center"/>
          </w:tcPr>
          <w:p w14:paraId="0DC740F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2020</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3012F1DC" w14:textId="77777777" w:rsidR="001D26E7" w:rsidRPr="00F614F9" w:rsidRDefault="001D26E7">
            <w:pPr>
              <w:spacing w:line="240" w:lineRule="exact"/>
              <w:rPr>
                <w:rFonts w:ascii="Times New Roman" w:eastAsia="宋体" w:hAnsi="Times New Roman"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1D54103"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r>
      <w:tr w:rsidR="001D26E7" w:rsidRPr="00F614F9" w14:paraId="43EA8753" w14:textId="77777777" w:rsidTr="001407A3">
        <w:trPr>
          <w:trHeight w:val="240"/>
          <w:jc w:val="center"/>
        </w:trPr>
        <w:tc>
          <w:tcPr>
            <w:tcW w:w="1607" w:type="dxa"/>
            <w:tcBorders>
              <w:top w:val="single" w:sz="2" w:space="0" w:color="auto"/>
              <w:left w:val="single" w:sz="2" w:space="0" w:color="auto"/>
              <w:bottom w:val="single" w:sz="2" w:space="0" w:color="auto"/>
              <w:right w:val="single" w:sz="2" w:space="0" w:color="auto"/>
            </w:tcBorders>
            <w:vAlign w:val="center"/>
          </w:tcPr>
          <w:p w14:paraId="2C9CB463"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张玮</w:t>
            </w:r>
          </w:p>
        </w:tc>
        <w:tc>
          <w:tcPr>
            <w:tcW w:w="1606" w:type="dxa"/>
            <w:tcBorders>
              <w:top w:val="single" w:sz="2" w:space="0" w:color="auto"/>
              <w:left w:val="single" w:sz="2" w:space="0" w:color="auto"/>
              <w:bottom w:val="single" w:sz="2" w:space="0" w:color="auto"/>
              <w:right w:val="single" w:sz="2" w:space="0" w:color="auto"/>
            </w:tcBorders>
            <w:vAlign w:val="center"/>
          </w:tcPr>
          <w:p w14:paraId="12C10CE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蓝润集团有限公司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1319236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审计负责人</w:t>
            </w:r>
          </w:p>
        </w:tc>
        <w:tc>
          <w:tcPr>
            <w:tcW w:w="1702" w:type="dxa"/>
            <w:tcBorders>
              <w:top w:val="single" w:sz="2" w:space="0" w:color="auto"/>
              <w:left w:val="single" w:sz="2" w:space="0" w:color="auto"/>
              <w:bottom w:val="single" w:sz="2" w:space="0" w:color="auto"/>
              <w:right w:val="single" w:sz="2" w:space="0" w:color="auto"/>
            </w:tcBorders>
            <w:vAlign w:val="center"/>
          </w:tcPr>
          <w:p w14:paraId="467021A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2020</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56C8BBF8" w14:textId="77777777" w:rsidR="001D26E7" w:rsidRPr="00F614F9" w:rsidRDefault="001D26E7">
            <w:pPr>
              <w:spacing w:line="240" w:lineRule="exact"/>
              <w:rPr>
                <w:rFonts w:ascii="Times New Roman" w:eastAsia="宋体" w:hAnsi="Times New Roman"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DDFF5ED"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r>
      <w:tr w:rsidR="001D26E7" w:rsidRPr="00F614F9" w14:paraId="27A09CF5" w14:textId="77777777" w:rsidTr="001407A3">
        <w:trPr>
          <w:trHeight w:val="240"/>
          <w:jc w:val="center"/>
        </w:trPr>
        <w:tc>
          <w:tcPr>
            <w:tcW w:w="1607" w:type="dxa"/>
            <w:tcBorders>
              <w:top w:val="single" w:sz="2" w:space="0" w:color="auto"/>
              <w:left w:val="single" w:sz="2" w:space="0" w:color="auto"/>
              <w:bottom w:val="single" w:sz="2" w:space="0" w:color="auto"/>
              <w:right w:val="single" w:sz="2" w:space="0" w:color="auto"/>
            </w:tcBorders>
            <w:vAlign w:val="center"/>
          </w:tcPr>
          <w:p w14:paraId="1756494E"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祝波</w:t>
            </w:r>
          </w:p>
        </w:tc>
        <w:tc>
          <w:tcPr>
            <w:tcW w:w="1606" w:type="dxa"/>
            <w:tcBorders>
              <w:top w:val="single" w:sz="2" w:space="0" w:color="auto"/>
              <w:left w:val="single" w:sz="2" w:space="0" w:color="auto"/>
              <w:bottom w:val="single" w:sz="2" w:space="0" w:color="auto"/>
              <w:right w:val="single" w:sz="2" w:space="0" w:color="auto"/>
            </w:tcBorders>
            <w:vAlign w:val="center"/>
          </w:tcPr>
          <w:p w14:paraId="6446FA1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w:t>
            </w:r>
            <w:proofErr w:type="gramStart"/>
            <w:r w:rsidRPr="00F614F9">
              <w:rPr>
                <w:rFonts w:ascii="Times New Roman" w:eastAsia="宋体" w:hAnsi="Times New Roman" w:cs="宋体"/>
                <w:sz w:val="18"/>
                <w:szCs w:val="18"/>
              </w:rPr>
              <w:t>昊</w:t>
            </w:r>
            <w:proofErr w:type="gramEnd"/>
            <w:r w:rsidRPr="00F614F9">
              <w:rPr>
                <w:rFonts w:ascii="Times New Roman" w:eastAsia="宋体" w:hAnsi="Times New Roman" w:cs="宋体"/>
                <w:sz w:val="18"/>
                <w:szCs w:val="18"/>
              </w:rPr>
              <w:t>华君宇置业有限公司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11F6475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外联中心总经理</w:t>
            </w:r>
          </w:p>
        </w:tc>
        <w:tc>
          <w:tcPr>
            <w:tcW w:w="1702" w:type="dxa"/>
            <w:tcBorders>
              <w:top w:val="single" w:sz="2" w:space="0" w:color="auto"/>
              <w:left w:val="single" w:sz="2" w:space="0" w:color="auto"/>
              <w:bottom w:val="single" w:sz="2" w:space="0" w:color="auto"/>
              <w:right w:val="single" w:sz="2" w:space="0" w:color="auto"/>
            </w:tcBorders>
            <w:vAlign w:val="center"/>
          </w:tcPr>
          <w:p w14:paraId="301C74E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2015</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4EBEA680" w14:textId="77777777" w:rsidR="001D26E7" w:rsidRPr="00F614F9" w:rsidRDefault="001D26E7">
            <w:pPr>
              <w:spacing w:line="240" w:lineRule="exact"/>
              <w:rPr>
                <w:rFonts w:ascii="Times New Roman" w:eastAsia="宋体" w:hAnsi="Times New Roman"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30666C1"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r>
      <w:tr w:rsidR="001D26E7" w:rsidRPr="00F614F9" w14:paraId="72A882D4" w14:textId="77777777" w:rsidTr="001407A3">
        <w:trPr>
          <w:trHeight w:val="240"/>
          <w:jc w:val="center"/>
        </w:trPr>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57B2283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在股东单位任职情况的说明</w:t>
            </w:r>
          </w:p>
        </w:tc>
        <w:tc>
          <w:tcPr>
            <w:tcW w:w="8174" w:type="dxa"/>
            <w:gridSpan w:val="5"/>
            <w:tcBorders>
              <w:top w:val="single" w:sz="2" w:space="0" w:color="auto"/>
              <w:left w:val="single" w:sz="2" w:space="0" w:color="auto"/>
              <w:bottom w:val="single" w:sz="2" w:space="0" w:color="auto"/>
              <w:right w:val="single" w:sz="2" w:space="0" w:color="auto"/>
            </w:tcBorders>
            <w:vAlign w:val="center"/>
          </w:tcPr>
          <w:p w14:paraId="68BE96B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无</w:t>
            </w:r>
          </w:p>
        </w:tc>
      </w:tr>
    </w:tbl>
    <w:p w14:paraId="45B0007E"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在其他单位任职情况</w:t>
      </w:r>
    </w:p>
    <w:p w14:paraId="0C0FB6D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tbl>
      <w:tblPr>
        <w:tblW w:w="973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942"/>
        <w:gridCol w:w="2126"/>
        <w:gridCol w:w="1701"/>
        <w:gridCol w:w="1701"/>
        <w:gridCol w:w="1701"/>
        <w:gridCol w:w="1559"/>
      </w:tblGrid>
      <w:tr w:rsidR="001D26E7" w:rsidRPr="00F614F9" w14:paraId="61B4C934" w14:textId="77777777" w:rsidTr="001407A3">
        <w:trPr>
          <w:trHeight w:val="240"/>
          <w:jc w:val="center"/>
        </w:trPr>
        <w:tc>
          <w:tcPr>
            <w:tcW w:w="942" w:type="dxa"/>
            <w:tcBorders>
              <w:top w:val="single" w:sz="2" w:space="0" w:color="auto"/>
              <w:left w:val="single" w:sz="2" w:space="0" w:color="auto"/>
              <w:bottom w:val="single" w:sz="2" w:space="0" w:color="auto"/>
              <w:right w:val="single" w:sz="2" w:space="0" w:color="auto"/>
            </w:tcBorders>
            <w:shd w:val="clear" w:color="auto" w:fill="D3D3D3"/>
            <w:vAlign w:val="center"/>
          </w:tcPr>
          <w:p w14:paraId="51E54FFC" w14:textId="77777777" w:rsidR="001D26E7" w:rsidRPr="00F614F9" w:rsidRDefault="00000000" w:rsidP="001407A3">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任职人员姓名</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653A4B24" w14:textId="77777777" w:rsidR="001D26E7" w:rsidRPr="00F614F9" w:rsidRDefault="00000000" w:rsidP="001407A3">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其他单位名称</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086180B1" w14:textId="77777777" w:rsidR="001D26E7" w:rsidRPr="00F614F9" w:rsidRDefault="00000000" w:rsidP="001407A3">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在其他单位担任的职务</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1F92CD43" w14:textId="77777777" w:rsidR="001D26E7" w:rsidRPr="00F614F9" w:rsidRDefault="00000000" w:rsidP="001407A3">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任期起始日期</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5DD93757" w14:textId="77777777" w:rsidR="001D26E7" w:rsidRPr="00F614F9" w:rsidRDefault="00000000" w:rsidP="001407A3">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任期终止日期</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712CE0B1" w14:textId="77777777" w:rsidR="001D26E7" w:rsidRPr="00F614F9" w:rsidRDefault="00000000" w:rsidP="001407A3">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在其他单位是否领取报酬津贴</w:t>
            </w:r>
          </w:p>
        </w:tc>
      </w:tr>
      <w:tr w:rsidR="001D26E7" w:rsidRPr="00F614F9" w14:paraId="02B976CC" w14:textId="77777777" w:rsidTr="001407A3">
        <w:trPr>
          <w:trHeight w:val="240"/>
          <w:jc w:val="center"/>
        </w:trPr>
        <w:tc>
          <w:tcPr>
            <w:tcW w:w="942" w:type="dxa"/>
            <w:tcBorders>
              <w:top w:val="single" w:sz="2" w:space="0" w:color="auto"/>
              <w:left w:val="single" w:sz="2" w:space="0" w:color="auto"/>
              <w:bottom w:val="single" w:sz="2" w:space="0" w:color="auto"/>
              <w:right w:val="single" w:sz="2" w:space="0" w:color="auto"/>
            </w:tcBorders>
            <w:vAlign w:val="center"/>
          </w:tcPr>
          <w:p w14:paraId="6F97C719"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周婧</w:t>
            </w:r>
          </w:p>
        </w:tc>
        <w:tc>
          <w:tcPr>
            <w:tcW w:w="2126" w:type="dxa"/>
            <w:tcBorders>
              <w:top w:val="single" w:sz="2" w:space="0" w:color="auto"/>
              <w:left w:val="single" w:sz="2" w:space="0" w:color="auto"/>
              <w:bottom w:val="single" w:sz="2" w:space="0" w:color="auto"/>
              <w:right w:val="single" w:sz="2" w:space="0" w:color="auto"/>
            </w:tcBorders>
            <w:vAlign w:val="center"/>
          </w:tcPr>
          <w:p w14:paraId="2CBE09E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四川天和联合会计师事务所（普通合伙）</w:t>
            </w:r>
          </w:p>
        </w:tc>
        <w:tc>
          <w:tcPr>
            <w:tcW w:w="1701" w:type="dxa"/>
            <w:tcBorders>
              <w:top w:val="single" w:sz="2" w:space="0" w:color="auto"/>
              <w:left w:val="single" w:sz="2" w:space="0" w:color="auto"/>
              <w:bottom w:val="single" w:sz="2" w:space="0" w:color="auto"/>
              <w:right w:val="single" w:sz="2" w:space="0" w:color="auto"/>
            </w:tcBorders>
            <w:vAlign w:val="center"/>
          </w:tcPr>
          <w:p w14:paraId="118F04F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主任会计师</w:t>
            </w:r>
          </w:p>
        </w:tc>
        <w:tc>
          <w:tcPr>
            <w:tcW w:w="1701" w:type="dxa"/>
            <w:tcBorders>
              <w:top w:val="single" w:sz="2" w:space="0" w:color="auto"/>
              <w:left w:val="single" w:sz="2" w:space="0" w:color="auto"/>
              <w:bottom w:val="single" w:sz="2" w:space="0" w:color="auto"/>
              <w:right w:val="single" w:sz="2" w:space="0" w:color="auto"/>
            </w:tcBorders>
            <w:vAlign w:val="center"/>
          </w:tcPr>
          <w:p w14:paraId="36BF337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6026B9CB" w14:textId="77777777" w:rsidR="001D26E7" w:rsidRPr="00F614F9" w:rsidRDefault="001D26E7">
            <w:pPr>
              <w:spacing w:line="240" w:lineRule="exact"/>
              <w:rPr>
                <w:rFonts w:ascii="Times New Roman" w:eastAsia="宋体" w:hAnsi="Times New Roman"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8B27EDB"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r>
      <w:tr w:rsidR="001D26E7" w:rsidRPr="00F614F9" w14:paraId="5702979C" w14:textId="77777777" w:rsidTr="001407A3">
        <w:trPr>
          <w:trHeight w:val="240"/>
          <w:jc w:val="center"/>
        </w:trPr>
        <w:tc>
          <w:tcPr>
            <w:tcW w:w="942" w:type="dxa"/>
            <w:tcBorders>
              <w:top w:val="single" w:sz="2" w:space="0" w:color="auto"/>
              <w:left w:val="single" w:sz="2" w:space="0" w:color="auto"/>
              <w:bottom w:val="single" w:sz="2" w:space="0" w:color="auto"/>
              <w:right w:val="single" w:sz="2" w:space="0" w:color="auto"/>
            </w:tcBorders>
            <w:vAlign w:val="center"/>
          </w:tcPr>
          <w:p w14:paraId="200F1E6B"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周婧</w:t>
            </w:r>
          </w:p>
        </w:tc>
        <w:tc>
          <w:tcPr>
            <w:tcW w:w="2126" w:type="dxa"/>
            <w:tcBorders>
              <w:top w:val="single" w:sz="2" w:space="0" w:color="auto"/>
              <w:left w:val="single" w:sz="2" w:space="0" w:color="auto"/>
              <w:bottom w:val="single" w:sz="2" w:space="0" w:color="auto"/>
              <w:right w:val="single" w:sz="2" w:space="0" w:color="auto"/>
            </w:tcBorders>
            <w:vAlign w:val="center"/>
          </w:tcPr>
          <w:p w14:paraId="7F0EAC1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四川鹏</w:t>
            </w:r>
            <w:proofErr w:type="gramStart"/>
            <w:r w:rsidRPr="00F614F9">
              <w:rPr>
                <w:rFonts w:ascii="Times New Roman" w:eastAsia="宋体" w:hAnsi="Times New Roman" w:cs="宋体"/>
                <w:sz w:val="18"/>
                <w:szCs w:val="18"/>
              </w:rPr>
              <w:t>达工程</w:t>
            </w:r>
            <w:proofErr w:type="gramEnd"/>
            <w:r w:rsidRPr="00F614F9">
              <w:rPr>
                <w:rFonts w:ascii="Times New Roman" w:eastAsia="宋体" w:hAnsi="Times New Roman" w:cs="宋体"/>
                <w:sz w:val="18"/>
                <w:szCs w:val="18"/>
              </w:rPr>
              <w:t>造价咨询有限责任公司</w:t>
            </w:r>
          </w:p>
        </w:tc>
        <w:tc>
          <w:tcPr>
            <w:tcW w:w="1701" w:type="dxa"/>
            <w:tcBorders>
              <w:top w:val="single" w:sz="2" w:space="0" w:color="auto"/>
              <w:left w:val="single" w:sz="2" w:space="0" w:color="auto"/>
              <w:bottom w:val="single" w:sz="2" w:space="0" w:color="auto"/>
              <w:right w:val="single" w:sz="2" w:space="0" w:color="auto"/>
            </w:tcBorders>
            <w:vAlign w:val="center"/>
          </w:tcPr>
          <w:p w14:paraId="70ECC83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造价工程师</w:t>
            </w:r>
          </w:p>
        </w:tc>
        <w:tc>
          <w:tcPr>
            <w:tcW w:w="1701" w:type="dxa"/>
            <w:tcBorders>
              <w:top w:val="single" w:sz="2" w:space="0" w:color="auto"/>
              <w:left w:val="single" w:sz="2" w:space="0" w:color="auto"/>
              <w:bottom w:val="single" w:sz="2" w:space="0" w:color="auto"/>
              <w:right w:val="single" w:sz="2" w:space="0" w:color="auto"/>
            </w:tcBorders>
            <w:vAlign w:val="center"/>
          </w:tcPr>
          <w:p w14:paraId="46C8F7E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26DB8614" w14:textId="77777777" w:rsidR="001D26E7" w:rsidRPr="00F614F9" w:rsidRDefault="001D26E7">
            <w:pPr>
              <w:spacing w:line="240" w:lineRule="exact"/>
              <w:rPr>
                <w:rFonts w:ascii="Times New Roman" w:eastAsia="宋体" w:hAnsi="Times New Roman"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EB37E56"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r>
      <w:tr w:rsidR="001D26E7" w:rsidRPr="00F614F9" w14:paraId="01DF7E10" w14:textId="77777777" w:rsidTr="001407A3">
        <w:trPr>
          <w:trHeight w:val="240"/>
          <w:jc w:val="center"/>
        </w:trPr>
        <w:tc>
          <w:tcPr>
            <w:tcW w:w="942" w:type="dxa"/>
            <w:tcBorders>
              <w:top w:val="single" w:sz="2" w:space="0" w:color="auto"/>
              <w:left w:val="single" w:sz="2" w:space="0" w:color="auto"/>
              <w:bottom w:val="single" w:sz="2" w:space="0" w:color="auto"/>
              <w:right w:val="single" w:sz="2" w:space="0" w:color="auto"/>
            </w:tcBorders>
            <w:vAlign w:val="center"/>
          </w:tcPr>
          <w:p w14:paraId="197F2ADE"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杨帆</w:t>
            </w:r>
          </w:p>
        </w:tc>
        <w:tc>
          <w:tcPr>
            <w:tcW w:w="2126" w:type="dxa"/>
            <w:tcBorders>
              <w:top w:val="single" w:sz="2" w:space="0" w:color="auto"/>
              <w:left w:val="single" w:sz="2" w:space="0" w:color="auto"/>
              <w:bottom w:val="single" w:sz="2" w:space="0" w:color="auto"/>
              <w:right w:val="single" w:sz="2" w:space="0" w:color="auto"/>
            </w:tcBorders>
            <w:vAlign w:val="center"/>
          </w:tcPr>
          <w:p w14:paraId="3E9C4F6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四川天仁和律师事务所</w:t>
            </w:r>
          </w:p>
        </w:tc>
        <w:tc>
          <w:tcPr>
            <w:tcW w:w="1701" w:type="dxa"/>
            <w:tcBorders>
              <w:top w:val="single" w:sz="2" w:space="0" w:color="auto"/>
              <w:left w:val="single" w:sz="2" w:space="0" w:color="auto"/>
              <w:bottom w:val="single" w:sz="2" w:space="0" w:color="auto"/>
              <w:right w:val="single" w:sz="2" w:space="0" w:color="auto"/>
            </w:tcBorders>
            <w:vAlign w:val="center"/>
          </w:tcPr>
          <w:p w14:paraId="0D9F0A9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副主任</w:t>
            </w:r>
          </w:p>
        </w:tc>
        <w:tc>
          <w:tcPr>
            <w:tcW w:w="1701" w:type="dxa"/>
            <w:tcBorders>
              <w:top w:val="single" w:sz="2" w:space="0" w:color="auto"/>
              <w:left w:val="single" w:sz="2" w:space="0" w:color="auto"/>
              <w:bottom w:val="single" w:sz="2" w:space="0" w:color="auto"/>
              <w:right w:val="single" w:sz="2" w:space="0" w:color="auto"/>
            </w:tcBorders>
            <w:vAlign w:val="center"/>
          </w:tcPr>
          <w:p w14:paraId="296548F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2000</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2DAC57D0" w14:textId="77777777" w:rsidR="001D26E7" w:rsidRPr="00F614F9" w:rsidRDefault="001D26E7">
            <w:pPr>
              <w:spacing w:line="240" w:lineRule="exact"/>
              <w:rPr>
                <w:rFonts w:ascii="Times New Roman" w:eastAsia="宋体" w:hAnsi="Times New Roman"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7B18F9E"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r>
      <w:tr w:rsidR="001D26E7" w:rsidRPr="00F614F9" w14:paraId="49209823" w14:textId="77777777" w:rsidTr="001407A3">
        <w:trPr>
          <w:trHeight w:val="240"/>
          <w:jc w:val="center"/>
        </w:trPr>
        <w:tc>
          <w:tcPr>
            <w:tcW w:w="942" w:type="dxa"/>
            <w:tcBorders>
              <w:top w:val="single" w:sz="2" w:space="0" w:color="auto"/>
              <w:left w:val="single" w:sz="2" w:space="0" w:color="auto"/>
              <w:bottom w:val="single" w:sz="2" w:space="0" w:color="auto"/>
              <w:right w:val="single" w:sz="2" w:space="0" w:color="auto"/>
            </w:tcBorders>
            <w:vAlign w:val="center"/>
          </w:tcPr>
          <w:p w14:paraId="75F3E13C"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余茂鑫</w:t>
            </w:r>
          </w:p>
        </w:tc>
        <w:tc>
          <w:tcPr>
            <w:tcW w:w="2126" w:type="dxa"/>
            <w:tcBorders>
              <w:top w:val="single" w:sz="2" w:space="0" w:color="auto"/>
              <w:left w:val="single" w:sz="2" w:space="0" w:color="auto"/>
              <w:bottom w:val="single" w:sz="2" w:space="0" w:color="auto"/>
              <w:right w:val="single" w:sz="2" w:space="0" w:color="auto"/>
            </w:tcBorders>
            <w:vAlign w:val="center"/>
          </w:tcPr>
          <w:p w14:paraId="2814A83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四川图都律师事务所</w:t>
            </w:r>
          </w:p>
        </w:tc>
        <w:tc>
          <w:tcPr>
            <w:tcW w:w="1701" w:type="dxa"/>
            <w:tcBorders>
              <w:top w:val="single" w:sz="2" w:space="0" w:color="auto"/>
              <w:left w:val="single" w:sz="2" w:space="0" w:color="auto"/>
              <w:bottom w:val="single" w:sz="2" w:space="0" w:color="auto"/>
              <w:right w:val="single" w:sz="2" w:space="0" w:color="auto"/>
            </w:tcBorders>
            <w:vAlign w:val="center"/>
          </w:tcPr>
          <w:p w14:paraId="3B85583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合伙人</w:t>
            </w:r>
          </w:p>
        </w:tc>
        <w:tc>
          <w:tcPr>
            <w:tcW w:w="1701" w:type="dxa"/>
            <w:tcBorders>
              <w:top w:val="single" w:sz="2" w:space="0" w:color="auto"/>
              <w:left w:val="single" w:sz="2" w:space="0" w:color="auto"/>
              <w:bottom w:val="single" w:sz="2" w:space="0" w:color="auto"/>
              <w:right w:val="single" w:sz="2" w:space="0" w:color="auto"/>
            </w:tcBorders>
            <w:vAlign w:val="center"/>
          </w:tcPr>
          <w:p w14:paraId="0595E57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6291A607" w14:textId="77777777" w:rsidR="001D26E7" w:rsidRPr="00F614F9" w:rsidRDefault="001D26E7">
            <w:pPr>
              <w:spacing w:line="240" w:lineRule="exact"/>
              <w:rPr>
                <w:rFonts w:ascii="Times New Roman" w:eastAsia="宋体" w:hAnsi="Times New Roman"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89B4E89"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r>
      <w:tr w:rsidR="001D26E7" w:rsidRPr="00F614F9" w14:paraId="48758EE5" w14:textId="77777777" w:rsidTr="001407A3">
        <w:trPr>
          <w:trHeight w:val="240"/>
          <w:jc w:val="center"/>
        </w:trPr>
        <w:tc>
          <w:tcPr>
            <w:tcW w:w="942" w:type="dxa"/>
            <w:tcBorders>
              <w:top w:val="single" w:sz="2" w:space="0" w:color="auto"/>
              <w:left w:val="single" w:sz="2" w:space="0" w:color="auto"/>
              <w:bottom w:val="single" w:sz="2" w:space="0" w:color="auto"/>
              <w:right w:val="single" w:sz="2" w:space="0" w:color="auto"/>
            </w:tcBorders>
            <w:vAlign w:val="center"/>
          </w:tcPr>
          <w:p w14:paraId="027963AA"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杨晓初</w:t>
            </w:r>
          </w:p>
        </w:tc>
        <w:tc>
          <w:tcPr>
            <w:tcW w:w="2126" w:type="dxa"/>
            <w:tcBorders>
              <w:top w:val="single" w:sz="2" w:space="0" w:color="auto"/>
              <w:left w:val="single" w:sz="2" w:space="0" w:color="auto"/>
              <w:bottom w:val="single" w:sz="2" w:space="0" w:color="auto"/>
              <w:right w:val="single" w:sz="2" w:space="0" w:color="auto"/>
            </w:tcBorders>
            <w:vAlign w:val="center"/>
          </w:tcPr>
          <w:p w14:paraId="05F1284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平阳思</w:t>
            </w:r>
            <w:proofErr w:type="gramStart"/>
            <w:r w:rsidRPr="00F614F9">
              <w:rPr>
                <w:rFonts w:ascii="Times New Roman" w:eastAsia="宋体" w:hAnsi="Times New Roman" w:cs="宋体"/>
                <w:sz w:val="18"/>
                <w:szCs w:val="18"/>
              </w:rPr>
              <w:t>创创业</w:t>
            </w:r>
            <w:proofErr w:type="gramEnd"/>
            <w:r w:rsidRPr="00F614F9">
              <w:rPr>
                <w:rFonts w:ascii="Times New Roman" w:eastAsia="宋体" w:hAnsi="Times New Roman" w:cs="宋体"/>
                <w:sz w:val="18"/>
                <w:szCs w:val="18"/>
              </w:rPr>
              <w:t>投资合伙企业（有限合伙）</w:t>
            </w:r>
          </w:p>
        </w:tc>
        <w:tc>
          <w:tcPr>
            <w:tcW w:w="1701" w:type="dxa"/>
            <w:tcBorders>
              <w:top w:val="single" w:sz="2" w:space="0" w:color="auto"/>
              <w:left w:val="single" w:sz="2" w:space="0" w:color="auto"/>
              <w:bottom w:val="single" w:sz="2" w:space="0" w:color="auto"/>
              <w:right w:val="single" w:sz="2" w:space="0" w:color="auto"/>
            </w:tcBorders>
            <w:vAlign w:val="center"/>
          </w:tcPr>
          <w:p w14:paraId="0FA31C7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执行事务合伙人</w:t>
            </w:r>
          </w:p>
        </w:tc>
        <w:tc>
          <w:tcPr>
            <w:tcW w:w="1701" w:type="dxa"/>
            <w:tcBorders>
              <w:top w:val="single" w:sz="2" w:space="0" w:color="auto"/>
              <w:left w:val="single" w:sz="2" w:space="0" w:color="auto"/>
              <w:bottom w:val="single" w:sz="2" w:space="0" w:color="auto"/>
              <w:right w:val="single" w:sz="2" w:space="0" w:color="auto"/>
            </w:tcBorders>
            <w:vAlign w:val="center"/>
          </w:tcPr>
          <w:p w14:paraId="7F88B91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2020</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19</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3B30D80B" w14:textId="77777777" w:rsidR="001D26E7" w:rsidRPr="00F614F9" w:rsidRDefault="001D26E7">
            <w:pPr>
              <w:spacing w:line="240" w:lineRule="exact"/>
              <w:rPr>
                <w:rFonts w:ascii="Times New Roman" w:eastAsia="宋体" w:hAnsi="Times New Roman"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BDD00D3"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2410E9C0" w14:textId="77777777" w:rsidTr="001407A3">
        <w:trPr>
          <w:trHeight w:val="240"/>
          <w:jc w:val="center"/>
        </w:trPr>
        <w:tc>
          <w:tcPr>
            <w:tcW w:w="942" w:type="dxa"/>
            <w:tcBorders>
              <w:top w:val="single" w:sz="2" w:space="0" w:color="auto"/>
              <w:left w:val="single" w:sz="2" w:space="0" w:color="auto"/>
              <w:bottom w:val="single" w:sz="2" w:space="0" w:color="auto"/>
              <w:right w:val="single" w:sz="2" w:space="0" w:color="auto"/>
            </w:tcBorders>
            <w:vAlign w:val="center"/>
          </w:tcPr>
          <w:p w14:paraId="60F7C4C6"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张瑞</w:t>
            </w:r>
          </w:p>
        </w:tc>
        <w:tc>
          <w:tcPr>
            <w:tcW w:w="2126" w:type="dxa"/>
            <w:tcBorders>
              <w:top w:val="single" w:sz="2" w:space="0" w:color="auto"/>
              <w:left w:val="single" w:sz="2" w:space="0" w:color="auto"/>
              <w:bottom w:val="single" w:sz="2" w:space="0" w:color="auto"/>
              <w:right w:val="single" w:sz="2" w:space="0" w:color="auto"/>
            </w:tcBorders>
            <w:vAlign w:val="center"/>
          </w:tcPr>
          <w:p w14:paraId="1C44DB1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云南福照食品有限公司</w:t>
            </w:r>
          </w:p>
        </w:tc>
        <w:tc>
          <w:tcPr>
            <w:tcW w:w="1701" w:type="dxa"/>
            <w:tcBorders>
              <w:top w:val="single" w:sz="2" w:space="0" w:color="auto"/>
              <w:left w:val="single" w:sz="2" w:space="0" w:color="auto"/>
              <w:bottom w:val="single" w:sz="2" w:space="0" w:color="auto"/>
              <w:right w:val="single" w:sz="2" w:space="0" w:color="auto"/>
            </w:tcBorders>
            <w:vAlign w:val="center"/>
          </w:tcPr>
          <w:p w14:paraId="1896B2B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法定代表人、董事长</w:t>
            </w:r>
          </w:p>
        </w:tc>
        <w:tc>
          <w:tcPr>
            <w:tcW w:w="1701" w:type="dxa"/>
            <w:tcBorders>
              <w:top w:val="single" w:sz="2" w:space="0" w:color="auto"/>
              <w:left w:val="single" w:sz="2" w:space="0" w:color="auto"/>
              <w:bottom w:val="single" w:sz="2" w:space="0" w:color="auto"/>
              <w:right w:val="single" w:sz="2" w:space="0" w:color="auto"/>
            </w:tcBorders>
            <w:vAlign w:val="center"/>
          </w:tcPr>
          <w:p w14:paraId="6851EAE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2019</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29AD2EAE" w14:textId="77777777" w:rsidR="001D26E7" w:rsidRPr="00F614F9" w:rsidRDefault="001D26E7">
            <w:pPr>
              <w:spacing w:line="240" w:lineRule="exact"/>
              <w:rPr>
                <w:rFonts w:ascii="Times New Roman" w:eastAsia="宋体" w:hAnsi="Times New Roman"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3E49ABB"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67BA6458" w14:textId="77777777" w:rsidTr="001407A3">
        <w:trPr>
          <w:trHeight w:val="240"/>
          <w:jc w:val="center"/>
        </w:trPr>
        <w:tc>
          <w:tcPr>
            <w:tcW w:w="942" w:type="dxa"/>
            <w:tcBorders>
              <w:top w:val="single" w:sz="2" w:space="0" w:color="auto"/>
              <w:left w:val="single" w:sz="2" w:space="0" w:color="auto"/>
              <w:bottom w:val="single" w:sz="2" w:space="0" w:color="auto"/>
              <w:right w:val="single" w:sz="2" w:space="0" w:color="auto"/>
            </w:tcBorders>
            <w:vAlign w:val="center"/>
          </w:tcPr>
          <w:p w14:paraId="37E4414B"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张瑞</w:t>
            </w:r>
          </w:p>
        </w:tc>
        <w:tc>
          <w:tcPr>
            <w:tcW w:w="2126" w:type="dxa"/>
            <w:tcBorders>
              <w:top w:val="single" w:sz="2" w:space="0" w:color="auto"/>
              <w:left w:val="single" w:sz="2" w:space="0" w:color="auto"/>
              <w:bottom w:val="single" w:sz="2" w:space="0" w:color="auto"/>
              <w:right w:val="single" w:sz="2" w:space="0" w:color="auto"/>
            </w:tcBorders>
            <w:vAlign w:val="center"/>
          </w:tcPr>
          <w:p w14:paraId="4AA9AC3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青岛中和盛杰食品有限公司</w:t>
            </w:r>
          </w:p>
        </w:tc>
        <w:tc>
          <w:tcPr>
            <w:tcW w:w="1701" w:type="dxa"/>
            <w:tcBorders>
              <w:top w:val="single" w:sz="2" w:space="0" w:color="auto"/>
              <w:left w:val="single" w:sz="2" w:space="0" w:color="auto"/>
              <w:bottom w:val="single" w:sz="2" w:space="0" w:color="auto"/>
              <w:right w:val="single" w:sz="2" w:space="0" w:color="auto"/>
            </w:tcBorders>
            <w:vAlign w:val="center"/>
          </w:tcPr>
          <w:p w14:paraId="6A40AF3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法定代表人、执行董事</w:t>
            </w:r>
          </w:p>
        </w:tc>
        <w:tc>
          <w:tcPr>
            <w:tcW w:w="1701" w:type="dxa"/>
            <w:tcBorders>
              <w:top w:val="single" w:sz="2" w:space="0" w:color="auto"/>
              <w:left w:val="single" w:sz="2" w:space="0" w:color="auto"/>
              <w:bottom w:val="single" w:sz="2" w:space="0" w:color="auto"/>
              <w:right w:val="single" w:sz="2" w:space="0" w:color="auto"/>
            </w:tcBorders>
            <w:vAlign w:val="center"/>
          </w:tcPr>
          <w:p w14:paraId="4E8FC1A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2020</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19</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7C040ABC" w14:textId="77777777" w:rsidR="001D26E7" w:rsidRPr="00F614F9" w:rsidRDefault="001D26E7">
            <w:pPr>
              <w:spacing w:line="240" w:lineRule="exact"/>
              <w:rPr>
                <w:rFonts w:ascii="Times New Roman" w:eastAsia="宋体" w:hAnsi="Times New Roman"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21CD8EA"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7561EA3D" w14:textId="77777777" w:rsidTr="001407A3">
        <w:trPr>
          <w:trHeight w:val="240"/>
          <w:jc w:val="center"/>
        </w:trPr>
        <w:tc>
          <w:tcPr>
            <w:tcW w:w="942" w:type="dxa"/>
            <w:tcBorders>
              <w:top w:val="single" w:sz="2" w:space="0" w:color="auto"/>
              <w:left w:val="single" w:sz="2" w:space="0" w:color="auto"/>
              <w:bottom w:val="single" w:sz="2" w:space="0" w:color="auto"/>
              <w:right w:val="single" w:sz="2" w:space="0" w:color="auto"/>
            </w:tcBorders>
            <w:vAlign w:val="center"/>
          </w:tcPr>
          <w:p w14:paraId="74A86DEA"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张瑞</w:t>
            </w:r>
          </w:p>
        </w:tc>
        <w:tc>
          <w:tcPr>
            <w:tcW w:w="2126" w:type="dxa"/>
            <w:tcBorders>
              <w:top w:val="single" w:sz="2" w:space="0" w:color="auto"/>
              <w:left w:val="single" w:sz="2" w:space="0" w:color="auto"/>
              <w:bottom w:val="single" w:sz="2" w:space="0" w:color="auto"/>
              <w:right w:val="single" w:sz="2" w:space="0" w:color="auto"/>
            </w:tcBorders>
            <w:vAlign w:val="center"/>
          </w:tcPr>
          <w:p w14:paraId="7C8DA41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青岛龙大管理咨询服务有限公司</w:t>
            </w:r>
          </w:p>
        </w:tc>
        <w:tc>
          <w:tcPr>
            <w:tcW w:w="1701" w:type="dxa"/>
            <w:tcBorders>
              <w:top w:val="single" w:sz="2" w:space="0" w:color="auto"/>
              <w:left w:val="single" w:sz="2" w:space="0" w:color="auto"/>
              <w:bottom w:val="single" w:sz="2" w:space="0" w:color="auto"/>
              <w:right w:val="single" w:sz="2" w:space="0" w:color="auto"/>
            </w:tcBorders>
            <w:vAlign w:val="center"/>
          </w:tcPr>
          <w:p w14:paraId="60DBF5F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法定代表人、执行董事兼经理</w:t>
            </w:r>
          </w:p>
        </w:tc>
        <w:tc>
          <w:tcPr>
            <w:tcW w:w="1701" w:type="dxa"/>
            <w:tcBorders>
              <w:top w:val="single" w:sz="2" w:space="0" w:color="auto"/>
              <w:left w:val="single" w:sz="2" w:space="0" w:color="auto"/>
              <w:bottom w:val="single" w:sz="2" w:space="0" w:color="auto"/>
              <w:right w:val="single" w:sz="2" w:space="0" w:color="auto"/>
            </w:tcBorders>
            <w:vAlign w:val="center"/>
          </w:tcPr>
          <w:p w14:paraId="7178042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2020</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244557CB" w14:textId="77777777" w:rsidR="001D26E7" w:rsidRPr="00F614F9" w:rsidRDefault="001D26E7">
            <w:pPr>
              <w:spacing w:line="240" w:lineRule="exact"/>
              <w:rPr>
                <w:rFonts w:ascii="Times New Roman" w:eastAsia="宋体" w:hAnsi="Times New Roman"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345BC9F"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9224078" w14:textId="77777777" w:rsidTr="001407A3">
        <w:trPr>
          <w:trHeight w:val="240"/>
          <w:jc w:val="center"/>
        </w:trPr>
        <w:tc>
          <w:tcPr>
            <w:tcW w:w="942" w:type="dxa"/>
            <w:tcBorders>
              <w:top w:val="single" w:sz="2" w:space="0" w:color="auto"/>
              <w:left w:val="single" w:sz="2" w:space="0" w:color="auto"/>
              <w:bottom w:val="single" w:sz="2" w:space="0" w:color="auto"/>
              <w:right w:val="single" w:sz="2" w:space="0" w:color="auto"/>
            </w:tcBorders>
            <w:vAlign w:val="center"/>
          </w:tcPr>
          <w:p w14:paraId="48641521"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张瑞</w:t>
            </w:r>
          </w:p>
        </w:tc>
        <w:tc>
          <w:tcPr>
            <w:tcW w:w="2126" w:type="dxa"/>
            <w:tcBorders>
              <w:top w:val="single" w:sz="2" w:space="0" w:color="auto"/>
              <w:left w:val="single" w:sz="2" w:space="0" w:color="auto"/>
              <w:bottom w:val="single" w:sz="2" w:space="0" w:color="auto"/>
              <w:right w:val="single" w:sz="2" w:space="0" w:color="auto"/>
            </w:tcBorders>
            <w:vAlign w:val="center"/>
          </w:tcPr>
          <w:p w14:paraId="428B6D4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乳山中和盛杰食品有限公司</w:t>
            </w:r>
          </w:p>
        </w:tc>
        <w:tc>
          <w:tcPr>
            <w:tcW w:w="1701" w:type="dxa"/>
            <w:tcBorders>
              <w:top w:val="single" w:sz="2" w:space="0" w:color="auto"/>
              <w:left w:val="single" w:sz="2" w:space="0" w:color="auto"/>
              <w:bottom w:val="single" w:sz="2" w:space="0" w:color="auto"/>
              <w:right w:val="single" w:sz="2" w:space="0" w:color="auto"/>
            </w:tcBorders>
            <w:vAlign w:val="center"/>
          </w:tcPr>
          <w:p w14:paraId="79EC11E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法定代表人、执行董事</w:t>
            </w:r>
          </w:p>
        </w:tc>
        <w:tc>
          <w:tcPr>
            <w:tcW w:w="1701" w:type="dxa"/>
            <w:tcBorders>
              <w:top w:val="single" w:sz="2" w:space="0" w:color="auto"/>
              <w:left w:val="single" w:sz="2" w:space="0" w:color="auto"/>
              <w:bottom w:val="single" w:sz="2" w:space="0" w:color="auto"/>
              <w:right w:val="single" w:sz="2" w:space="0" w:color="auto"/>
            </w:tcBorders>
            <w:vAlign w:val="center"/>
          </w:tcPr>
          <w:p w14:paraId="7077FEA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2020</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09</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4671DD08" w14:textId="77777777" w:rsidR="001D26E7" w:rsidRPr="00F614F9" w:rsidRDefault="001D26E7">
            <w:pPr>
              <w:spacing w:line="240" w:lineRule="exact"/>
              <w:rPr>
                <w:rFonts w:ascii="Times New Roman" w:eastAsia="宋体" w:hAnsi="Times New Roman"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9395FF0"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203590F" w14:textId="77777777" w:rsidTr="001407A3">
        <w:trPr>
          <w:trHeight w:val="240"/>
          <w:jc w:val="center"/>
        </w:trPr>
        <w:tc>
          <w:tcPr>
            <w:tcW w:w="942" w:type="dxa"/>
            <w:tcBorders>
              <w:top w:val="single" w:sz="2" w:space="0" w:color="auto"/>
              <w:left w:val="single" w:sz="2" w:space="0" w:color="auto"/>
              <w:bottom w:val="single" w:sz="2" w:space="0" w:color="auto"/>
              <w:right w:val="single" w:sz="2" w:space="0" w:color="auto"/>
            </w:tcBorders>
            <w:vAlign w:val="center"/>
          </w:tcPr>
          <w:p w14:paraId="421023F8"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张瑞</w:t>
            </w:r>
          </w:p>
        </w:tc>
        <w:tc>
          <w:tcPr>
            <w:tcW w:w="2126" w:type="dxa"/>
            <w:tcBorders>
              <w:top w:val="single" w:sz="2" w:space="0" w:color="auto"/>
              <w:left w:val="single" w:sz="2" w:space="0" w:color="auto"/>
              <w:bottom w:val="single" w:sz="2" w:space="0" w:color="auto"/>
              <w:right w:val="single" w:sz="2" w:space="0" w:color="auto"/>
            </w:tcBorders>
            <w:vAlign w:val="center"/>
          </w:tcPr>
          <w:p w14:paraId="0040BBE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青岛新胜</w:t>
            </w:r>
            <w:proofErr w:type="gramStart"/>
            <w:r w:rsidRPr="00F614F9">
              <w:rPr>
                <w:rFonts w:ascii="Times New Roman" w:eastAsia="宋体" w:hAnsi="Times New Roman" w:cs="宋体"/>
                <w:sz w:val="18"/>
                <w:szCs w:val="18"/>
              </w:rPr>
              <w:t>锦食品</w:t>
            </w:r>
            <w:proofErr w:type="gramEnd"/>
            <w:r w:rsidRPr="00F614F9">
              <w:rPr>
                <w:rFonts w:ascii="Times New Roman" w:eastAsia="宋体" w:hAnsi="Times New Roman" w:cs="宋体"/>
                <w:sz w:val="18"/>
                <w:szCs w:val="18"/>
              </w:rPr>
              <w:t>商贸有限公司</w:t>
            </w:r>
          </w:p>
        </w:tc>
        <w:tc>
          <w:tcPr>
            <w:tcW w:w="1701" w:type="dxa"/>
            <w:tcBorders>
              <w:top w:val="single" w:sz="2" w:space="0" w:color="auto"/>
              <w:left w:val="single" w:sz="2" w:space="0" w:color="auto"/>
              <w:bottom w:val="single" w:sz="2" w:space="0" w:color="auto"/>
              <w:right w:val="single" w:sz="2" w:space="0" w:color="auto"/>
            </w:tcBorders>
            <w:vAlign w:val="center"/>
          </w:tcPr>
          <w:p w14:paraId="4E7592D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法定代表人、执行董事</w:t>
            </w:r>
          </w:p>
        </w:tc>
        <w:tc>
          <w:tcPr>
            <w:tcW w:w="1701" w:type="dxa"/>
            <w:tcBorders>
              <w:top w:val="single" w:sz="2" w:space="0" w:color="auto"/>
              <w:left w:val="single" w:sz="2" w:space="0" w:color="auto"/>
              <w:bottom w:val="single" w:sz="2" w:space="0" w:color="auto"/>
              <w:right w:val="single" w:sz="2" w:space="0" w:color="auto"/>
            </w:tcBorders>
            <w:vAlign w:val="center"/>
          </w:tcPr>
          <w:p w14:paraId="0F8E261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2020</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5B58BB4A" w14:textId="77777777" w:rsidR="001D26E7" w:rsidRPr="00F614F9" w:rsidRDefault="001D26E7">
            <w:pPr>
              <w:spacing w:line="240" w:lineRule="exact"/>
              <w:rPr>
                <w:rFonts w:ascii="Times New Roman" w:eastAsia="宋体" w:hAnsi="Times New Roman"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615EBC8"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2262D561" w14:textId="77777777" w:rsidTr="001407A3">
        <w:trPr>
          <w:trHeight w:val="240"/>
          <w:jc w:val="center"/>
        </w:trPr>
        <w:tc>
          <w:tcPr>
            <w:tcW w:w="942" w:type="dxa"/>
            <w:tcBorders>
              <w:top w:val="single" w:sz="2" w:space="0" w:color="auto"/>
              <w:left w:val="single" w:sz="2" w:space="0" w:color="auto"/>
              <w:bottom w:val="single" w:sz="2" w:space="0" w:color="auto"/>
              <w:right w:val="single" w:sz="2" w:space="0" w:color="auto"/>
            </w:tcBorders>
            <w:vAlign w:val="center"/>
          </w:tcPr>
          <w:p w14:paraId="157C629A"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张瑞</w:t>
            </w:r>
          </w:p>
        </w:tc>
        <w:tc>
          <w:tcPr>
            <w:tcW w:w="2126" w:type="dxa"/>
            <w:tcBorders>
              <w:top w:val="single" w:sz="2" w:space="0" w:color="auto"/>
              <w:left w:val="single" w:sz="2" w:space="0" w:color="auto"/>
              <w:bottom w:val="single" w:sz="2" w:space="0" w:color="auto"/>
              <w:right w:val="single" w:sz="2" w:space="0" w:color="auto"/>
            </w:tcBorders>
            <w:vAlign w:val="center"/>
          </w:tcPr>
          <w:p w14:paraId="5FDF72B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河南龙大牧原食品有限公司</w:t>
            </w:r>
          </w:p>
        </w:tc>
        <w:tc>
          <w:tcPr>
            <w:tcW w:w="1701" w:type="dxa"/>
            <w:tcBorders>
              <w:top w:val="single" w:sz="2" w:space="0" w:color="auto"/>
              <w:left w:val="single" w:sz="2" w:space="0" w:color="auto"/>
              <w:bottom w:val="single" w:sz="2" w:space="0" w:color="auto"/>
              <w:right w:val="single" w:sz="2" w:space="0" w:color="auto"/>
            </w:tcBorders>
            <w:vAlign w:val="center"/>
          </w:tcPr>
          <w:p w14:paraId="1A41400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董事</w:t>
            </w:r>
          </w:p>
        </w:tc>
        <w:tc>
          <w:tcPr>
            <w:tcW w:w="1701" w:type="dxa"/>
            <w:tcBorders>
              <w:top w:val="single" w:sz="2" w:space="0" w:color="auto"/>
              <w:left w:val="single" w:sz="2" w:space="0" w:color="auto"/>
              <w:bottom w:val="single" w:sz="2" w:space="0" w:color="auto"/>
              <w:right w:val="single" w:sz="2" w:space="0" w:color="auto"/>
            </w:tcBorders>
            <w:vAlign w:val="center"/>
          </w:tcPr>
          <w:p w14:paraId="5442536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2019</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0F86E18D" w14:textId="77777777" w:rsidR="001D26E7" w:rsidRPr="00F614F9" w:rsidRDefault="001D26E7">
            <w:pPr>
              <w:spacing w:line="240" w:lineRule="exact"/>
              <w:rPr>
                <w:rFonts w:ascii="Times New Roman" w:eastAsia="宋体" w:hAnsi="Times New Roman"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487A21C"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15F003BA" w14:textId="77777777" w:rsidTr="001407A3">
        <w:trPr>
          <w:trHeight w:val="240"/>
          <w:jc w:val="center"/>
        </w:trPr>
        <w:tc>
          <w:tcPr>
            <w:tcW w:w="942" w:type="dxa"/>
            <w:tcBorders>
              <w:top w:val="single" w:sz="2" w:space="0" w:color="auto"/>
              <w:left w:val="single" w:sz="2" w:space="0" w:color="auto"/>
              <w:bottom w:val="single" w:sz="2" w:space="0" w:color="auto"/>
              <w:right w:val="single" w:sz="2" w:space="0" w:color="auto"/>
            </w:tcBorders>
            <w:vAlign w:val="center"/>
          </w:tcPr>
          <w:p w14:paraId="44A0AF79"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张瑞</w:t>
            </w:r>
          </w:p>
        </w:tc>
        <w:tc>
          <w:tcPr>
            <w:tcW w:w="2126" w:type="dxa"/>
            <w:tcBorders>
              <w:top w:val="single" w:sz="2" w:space="0" w:color="auto"/>
              <w:left w:val="single" w:sz="2" w:space="0" w:color="auto"/>
              <w:bottom w:val="single" w:sz="2" w:space="0" w:color="auto"/>
              <w:right w:val="single" w:sz="2" w:space="0" w:color="auto"/>
            </w:tcBorders>
            <w:vAlign w:val="center"/>
          </w:tcPr>
          <w:p w14:paraId="63788880"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澭</w:t>
            </w:r>
            <w:proofErr w:type="gramEnd"/>
            <w:r w:rsidRPr="00F614F9">
              <w:rPr>
                <w:rFonts w:ascii="Times New Roman" w:eastAsia="宋体" w:hAnsi="Times New Roman" w:cs="宋体"/>
                <w:sz w:val="18"/>
                <w:szCs w:val="18"/>
              </w:rPr>
              <w:t>坊振</w:t>
            </w:r>
            <w:proofErr w:type="gramStart"/>
            <w:r w:rsidRPr="00F614F9">
              <w:rPr>
                <w:rFonts w:ascii="Times New Roman" w:eastAsia="宋体" w:hAnsi="Times New Roman" w:cs="宋体"/>
                <w:sz w:val="18"/>
                <w:szCs w:val="18"/>
              </w:rPr>
              <w:t>祥</w:t>
            </w:r>
            <w:proofErr w:type="gramEnd"/>
            <w:r w:rsidRPr="00F614F9">
              <w:rPr>
                <w:rFonts w:ascii="Times New Roman" w:eastAsia="宋体" w:hAnsi="Times New Roman" w:cs="宋体"/>
                <w:sz w:val="18"/>
                <w:szCs w:val="18"/>
              </w:rPr>
              <w:t>食品有限公司</w:t>
            </w:r>
          </w:p>
        </w:tc>
        <w:tc>
          <w:tcPr>
            <w:tcW w:w="1701" w:type="dxa"/>
            <w:tcBorders>
              <w:top w:val="single" w:sz="2" w:space="0" w:color="auto"/>
              <w:left w:val="single" w:sz="2" w:space="0" w:color="auto"/>
              <w:bottom w:val="single" w:sz="2" w:space="0" w:color="auto"/>
              <w:right w:val="single" w:sz="2" w:space="0" w:color="auto"/>
            </w:tcBorders>
            <w:vAlign w:val="center"/>
          </w:tcPr>
          <w:p w14:paraId="221984A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董事</w:t>
            </w:r>
          </w:p>
        </w:tc>
        <w:tc>
          <w:tcPr>
            <w:tcW w:w="1701" w:type="dxa"/>
            <w:tcBorders>
              <w:top w:val="single" w:sz="2" w:space="0" w:color="auto"/>
              <w:left w:val="single" w:sz="2" w:space="0" w:color="auto"/>
              <w:bottom w:val="single" w:sz="2" w:space="0" w:color="auto"/>
              <w:right w:val="single" w:sz="2" w:space="0" w:color="auto"/>
            </w:tcBorders>
            <w:vAlign w:val="center"/>
          </w:tcPr>
          <w:p w14:paraId="4802883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2018</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2431148E" w14:textId="77777777" w:rsidR="001D26E7" w:rsidRPr="00F614F9" w:rsidRDefault="001D26E7">
            <w:pPr>
              <w:spacing w:line="240" w:lineRule="exact"/>
              <w:rPr>
                <w:rFonts w:ascii="Times New Roman" w:eastAsia="宋体" w:hAnsi="Times New Roman"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9EE4C41"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E83E9E7" w14:textId="77777777" w:rsidTr="001407A3">
        <w:trPr>
          <w:trHeight w:val="240"/>
          <w:jc w:val="center"/>
        </w:trPr>
        <w:tc>
          <w:tcPr>
            <w:tcW w:w="942" w:type="dxa"/>
            <w:tcBorders>
              <w:top w:val="single" w:sz="2" w:space="0" w:color="auto"/>
              <w:left w:val="single" w:sz="2" w:space="0" w:color="auto"/>
              <w:bottom w:val="single" w:sz="2" w:space="0" w:color="auto"/>
              <w:right w:val="single" w:sz="2" w:space="0" w:color="auto"/>
            </w:tcBorders>
            <w:vAlign w:val="center"/>
          </w:tcPr>
          <w:p w14:paraId="33CBAD32"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张瑞</w:t>
            </w:r>
          </w:p>
        </w:tc>
        <w:tc>
          <w:tcPr>
            <w:tcW w:w="2126" w:type="dxa"/>
            <w:tcBorders>
              <w:top w:val="single" w:sz="2" w:space="0" w:color="auto"/>
              <w:left w:val="single" w:sz="2" w:space="0" w:color="auto"/>
              <w:bottom w:val="single" w:sz="2" w:space="0" w:color="auto"/>
              <w:right w:val="single" w:sz="2" w:space="0" w:color="auto"/>
            </w:tcBorders>
            <w:vAlign w:val="center"/>
          </w:tcPr>
          <w:p w14:paraId="27C01A9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蓬莱富龙肉食品有限公司</w:t>
            </w:r>
          </w:p>
        </w:tc>
        <w:tc>
          <w:tcPr>
            <w:tcW w:w="1701" w:type="dxa"/>
            <w:tcBorders>
              <w:top w:val="single" w:sz="2" w:space="0" w:color="auto"/>
              <w:left w:val="single" w:sz="2" w:space="0" w:color="auto"/>
              <w:bottom w:val="single" w:sz="2" w:space="0" w:color="auto"/>
              <w:right w:val="single" w:sz="2" w:space="0" w:color="auto"/>
            </w:tcBorders>
            <w:vAlign w:val="center"/>
          </w:tcPr>
          <w:p w14:paraId="0FC94BB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董事</w:t>
            </w:r>
          </w:p>
        </w:tc>
        <w:tc>
          <w:tcPr>
            <w:tcW w:w="1701" w:type="dxa"/>
            <w:tcBorders>
              <w:top w:val="single" w:sz="2" w:space="0" w:color="auto"/>
              <w:left w:val="single" w:sz="2" w:space="0" w:color="auto"/>
              <w:bottom w:val="single" w:sz="2" w:space="0" w:color="auto"/>
              <w:right w:val="single" w:sz="2" w:space="0" w:color="auto"/>
            </w:tcBorders>
            <w:vAlign w:val="center"/>
          </w:tcPr>
          <w:p w14:paraId="386A165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2019</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09</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58E84BFE" w14:textId="77777777" w:rsidR="001D26E7" w:rsidRPr="00F614F9" w:rsidRDefault="001D26E7">
            <w:pPr>
              <w:spacing w:line="240" w:lineRule="exact"/>
              <w:rPr>
                <w:rFonts w:ascii="Times New Roman" w:eastAsia="宋体" w:hAnsi="Times New Roman"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2B82C2F"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1B82E560" w14:textId="77777777" w:rsidTr="001407A3">
        <w:trPr>
          <w:trHeight w:val="240"/>
          <w:jc w:val="center"/>
        </w:trPr>
        <w:tc>
          <w:tcPr>
            <w:tcW w:w="942" w:type="dxa"/>
            <w:tcBorders>
              <w:top w:val="single" w:sz="2" w:space="0" w:color="auto"/>
              <w:left w:val="single" w:sz="2" w:space="0" w:color="auto"/>
              <w:bottom w:val="single" w:sz="2" w:space="0" w:color="auto"/>
              <w:right w:val="single" w:sz="2" w:space="0" w:color="auto"/>
            </w:tcBorders>
            <w:vAlign w:val="center"/>
          </w:tcPr>
          <w:p w14:paraId="35B13329"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张玮</w:t>
            </w:r>
          </w:p>
        </w:tc>
        <w:tc>
          <w:tcPr>
            <w:tcW w:w="2126" w:type="dxa"/>
            <w:tcBorders>
              <w:top w:val="single" w:sz="2" w:space="0" w:color="auto"/>
              <w:left w:val="single" w:sz="2" w:space="0" w:color="auto"/>
              <w:bottom w:val="single" w:sz="2" w:space="0" w:color="auto"/>
              <w:right w:val="single" w:sz="2" w:space="0" w:color="auto"/>
            </w:tcBorders>
            <w:vAlign w:val="center"/>
          </w:tcPr>
          <w:p w14:paraId="6A04897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701" w:type="dxa"/>
            <w:tcBorders>
              <w:top w:val="single" w:sz="2" w:space="0" w:color="auto"/>
              <w:left w:val="single" w:sz="2" w:space="0" w:color="auto"/>
              <w:bottom w:val="single" w:sz="2" w:space="0" w:color="auto"/>
              <w:right w:val="single" w:sz="2" w:space="0" w:color="auto"/>
            </w:tcBorders>
            <w:vAlign w:val="center"/>
          </w:tcPr>
          <w:p w14:paraId="4B1B088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监事</w:t>
            </w:r>
          </w:p>
        </w:tc>
        <w:tc>
          <w:tcPr>
            <w:tcW w:w="1701" w:type="dxa"/>
            <w:tcBorders>
              <w:top w:val="single" w:sz="2" w:space="0" w:color="auto"/>
              <w:left w:val="single" w:sz="2" w:space="0" w:color="auto"/>
              <w:bottom w:val="single" w:sz="2" w:space="0" w:color="auto"/>
              <w:right w:val="single" w:sz="2" w:space="0" w:color="auto"/>
            </w:tcBorders>
            <w:vAlign w:val="center"/>
          </w:tcPr>
          <w:p w14:paraId="6722080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2020</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1F9A626A" w14:textId="77777777" w:rsidR="001D26E7" w:rsidRPr="00F614F9" w:rsidRDefault="001D26E7">
            <w:pPr>
              <w:spacing w:line="240" w:lineRule="exact"/>
              <w:rPr>
                <w:rFonts w:ascii="Times New Roman" w:eastAsia="宋体" w:hAnsi="Times New Roman"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0BE31A3"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92FA48B" w14:textId="77777777" w:rsidTr="001407A3">
        <w:trPr>
          <w:trHeight w:val="240"/>
          <w:jc w:val="center"/>
        </w:trPr>
        <w:tc>
          <w:tcPr>
            <w:tcW w:w="942" w:type="dxa"/>
            <w:tcBorders>
              <w:top w:val="single" w:sz="2" w:space="0" w:color="auto"/>
              <w:left w:val="single" w:sz="2" w:space="0" w:color="auto"/>
              <w:bottom w:val="single" w:sz="2" w:space="0" w:color="auto"/>
              <w:right w:val="single" w:sz="2" w:space="0" w:color="auto"/>
            </w:tcBorders>
            <w:vAlign w:val="center"/>
          </w:tcPr>
          <w:p w14:paraId="07A65F55"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吴战宗</w:t>
            </w:r>
          </w:p>
        </w:tc>
        <w:tc>
          <w:tcPr>
            <w:tcW w:w="2126" w:type="dxa"/>
            <w:tcBorders>
              <w:top w:val="single" w:sz="2" w:space="0" w:color="auto"/>
              <w:left w:val="single" w:sz="2" w:space="0" w:color="auto"/>
              <w:bottom w:val="single" w:sz="2" w:space="0" w:color="auto"/>
              <w:right w:val="single" w:sz="2" w:space="0" w:color="auto"/>
            </w:tcBorders>
            <w:vAlign w:val="center"/>
          </w:tcPr>
          <w:p w14:paraId="14A3FB7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海南龙大美食有限责任公司</w:t>
            </w:r>
          </w:p>
        </w:tc>
        <w:tc>
          <w:tcPr>
            <w:tcW w:w="1701" w:type="dxa"/>
            <w:tcBorders>
              <w:top w:val="single" w:sz="2" w:space="0" w:color="auto"/>
              <w:left w:val="single" w:sz="2" w:space="0" w:color="auto"/>
              <w:bottom w:val="single" w:sz="2" w:space="0" w:color="auto"/>
              <w:right w:val="single" w:sz="2" w:space="0" w:color="auto"/>
            </w:tcBorders>
            <w:vAlign w:val="center"/>
          </w:tcPr>
          <w:p w14:paraId="71F39DB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监事</w:t>
            </w:r>
          </w:p>
        </w:tc>
        <w:tc>
          <w:tcPr>
            <w:tcW w:w="1701" w:type="dxa"/>
            <w:tcBorders>
              <w:top w:val="single" w:sz="2" w:space="0" w:color="auto"/>
              <w:left w:val="single" w:sz="2" w:space="0" w:color="auto"/>
              <w:bottom w:val="single" w:sz="2" w:space="0" w:color="auto"/>
              <w:right w:val="single" w:sz="2" w:space="0" w:color="auto"/>
            </w:tcBorders>
            <w:vAlign w:val="center"/>
          </w:tcPr>
          <w:p w14:paraId="29F5AF7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5159126A" w14:textId="77777777" w:rsidR="001D26E7" w:rsidRPr="00F614F9" w:rsidRDefault="001D26E7">
            <w:pPr>
              <w:spacing w:line="240" w:lineRule="exact"/>
              <w:rPr>
                <w:rFonts w:ascii="Times New Roman" w:eastAsia="宋体" w:hAnsi="Times New Roman"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1245076"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3CBCE983" w14:textId="77777777" w:rsidTr="001407A3">
        <w:trPr>
          <w:trHeight w:val="240"/>
          <w:jc w:val="center"/>
        </w:trPr>
        <w:tc>
          <w:tcPr>
            <w:tcW w:w="942" w:type="dxa"/>
            <w:tcBorders>
              <w:top w:val="single" w:sz="2" w:space="0" w:color="auto"/>
              <w:left w:val="single" w:sz="2" w:space="0" w:color="auto"/>
              <w:bottom w:val="single" w:sz="2" w:space="0" w:color="auto"/>
              <w:right w:val="single" w:sz="2" w:space="0" w:color="auto"/>
            </w:tcBorders>
            <w:vAlign w:val="center"/>
          </w:tcPr>
          <w:p w14:paraId="43C854FE"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刘婧</w:t>
            </w:r>
          </w:p>
        </w:tc>
        <w:tc>
          <w:tcPr>
            <w:tcW w:w="2126" w:type="dxa"/>
            <w:tcBorders>
              <w:top w:val="single" w:sz="2" w:space="0" w:color="auto"/>
              <w:left w:val="single" w:sz="2" w:space="0" w:color="auto"/>
              <w:bottom w:val="single" w:sz="2" w:space="0" w:color="auto"/>
              <w:right w:val="single" w:sz="2" w:space="0" w:color="auto"/>
            </w:tcBorders>
            <w:vAlign w:val="center"/>
          </w:tcPr>
          <w:p w14:paraId="77716EB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海南龙大美食有限责任公司</w:t>
            </w:r>
          </w:p>
        </w:tc>
        <w:tc>
          <w:tcPr>
            <w:tcW w:w="1701" w:type="dxa"/>
            <w:tcBorders>
              <w:top w:val="single" w:sz="2" w:space="0" w:color="auto"/>
              <w:left w:val="single" w:sz="2" w:space="0" w:color="auto"/>
              <w:bottom w:val="single" w:sz="2" w:space="0" w:color="auto"/>
              <w:right w:val="single" w:sz="2" w:space="0" w:color="auto"/>
            </w:tcBorders>
            <w:vAlign w:val="center"/>
          </w:tcPr>
          <w:p w14:paraId="55B11F2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法定代表人、执行董事兼总经理</w:t>
            </w:r>
          </w:p>
        </w:tc>
        <w:tc>
          <w:tcPr>
            <w:tcW w:w="1701" w:type="dxa"/>
            <w:tcBorders>
              <w:top w:val="single" w:sz="2" w:space="0" w:color="auto"/>
              <w:left w:val="single" w:sz="2" w:space="0" w:color="auto"/>
              <w:bottom w:val="single" w:sz="2" w:space="0" w:color="auto"/>
              <w:right w:val="single" w:sz="2" w:space="0" w:color="auto"/>
            </w:tcBorders>
            <w:vAlign w:val="center"/>
          </w:tcPr>
          <w:p w14:paraId="0705B9E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01BA4B8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28</w:t>
            </w:r>
            <w:r w:rsidRPr="00F614F9">
              <w:rPr>
                <w:rFonts w:ascii="Times New Roman" w:eastAsia="宋体" w:hAnsi="Times New Roman" w:cs="宋体"/>
                <w:sz w:val="18"/>
                <w:szCs w:val="18"/>
              </w:rPr>
              <w:t>日</w:t>
            </w:r>
          </w:p>
        </w:tc>
        <w:tc>
          <w:tcPr>
            <w:tcW w:w="1559" w:type="dxa"/>
            <w:tcBorders>
              <w:top w:val="single" w:sz="2" w:space="0" w:color="auto"/>
              <w:left w:val="single" w:sz="2" w:space="0" w:color="auto"/>
              <w:bottom w:val="single" w:sz="2" w:space="0" w:color="auto"/>
              <w:right w:val="single" w:sz="2" w:space="0" w:color="auto"/>
            </w:tcBorders>
            <w:vAlign w:val="center"/>
          </w:tcPr>
          <w:p w14:paraId="62F06E1B"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5E6CD24A" w14:textId="77777777" w:rsidTr="001407A3">
        <w:trPr>
          <w:trHeight w:val="240"/>
          <w:jc w:val="center"/>
        </w:trPr>
        <w:tc>
          <w:tcPr>
            <w:tcW w:w="942" w:type="dxa"/>
            <w:tcBorders>
              <w:top w:val="single" w:sz="2" w:space="0" w:color="auto"/>
              <w:left w:val="single" w:sz="2" w:space="0" w:color="auto"/>
              <w:bottom w:val="single" w:sz="2" w:space="0" w:color="auto"/>
              <w:right w:val="single" w:sz="2" w:space="0" w:color="auto"/>
            </w:tcBorders>
            <w:vAlign w:val="center"/>
          </w:tcPr>
          <w:p w14:paraId="3657200E"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刘婧</w:t>
            </w:r>
          </w:p>
        </w:tc>
        <w:tc>
          <w:tcPr>
            <w:tcW w:w="2126" w:type="dxa"/>
            <w:tcBorders>
              <w:top w:val="single" w:sz="2" w:space="0" w:color="auto"/>
              <w:left w:val="single" w:sz="2" w:space="0" w:color="auto"/>
              <w:bottom w:val="single" w:sz="2" w:space="0" w:color="auto"/>
              <w:right w:val="single" w:sz="2" w:space="0" w:color="auto"/>
            </w:tcBorders>
            <w:vAlign w:val="center"/>
          </w:tcPr>
          <w:p w14:paraId="47758E4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青岛龙大鲜</w:t>
            </w:r>
            <w:proofErr w:type="gramStart"/>
            <w:r w:rsidRPr="00F614F9">
              <w:rPr>
                <w:rFonts w:ascii="Times New Roman" w:eastAsia="宋体" w:hAnsi="Times New Roman" w:cs="宋体"/>
                <w:sz w:val="18"/>
                <w:szCs w:val="18"/>
              </w:rPr>
              <w:t>生供应</w:t>
            </w:r>
            <w:proofErr w:type="gramEnd"/>
            <w:r w:rsidRPr="00F614F9">
              <w:rPr>
                <w:rFonts w:ascii="Times New Roman" w:eastAsia="宋体" w:hAnsi="Times New Roman" w:cs="宋体"/>
                <w:sz w:val="18"/>
                <w:szCs w:val="18"/>
              </w:rPr>
              <w:t>链有限公司</w:t>
            </w:r>
          </w:p>
        </w:tc>
        <w:tc>
          <w:tcPr>
            <w:tcW w:w="1701" w:type="dxa"/>
            <w:tcBorders>
              <w:top w:val="single" w:sz="2" w:space="0" w:color="auto"/>
              <w:left w:val="single" w:sz="2" w:space="0" w:color="auto"/>
              <w:bottom w:val="single" w:sz="2" w:space="0" w:color="auto"/>
              <w:right w:val="single" w:sz="2" w:space="0" w:color="auto"/>
            </w:tcBorders>
            <w:vAlign w:val="center"/>
          </w:tcPr>
          <w:p w14:paraId="03E027C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法定代表人、董事长</w:t>
            </w:r>
          </w:p>
        </w:tc>
        <w:tc>
          <w:tcPr>
            <w:tcW w:w="1701" w:type="dxa"/>
            <w:tcBorders>
              <w:top w:val="single" w:sz="2" w:space="0" w:color="auto"/>
              <w:left w:val="single" w:sz="2" w:space="0" w:color="auto"/>
              <w:bottom w:val="single" w:sz="2" w:space="0" w:color="auto"/>
              <w:right w:val="single" w:sz="2" w:space="0" w:color="auto"/>
            </w:tcBorders>
            <w:vAlign w:val="center"/>
          </w:tcPr>
          <w:p w14:paraId="49633CB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13</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7F1DD5A7" w14:textId="77777777" w:rsidR="001D26E7" w:rsidRPr="00F614F9" w:rsidRDefault="001D26E7">
            <w:pPr>
              <w:spacing w:line="240" w:lineRule="exact"/>
              <w:rPr>
                <w:rFonts w:ascii="Times New Roman" w:eastAsia="宋体" w:hAnsi="Times New Roman"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69A744F"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2FE46690" w14:textId="77777777" w:rsidTr="001407A3">
        <w:trPr>
          <w:trHeight w:val="240"/>
          <w:jc w:val="center"/>
        </w:trPr>
        <w:tc>
          <w:tcPr>
            <w:tcW w:w="942" w:type="dxa"/>
            <w:tcBorders>
              <w:top w:val="single" w:sz="2" w:space="0" w:color="auto"/>
              <w:left w:val="single" w:sz="2" w:space="0" w:color="auto"/>
              <w:bottom w:val="single" w:sz="2" w:space="0" w:color="auto"/>
              <w:right w:val="single" w:sz="2" w:space="0" w:color="auto"/>
            </w:tcBorders>
            <w:vAlign w:val="center"/>
          </w:tcPr>
          <w:p w14:paraId="0FCC47B0"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刘婧</w:t>
            </w:r>
          </w:p>
        </w:tc>
        <w:tc>
          <w:tcPr>
            <w:tcW w:w="2126" w:type="dxa"/>
            <w:tcBorders>
              <w:top w:val="single" w:sz="2" w:space="0" w:color="auto"/>
              <w:left w:val="single" w:sz="2" w:space="0" w:color="auto"/>
              <w:bottom w:val="single" w:sz="2" w:space="0" w:color="auto"/>
              <w:right w:val="single" w:sz="2" w:space="0" w:color="auto"/>
            </w:tcBorders>
            <w:vAlign w:val="center"/>
          </w:tcPr>
          <w:p w14:paraId="2AE6E68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四川龙鲜活供应链有限公司</w:t>
            </w:r>
          </w:p>
        </w:tc>
        <w:tc>
          <w:tcPr>
            <w:tcW w:w="1701" w:type="dxa"/>
            <w:tcBorders>
              <w:top w:val="single" w:sz="2" w:space="0" w:color="auto"/>
              <w:left w:val="single" w:sz="2" w:space="0" w:color="auto"/>
              <w:bottom w:val="single" w:sz="2" w:space="0" w:color="auto"/>
              <w:right w:val="single" w:sz="2" w:space="0" w:color="auto"/>
            </w:tcBorders>
            <w:vAlign w:val="center"/>
          </w:tcPr>
          <w:p w14:paraId="7725CC3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法定代表人、执行董事兼经理</w:t>
            </w:r>
          </w:p>
        </w:tc>
        <w:tc>
          <w:tcPr>
            <w:tcW w:w="1701" w:type="dxa"/>
            <w:tcBorders>
              <w:top w:val="single" w:sz="2" w:space="0" w:color="auto"/>
              <w:left w:val="single" w:sz="2" w:space="0" w:color="auto"/>
              <w:bottom w:val="single" w:sz="2" w:space="0" w:color="auto"/>
              <w:right w:val="single" w:sz="2" w:space="0" w:color="auto"/>
            </w:tcBorders>
            <w:vAlign w:val="center"/>
          </w:tcPr>
          <w:p w14:paraId="00181C4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380239A5" w14:textId="77777777" w:rsidR="001D26E7" w:rsidRPr="00F614F9" w:rsidRDefault="001D26E7">
            <w:pPr>
              <w:spacing w:line="240" w:lineRule="exact"/>
              <w:rPr>
                <w:rFonts w:ascii="Times New Roman" w:eastAsia="宋体" w:hAnsi="Times New Roman"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86A44F6"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2E767286" w14:textId="77777777" w:rsidTr="001407A3">
        <w:trPr>
          <w:trHeight w:val="240"/>
          <w:jc w:val="center"/>
        </w:trPr>
        <w:tc>
          <w:tcPr>
            <w:tcW w:w="942" w:type="dxa"/>
            <w:tcBorders>
              <w:top w:val="single" w:sz="2" w:space="0" w:color="auto"/>
              <w:left w:val="single" w:sz="2" w:space="0" w:color="auto"/>
              <w:bottom w:val="single" w:sz="2" w:space="0" w:color="auto"/>
              <w:right w:val="single" w:sz="2" w:space="0" w:color="auto"/>
            </w:tcBorders>
            <w:vAlign w:val="center"/>
          </w:tcPr>
          <w:p w14:paraId="683F69F1"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刘婧</w:t>
            </w:r>
          </w:p>
        </w:tc>
        <w:tc>
          <w:tcPr>
            <w:tcW w:w="2126" w:type="dxa"/>
            <w:tcBorders>
              <w:top w:val="single" w:sz="2" w:space="0" w:color="auto"/>
              <w:left w:val="single" w:sz="2" w:space="0" w:color="auto"/>
              <w:bottom w:val="single" w:sz="2" w:space="0" w:color="auto"/>
              <w:right w:val="single" w:sz="2" w:space="0" w:color="auto"/>
            </w:tcBorders>
            <w:vAlign w:val="center"/>
          </w:tcPr>
          <w:p w14:paraId="63D0354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四川龙炸餐饮管理有限公司</w:t>
            </w:r>
          </w:p>
        </w:tc>
        <w:tc>
          <w:tcPr>
            <w:tcW w:w="1701" w:type="dxa"/>
            <w:tcBorders>
              <w:top w:val="single" w:sz="2" w:space="0" w:color="auto"/>
              <w:left w:val="single" w:sz="2" w:space="0" w:color="auto"/>
              <w:bottom w:val="single" w:sz="2" w:space="0" w:color="auto"/>
              <w:right w:val="single" w:sz="2" w:space="0" w:color="auto"/>
            </w:tcBorders>
            <w:vAlign w:val="center"/>
          </w:tcPr>
          <w:p w14:paraId="45984F1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法定代表人、董事长</w:t>
            </w:r>
          </w:p>
        </w:tc>
        <w:tc>
          <w:tcPr>
            <w:tcW w:w="1701" w:type="dxa"/>
            <w:tcBorders>
              <w:top w:val="single" w:sz="2" w:space="0" w:color="auto"/>
              <w:left w:val="single" w:sz="2" w:space="0" w:color="auto"/>
              <w:bottom w:val="single" w:sz="2" w:space="0" w:color="auto"/>
              <w:right w:val="single" w:sz="2" w:space="0" w:color="auto"/>
            </w:tcBorders>
            <w:vAlign w:val="center"/>
          </w:tcPr>
          <w:p w14:paraId="7F1DFF1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28</w:t>
            </w:r>
            <w:r w:rsidRPr="00F614F9">
              <w:rPr>
                <w:rFonts w:ascii="Times New Roman" w:eastAsia="宋体" w:hAnsi="Times New Roman"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3CCFECDF" w14:textId="77777777" w:rsidR="001D26E7" w:rsidRPr="00F614F9" w:rsidRDefault="001D26E7">
            <w:pPr>
              <w:spacing w:line="240" w:lineRule="exact"/>
              <w:rPr>
                <w:rFonts w:ascii="Times New Roman" w:eastAsia="宋体" w:hAnsi="Times New Roman"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FBF06D9"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bl>
    <w:p w14:paraId="1114414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公司现任及报告期内离任董事、监事和高级管理人员近三年证券监管机构处罚的情况</w:t>
      </w:r>
    </w:p>
    <w:p w14:paraId="5119A014"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5F1F0431" w14:textId="77777777" w:rsidR="001D26E7" w:rsidRPr="00F614F9" w:rsidRDefault="00000000">
      <w:pPr>
        <w:pStyle w:val="3"/>
        <w:spacing w:line="280" w:lineRule="exact"/>
        <w:jc w:val="left"/>
        <w:rPr>
          <w:rFonts w:ascii="Times New Roman" w:hAnsi="Times New Roman" w:cs="宋体"/>
          <w:b/>
          <w:bCs/>
        </w:rPr>
      </w:pPr>
      <w:bookmarkStart w:id="92" w:name="_Toc988954"/>
      <w:r w:rsidRPr="00F614F9">
        <w:rPr>
          <w:rFonts w:ascii="Times New Roman" w:hAnsi="Times New Roman" w:cs="宋体"/>
          <w:b/>
          <w:bCs/>
        </w:rPr>
        <w:lastRenderedPageBreak/>
        <w:t>3</w:t>
      </w:r>
      <w:r w:rsidRPr="00F614F9">
        <w:rPr>
          <w:rFonts w:ascii="Times New Roman" w:hAnsi="Times New Roman" w:cs="宋体"/>
          <w:b/>
          <w:bCs/>
        </w:rPr>
        <w:t>、董事、监事、高级管理人员报酬情况</w:t>
      </w:r>
      <w:bookmarkEnd w:id="92"/>
    </w:p>
    <w:p w14:paraId="43F0BF5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董事、监事、高级管理人员报酬的决策程序、确定依据、实际支付情况</w:t>
      </w:r>
    </w:p>
    <w:p w14:paraId="05E949E5" w14:textId="77777777" w:rsidR="00872599" w:rsidRPr="00F614F9" w:rsidRDefault="00000000">
      <w:pPr>
        <w:pStyle w:val="a3"/>
        <w:divId w:val="1985695936"/>
        <w:rPr>
          <w:rFonts w:ascii="Times New Roman" w:hAnsi="Times New Roman"/>
          <w:sz w:val="18"/>
          <w:szCs w:val="18"/>
        </w:rPr>
      </w:pPr>
      <w:r w:rsidRPr="00F614F9">
        <w:rPr>
          <w:rFonts w:ascii="Times New Roman" w:hAnsi="Times New Roman" w:hint="eastAsia"/>
          <w:sz w:val="18"/>
          <w:szCs w:val="18"/>
        </w:rPr>
        <w:t>董事、监事的报酬分别由董事会、监事会提出议案，报股东大会批准，公司总经理、副总经理、董事会秘书、财务总监等高级管理人员的报酬由公司薪酬与考核委员会提出议案，报董事会批准。</w:t>
      </w:r>
    </w:p>
    <w:p w14:paraId="61C48F23"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公司报告期内董事、监事和高级管理人员报酬情况</w:t>
      </w:r>
    </w:p>
    <w:p w14:paraId="4CB40D5A"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单位：万元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1D26E7" w:rsidRPr="00F614F9" w14:paraId="1765B415"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271152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姓名</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74562B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性别</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BE9EA3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年龄</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7CC107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职务</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AA1354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任职状态</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5866CB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从公司获得的税前报酬总额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104921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是否在公司关联方获取报酬</w:t>
            </w:r>
          </w:p>
        </w:tc>
      </w:tr>
      <w:tr w:rsidR="001D26E7" w:rsidRPr="00F614F9" w14:paraId="6BBA19C4" w14:textId="77777777" w:rsidTr="001407A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3BA4BCB"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杨晓初</w:t>
            </w:r>
          </w:p>
        </w:tc>
        <w:tc>
          <w:tcPr>
            <w:tcW w:w="1377" w:type="dxa"/>
            <w:tcBorders>
              <w:top w:val="single" w:sz="2" w:space="0" w:color="auto"/>
              <w:left w:val="single" w:sz="2" w:space="0" w:color="auto"/>
              <w:bottom w:val="single" w:sz="2" w:space="0" w:color="auto"/>
              <w:right w:val="single" w:sz="2" w:space="0" w:color="auto"/>
            </w:tcBorders>
            <w:vAlign w:val="center"/>
          </w:tcPr>
          <w:p w14:paraId="0CFA6D23"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14:paraId="7E3988A4"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54</w:t>
            </w:r>
          </w:p>
        </w:tc>
        <w:tc>
          <w:tcPr>
            <w:tcW w:w="1377" w:type="dxa"/>
            <w:tcBorders>
              <w:top w:val="single" w:sz="2" w:space="0" w:color="auto"/>
              <w:left w:val="single" w:sz="2" w:space="0" w:color="auto"/>
              <w:bottom w:val="single" w:sz="2" w:space="0" w:color="auto"/>
              <w:right w:val="single" w:sz="2" w:space="0" w:color="auto"/>
            </w:tcBorders>
            <w:vAlign w:val="center"/>
          </w:tcPr>
          <w:p w14:paraId="003BECE0"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董事长</w:t>
            </w:r>
          </w:p>
        </w:tc>
        <w:tc>
          <w:tcPr>
            <w:tcW w:w="1377" w:type="dxa"/>
            <w:tcBorders>
              <w:top w:val="single" w:sz="2" w:space="0" w:color="auto"/>
              <w:left w:val="single" w:sz="2" w:space="0" w:color="auto"/>
              <w:bottom w:val="single" w:sz="2" w:space="0" w:color="auto"/>
              <w:right w:val="single" w:sz="2" w:space="0" w:color="auto"/>
            </w:tcBorders>
            <w:vAlign w:val="center"/>
          </w:tcPr>
          <w:p w14:paraId="15FAF311"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574B94AA"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8.1</w:t>
            </w:r>
          </w:p>
        </w:tc>
        <w:tc>
          <w:tcPr>
            <w:tcW w:w="1377" w:type="dxa"/>
            <w:tcBorders>
              <w:top w:val="single" w:sz="2" w:space="0" w:color="auto"/>
              <w:left w:val="single" w:sz="2" w:space="0" w:color="auto"/>
              <w:bottom w:val="single" w:sz="2" w:space="0" w:color="auto"/>
              <w:right w:val="single" w:sz="2" w:space="0" w:color="auto"/>
            </w:tcBorders>
            <w:vAlign w:val="center"/>
          </w:tcPr>
          <w:p w14:paraId="09931C87"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r>
      <w:tr w:rsidR="001D26E7" w:rsidRPr="00F614F9" w14:paraId="1411B018" w14:textId="77777777" w:rsidTr="001407A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D7B7348"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王豪杰</w:t>
            </w:r>
          </w:p>
        </w:tc>
        <w:tc>
          <w:tcPr>
            <w:tcW w:w="1377" w:type="dxa"/>
            <w:tcBorders>
              <w:top w:val="single" w:sz="2" w:space="0" w:color="auto"/>
              <w:left w:val="single" w:sz="2" w:space="0" w:color="auto"/>
              <w:bottom w:val="single" w:sz="2" w:space="0" w:color="auto"/>
              <w:right w:val="single" w:sz="2" w:space="0" w:color="auto"/>
            </w:tcBorders>
            <w:vAlign w:val="center"/>
          </w:tcPr>
          <w:p w14:paraId="64026D64"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14:paraId="4C2B862B"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47</w:t>
            </w:r>
          </w:p>
        </w:tc>
        <w:tc>
          <w:tcPr>
            <w:tcW w:w="1377" w:type="dxa"/>
            <w:tcBorders>
              <w:top w:val="single" w:sz="2" w:space="0" w:color="auto"/>
              <w:left w:val="single" w:sz="2" w:space="0" w:color="auto"/>
              <w:bottom w:val="single" w:sz="2" w:space="0" w:color="auto"/>
              <w:right w:val="single" w:sz="2" w:space="0" w:color="auto"/>
            </w:tcBorders>
            <w:vAlign w:val="center"/>
          </w:tcPr>
          <w:p w14:paraId="3CC70E97"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董事、总经理</w:t>
            </w:r>
          </w:p>
        </w:tc>
        <w:tc>
          <w:tcPr>
            <w:tcW w:w="1377" w:type="dxa"/>
            <w:tcBorders>
              <w:top w:val="single" w:sz="2" w:space="0" w:color="auto"/>
              <w:left w:val="single" w:sz="2" w:space="0" w:color="auto"/>
              <w:bottom w:val="single" w:sz="2" w:space="0" w:color="auto"/>
              <w:right w:val="single" w:sz="2" w:space="0" w:color="auto"/>
            </w:tcBorders>
            <w:vAlign w:val="center"/>
          </w:tcPr>
          <w:p w14:paraId="3B879112"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5AD52DB0"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29.6</w:t>
            </w:r>
          </w:p>
        </w:tc>
        <w:tc>
          <w:tcPr>
            <w:tcW w:w="1377" w:type="dxa"/>
            <w:tcBorders>
              <w:top w:val="single" w:sz="2" w:space="0" w:color="auto"/>
              <w:left w:val="single" w:sz="2" w:space="0" w:color="auto"/>
              <w:bottom w:val="single" w:sz="2" w:space="0" w:color="auto"/>
              <w:right w:val="single" w:sz="2" w:space="0" w:color="auto"/>
            </w:tcBorders>
            <w:vAlign w:val="center"/>
          </w:tcPr>
          <w:p w14:paraId="3F46A416"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161E5868" w14:textId="77777777" w:rsidTr="001407A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59D42DE"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张瑞</w:t>
            </w:r>
          </w:p>
        </w:tc>
        <w:tc>
          <w:tcPr>
            <w:tcW w:w="1377" w:type="dxa"/>
            <w:tcBorders>
              <w:top w:val="single" w:sz="2" w:space="0" w:color="auto"/>
              <w:left w:val="single" w:sz="2" w:space="0" w:color="auto"/>
              <w:bottom w:val="single" w:sz="2" w:space="0" w:color="auto"/>
              <w:right w:val="single" w:sz="2" w:space="0" w:color="auto"/>
            </w:tcBorders>
            <w:vAlign w:val="center"/>
          </w:tcPr>
          <w:p w14:paraId="7D1AF053"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14:paraId="0D828A67"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43</w:t>
            </w:r>
          </w:p>
        </w:tc>
        <w:tc>
          <w:tcPr>
            <w:tcW w:w="1377" w:type="dxa"/>
            <w:tcBorders>
              <w:top w:val="single" w:sz="2" w:space="0" w:color="auto"/>
              <w:left w:val="single" w:sz="2" w:space="0" w:color="auto"/>
              <w:bottom w:val="single" w:sz="2" w:space="0" w:color="auto"/>
              <w:right w:val="single" w:sz="2" w:space="0" w:color="auto"/>
            </w:tcBorders>
            <w:vAlign w:val="center"/>
          </w:tcPr>
          <w:p w14:paraId="64045AC5"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董事、董秘、副经理</w:t>
            </w:r>
          </w:p>
        </w:tc>
        <w:tc>
          <w:tcPr>
            <w:tcW w:w="1377" w:type="dxa"/>
            <w:tcBorders>
              <w:top w:val="single" w:sz="2" w:space="0" w:color="auto"/>
              <w:left w:val="single" w:sz="2" w:space="0" w:color="auto"/>
              <w:bottom w:val="single" w:sz="2" w:space="0" w:color="auto"/>
              <w:right w:val="single" w:sz="2" w:space="0" w:color="auto"/>
            </w:tcBorders>
            <w:vAlign w:val="center"/>
          </w:tcPr>
          <w:p w14:paraId="161B311A"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2C377DC0"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32.59</w:t>
            </w:r>
          </w:p>
        </w:tc>
        <w:tc>
          <w:tcPr>
            <w:tcW w:w="1377" w:type="dxa"/>
            <w:tcBorders>
              <w:top w:val="single" w:sz="2" w:space="0" w:color="auto"/>
              <w:left w:val="single" w:sz="2" w:space="0" w:color="auto"/>
              <w:bottom w:val="single" w:sz="2" w:space="0" w:color="auto"/>
              <w:right w:val="single" w:sz="2" w:space="0" w:color="auto"/>
            </w:tcBorders>
            <w:vAlign w:val="center"/>
          </w:tcPr>
          <w:p w14:paraId="67DFF747"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7F03AC95" w14:textId="77777777" w:rsidTr="001407A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53239B1"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祝波</w:t>
            </w:r>
          </w:p>
        </w:tc>
        <w:tc>
          <w:tcPr>
            <w:tcW w:w="1377" w:type="dxa"/>
            <w:tcBorders>
              <w:top w:val="single" w:sz="2" w:space="0" w:color="auto"/>
              <w:left w:val="single" w:sz="2" w:space="0" w:color="auto"/>
              <w:bottom w:val="single" w:sz="2" w:space="0" w:color="auto"/>
              <w:right w:val="single" w:sz="2" w:space="0" w:color="auto"/>
            </w:tcBorders>
            <w:vAlign w:val="center"/>
          </w:tcPr>
          <w:p w14:paraId="12DBFFB7"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14:paraId="1CEDBCBD"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42</w:t>
            </w:r>
          </w:p>
        </w:tc>
        <w:tc>
          <w:tcPr>
            <w:tcW w:w="1377" w:type="dxa"/>
            <w:tcBorders>
              <w:top w:val="single" w:sz="2" w:space="0" w:color="auto"/>
              <w:left w:val="single" w:sz="2" w:space="0" w:color="auto"/>
              <w:bottom w:val="single" w:sz="2" w:space="0" w:color="auto"/>
              <w:right w:val="single" w:sz="2" w:space="0" w:color="auto"/>
            </w:tcBorders>
            <w:vAlign w:val="center"/>
          </w:tcPr>
          <w:p w14:paraId="676E6D68"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董事</w:t>
            </w:r>
          </w:p>
        </w:tc>
        <w:tc>
          <w:tcPr>
            <w:tcW w:w="1377" w:type="dxa"/>
            <w:tcBorders>
              <w:top w:val="single" w:sz="2" w:space="0" w:color="auto"/>
              <w:left w:val="single" w:sz="2" w:space="0" w:color="auto"/>
              <w:bottom w:val="single" w:sz="2" w:space="0" w:color="auto"/>
              <w:right w:val="single" w:sz="2" w:space="0" w:color="auto"/>
            </w:tcBorders>
            <w:vAlign w:val="center"/>
          </w:tcPr>
          <w:p w14:paraId="12682B51"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4152718E"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12DB3818"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r>
      <w:tr w:rsidR="001D26E7" w:rsidRPr="00F614F9" w14:paraId="3150F046" w14:textId="77777777" w:rsidTr="001407A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B00D55A"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周婧</w:t>
            </w:r>
          </w:p>
        </w:tc>
        <w:tc>
          <w:tcPr>
            <w:tcW w:w="1377" w:type="dxa"/>
            <w:tcBorders>
              <w:top w:val="single" w:sz="2" w:space="0" w:color="auto"/>
              <w:left w:val="single" w:sz="2" w:space="0" w:color="auto"/>
              <w:bottom w:val="single" w:sz="2" w:space="0" w:color="auto"/>
              <w:right w:val="single" w:sz="2" w:space="0" w:color="auto"/>
            </w:tcBorders>
            <w:vAlign w:val="center"/>
          </w:tcPr>
          <w:p w14:paraId="7A05B608"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女</w:t>
            </w:r>
          </w:p>
        </w:tc>
        <w:tc>
          <w:tcPr>
            <w:tcW w:w="1377" w:type="dxa"/>
            <w:tcBorders>
              <w:top w:val="single" w:sz="2" w:space="0" w:color="auto"/>
              <w:left w:val="single" w:sz="2" w:space="0" w:color="auto"/>
              <w:bottom w:val="single" w:sz="2" w:space="0" w:color="auto"/>
              <w:right w:val="single" w:sz="2" w:space="0" w:color="auto"/>
            </w:tcBorders>
            <w:vAlign w:val="center"/>
          </w:tcPr>
          <w:p w14:paraId="48255707"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40</w:t>
            </w:r>
          </w:p>
        </w:tc>
        <w:tc>
          <w:tcPr>
            <w:tcW w:w="1377" w:type="dxa"/>
            <w:tcBorders>
              <w:top w:val="single" w:sz="2" w:space="0" w:color="auto"/>
              <w:left w:val="single" w:sz="2" w:space="0" w:color="auto"/>
              <w:bottom w:val="single" w:sz="2" w:space="0" w:color="auto"/>
              <w:right w:val="single" w:sz="2" w:space="0" w:color="auto"/>
            </w:tcBorders>
            <w:vAlign w:val="center"/>
          </w:tcPr>
          <w:p w14:paraId="5B8886C7"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14:paraId="1FA754F7"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717344F2"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w:t>
            </w:r>
          </w:p>
        </w:tc>
        <w:tc>
          <w:tcPr>
            <w:tcW w:w="1377" w:type="dxa"/>
            <w:tcBorders>
              <w:top w:val="single" w:sz="2" w:space="0" w:color="auto"/>
              <w:left w:val="single" w:sz="2" w:space="0" w:color="auto"/>
              <w:bottom w:val="single" w:sz="2" w:space="0" w:color="auto"/>
              <w:right w:val="single" w:sz="2" w:space="0" w:color="auto"/>
            </w:tcBorders>
            <w:vAlign w:val="center"/>
          </w:tcPr>
          <w:p w14:paraId="6E28E11C"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0A58798A" w14:textId="77777777" w:rsidTr="001407A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91E8613"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杨帆</w:t>
            </w:r>
          </w:p>
        </w:tc>
        <w:tc>
          <w:tcPr>
            <w:tcW w:w="1377" w:type="dxa"/>
            <w:tcBorders>
              <w:top w:val="single" w:sz="2" w:space="0" w:color="auto"/>
              <w:left w:val="single" w:sz="2" w:space="0" w:color="auto"/>
              <w:bottom w:val="single" w:sz="2" w:space="0" w:color="auto"/>
              <w:right w:val="single" w:sz="2" w:space="0" w:color="auto"/>
            </w:tcBorders>
            <w:vAlign w:val="center"/>
          </w:tcPr>
          <w:p w14:paraId="730A35CE"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女</w:t>
            </w:r>
          </w:p>
        </w:tc>
        <w:tc>
          <w:tcPr>
            <w:tcW w:w="1377" w:type="dxa"/>
            <w:tcBorders>
              <w:top w:val="single" w:sz="2" w:space="0" w:color="auto"/>
              <w:left w:val="single" w:sz="2" w:space="0" w:color="auto"/>
              <w:bottom w:val="single" w:sz="2" w:space="0" w:color="auto"/>
              <w:right w:val="single" w:sz="2" w:space="0" w:color="auto"/>
            </w:tcBorders>
            <w:vAlign w:val="center"/>
          </w:tcPr>
          <w:p w14:paraId="69BF14CC"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57</w:t>
            </w:r>
          </w:p>
        </w:tc>
        <w:tc>
          <w:tcPr>
            <w:tcW w:w="1377" w:type="dxa"/>
            <w:tcBorders>
              <w:top w:val="single" w:sz="2" w:space="0" w:color="auto"/>
              <w:left w:val="single" w:sz="2" w:space="0" w:color="auto"/>
              <w:bottom w:val="single" w:sz="2" w:space="0" w:color="auto"/>
              <w:right w:val="single" w:sz="2" w:space="0" w:color="auto"/>
            </w:tcBorders>
            <w:vAlign w:val="center"/>
          </w:tcPr>
          <w:p w14:paraId="628DC4C7"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14:paraId="73C2EAFE"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17BE1746"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w:t>
            </w:r>
          </w:p>
        </w:tc>
        <w:tc>
          <w:tcPr>
            <w:tcW w:w="1377" w:type="dxa"/>
            <w:tcBorders>
              <w:top w:val="single" w:sz="2" w:space="0" w:color="auto"/>
              <w:left w:val="single" w:sz="2" w:space="0" w:color="auto"/>
              <w:bottom w:val="single" w:sz="2" w:space="0" w:color="auto"/>
              <w:right w:val="single" w:sz="2" w:space="0" w:color="auto"/>
            </w:tcBorders>
            <w:vAlign w:val="center"/>
          </w:tcPr>
          <w:p w14:paraId="728F9BCA"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51C939CF" w14:textId="77777777" w:rsidTr="001407A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F3B5EFF"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余茂鑫</w:t>
            </w:r>
          </w:p>
        </w:tc>
        <w:tc>
          <w:tcPr>
            <w:tcW w:w="1377" w:type="dxa"/>
            <w:tcBorders>
              <w:top w:val="single" w:sz="2" w:space="0" w:color="auto"/>
              <w:left w:val="single" w:sz="2" w:space="0" w:color="auto"/>
              <w:bottom w:val="single" w:sz="2" w:space="0" w:color="auto"/>
              <w:right w:val="single" w:sz="2" w:space="0" w:color="auto"/>
            </w:tcBorders>
            <w:vAlign w:val="center"/>
          </w:tcPr>
          <w:p w14:paraId="23B861DC"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14:paraId="738F0D42"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34</w:t>
            </w:r>
          </w:p>
        </w:tc>
        <w:tc>
          <w:tcPr>
            <w:tcW w:w="1377" w:type="dxa"/>
            <w:tcBorders>
              <w:top w:val="single" w:sz="2" w:space="0" w:color="auto"/>
              <w:left w:val="single" w:sz="2" w:space="0" w:color="auto"/>
              <w:bottom w:val="single" w:sz="2" w:space="0" w:color="auto"/>
              <w:right w:val="single" w:sz="2" w:space="0" w:color="auto"/>
            </w:tcBorders>
            <w:vAlign w:val="center"/>
          </w:tcPr>
          <w:p w14:paraId="51FCA319"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14:paraId="6409D550"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68495918"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w:t>
            </w:r>
          </w:p>
        </w:tc>
        <w:tc>
          <w:tcPr>
            <w:tcW w:w="1377" w:type="dxa"/>
            <w:tcBorders>
              <w:top w:val="single" w:sz="2" w:space="0" w:color="auto"/>
              <w:left w:val="single" w:sz="2" w:space="0" w:color="auto"/>
              <w:bottom w:val="single" w:sz="2" w:space="0" w:color="auto"/>
              <w:right w:val="single" w:sz="2" w:space="0" w:color="auto"/>
            </w:tcBorders>
            <w:vAlign w:val="center"/>
          </w:tcPr>
          <w:p w14:paraId="60EBD14C"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3904ED32" w14:textId="77777777" w:rsidTr="001407A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FBB94F0"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张玮</w:t>
            </w:r>
          </w:p>
        </w:tc>
        <w:tc>
          <w:tcPr>
            <w:tcW w:w="1377" w:type="dxa"/>
            <w:tcBorders>
              <w:top w:val="single" w:sz="2" w:space="0" w:color="auto"/>
              <w:left w:val="single" w:sz="2" w:space="0" w:color="auto"/>
              <w:bottom w:val="single" w:sz="2" w:space="0" w:color="auto"/>
              <w:right w:val="single" w:sz="2" w:space="0" w:color="auto"/>
            </w:tcBorders>
            <w:vAlign w:val="center"/>
          </w:tcPr>
          <w:p w14:paraId="4A4D93C1"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女</w:t>
            </w:r>
          </w:p>
        </w:tc>
        <w:tc>
          <w:tcPr>
            <w:tcW w:w="1377" w:type="dxa"/>
            <w:tcBorders>
              <w:top w:val="single" w:sz="2" w:space="0" w:color="auto"/>
              <w:left w:val="single" w:sz="2" w:space="0" w:color="auto"/>
              <w:bottom w:val="single" w:sz="2" w:space="0" w:color="auto"/>
              <w:right w:val="single" w:sz="2" w:space="0" w:color="auto"/>
            </w:tcBorders>
            <w:vAlign w:val="center"/>
          </w:tcPr>
          <w:p w14:paraId="1D2A216A"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40</w:t>
            </w:r>
          </w:p>
        </w:tc>
        <w:tc>
          <w:tcPr>
            <w:tcW w:w="1377" w:type="dxa"/>
            <w:tcBorders>
              <w:top w:val="single" w:sz="2" w:space="0" w:color="auto"/>
              <w:left w:val="single" w:sz="2" w:space="0" w:color="auto"/>
              <w:bottom w:val="single" w:sz="2" w:space="0" w:color="auto"/>
              <w:right w:val="single" w:sz="2" w:space="0" w:color="auto"/>
            </w:tcBorders>
            <w:vAlign w:val="center"/>
          </w:tcPr>
          <w:p w14:paraId="7450B23A"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监事会主席</w:t>
            </w:r>
          </w:p>
        </w:tc>
        <w:tc>
          <w:tcPr>
            <w:tcW w:w="1377" w:type="dxa"/>
            <w:tcBorders>
              <w:top w:val="single" w:sz="2" w:space="0" w:color="auto"/>
              <w:left w:val="single" w:sz="2" w:space="0" w:color="auto"/>
              <w:bottom w:val="single" w:sz="2" w:space="0" w:color="auto"/>
              <w:right w:val="single" w:sz="2" w:space="0" w:color="auto"/>
            </w:tcBorders>
            <w:vAlign w:val="center"/>
          </w:tcPr>
          <w:p w14:paraId="56D2494A"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5C527D37"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639A7EF2"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r>
      <w:tr w:rsidR="001D26E7" w:rsidRPr="00F614F9" w14:paraId="751AF354" w14:textId="77777777" w:rsidTr="001407A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D0C647E"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张楠</w:t>
            </w:r>
          </w:p>
        </w:tc>
        <w:tc>
          <w:tcPr>
            <w:tcW w:w="1377" w:type="dxa"/>
            <w:tcBorders>
              <w:top w:val="single" w:sz="2" w:space="0" w:color="auto"/>
              <w:left w:val="single" w:sz="2" w:space="0" w:color="auto"/>
              <w:bottom w:val="single" w:sz="2" w:space="0" w:color="auto"/>
              <w:right w:val="single" w:sz="2" w:space="0" w:color="auto"/>
            </w:tcBorders>
            <w:vAlign w:val="center"/>
          </w:tcPr>
          <w:p w14:paraId="2F77FAA2"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14:paraId="28D6EFEC"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40</w:t>
            </w:r>
          </w:p>
        </w:tc>
        <w:tc>
          <w:tcPr>
            <w:tcW w:w="1377" w:type="dxa"/>
            <w:tcBorders>
              <w:top w:val="single" w:sz="2" w:space="0" w:color="auto"/>
              <w:left w:val="single" w:sz="2" w:space="0" w:color="auto"/>
              <w:bottom w:val="single" w:sz="2" w:space="0" w:color="auto"/>
              <w:right w:val="single" w:sz="2" w:space="0" w:color="auto"/>
            </w:tcBorders>
            <w:vAlign w:val="center"/>
          </w:tcPr>
          <w:p w14:paraId="58BEE6C2"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监事</w:t>
            </w:r>
          </w:p>
        </w:tc>
        <w:tc>
          <w:tcPr>
            <w:tcW w:w="1377" w:type="dxa"/>
            <w:tcBorders>
              <w:top w:val="single" w:sz="2" w:space="0" w:color="auto"/>
              <w:left w:val="single" w:sz="2" w:space="0" w:color="auto"/>
              <w:bottom w:val="single" w:sz="2" w:space="0" w:color="auto"/>
              <w:right w:val="single" w:sz="2" w:space="0" w:color="auto"/>
            </w:tcBorders>
            <w:vAlign w:val="center"/>
          </w:tcPr>
          <w:p w14:paraId="2EA778E5"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69D5A98D"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25.16</w:t>
            </w:r>
          </w:p>
        </w:tc>
        <w:tc>
          <w:tcPr>
            <w:tcW w:w="1377" w:type="dxa"/>
            <w:tcBorders>
              <w:top w:val="single" w:sz="2" w:space="0" w:color="auto"/>
              <w:left w:val="single" w:sz="2" w:space="0" w:color="auto"/>
              <w:bottom w:val="single" w:sz="2" w:space="0" w:color="auto"/>
              <w:right w:val="single" w:sz="2" w:space="0" w:color="auto"/>
            </w:tcBorders>
            <w:vAlign w:val="center"/>
          </w:tcPr>
          <w:p w14:paraId="44D6878D"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21FEAB08" w14:textId="77777777" w:rsidTr="001407A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5F5C5D1"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吴战宗</w:t>
            </w:r>
          </w:p>
        </w:tc>
        <w:tc>
          <w:tcPr>
            <w:tcW w:w="1377" w:type="dxa"/>
            <w:tcBorders>
              <w:top w:val="single" w:sz="2" w:space="0" w:color="auto"/>
              <w:left w:val="single" w:sz="2" w:space="0" w:color="auto"/>
              <w:bottom w:val="single" w:sz="2" w:space="0" w:color="auto"/>
              <w:right w:val="single" w:sz="2" w:space="0" w:color="auto"/>
            </w:tcBorders>
            <w:vAlign w:val="center"/>
          </w:tcPr>
          <w:p w14:paraId="60B2B6C5"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14:paraId="431A8739"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41</w:t>
            </w:r>
          </w:p>
        </w:tc>
        <w:tc>
          <w:tcPr>
            <w:tcW w:w="1377" w:type="dxa"/>
            <w:tcBorders>
              <w:top w:val="single" w:sz="2" w:space="0" w:color="auto"/>
              <w:left w:val="single" w:sz="2" w:space="0" w:color="auto"/>
              <w:bottom w:val="single" w:sz="2" w:space="0" w:color="auto"/>
              <w:right w:val="single" w:sz="2" w:space="0" w:color="auto"/>
            </w:tcBorders>
            <w:vAlign w:val="center"/>
          </w:tcPr>
          <w:p w14:paraId="6BC25F82"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监事</w:t>
            </w:r>
          </w:p>
        </w:tc>
        <w:tc>
          <w:tcPr>
            <w:tcW w:w="1377" w:type="dxa"/>
            <w:tcBorders>
              <w:top w:val="single" w:sz="2" w:space="0" w:color="auto"/>
              <w:left w:val="single" w:sz="2" w:space="0" w:color="auto"/>
              <w:bottom w:val="single" w:sz="2" w:space="0" w:color="auto"/>
              <w:right w:val="single" w:sz="2" w:space="0" w:color="auto"/>
            </w:tcBorders>
            <w:vAlign w:val="center"/>
          </w:tcPr>
          <w:p w14:paraId="1AD6FB36"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446FF932"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30.15</w:t>
            </w:r>
          </w:p>
        </w:tc>
        <w:tc>
          <w:tcPr>
            <w:tcW w:w="1377" w:type="dxa"/>
            <w:tcBorders>
              <w:top w:val="single" w:sz="2" w:space="0" w:color="auto"/>
              <w:left w:val="single" w:sz="2" w:space="0" w:color="auto"/>
              <w:bottom w:val="single" w:sz="2" w:space="0" w:color="auto"/>
              <w:right w:val="single" w:sz="2" w:space="0" w:color="auto"/>
            </w:tcBorders>
            <w:vAlign w:val="center"/>
          </w:tcPr>
          <w:p w14:paraId="16B7BDF2"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08CD7A9C" w14:textId="77777777" w:rsidTr="001407A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1F41BA3" w14:textId="77777777" w:rsidR="001D26E7" w:rsidRPr="00F614F9" w:rsidRDefault="00000000" w:rsidP="001407A3">
            <w:pPr>
              <w:spacing w:line="240" w:lineRule="exact"/>
              <w:jc w:val="center"/>
              <w:rPr>
                <w:rFonts w:ascii="Times New Roman" w:eastAsia="宋体" w:hAnsi="Times New Roman" w:cs="宋体"/>
                <w:sz w:val="18"/>
                <w:szCs w:val="18"/>
              </w:rPr>
            </w:pPr>
            <w:proofErr w:type="gramStart"/>
            <w:r w:rsidRPr="00F614F9">
              <w:rPr>
                <w:rFonts w:ascii="Times New Roman" w:eastAsia="宋体" w:hAnsi="Times New Roman" w:cs="宋体"/>
                <w:sz w:val="18"/>
                <w:szCs w:val="18"/>
              </w:rPr>
              <w:t>张凌</w:t>
            </w:r>
            <w:proofErr w:type="gramEnd"/>
          </w:p>
        </w:tc>
        <w:tc>
          <w:tcPr>
            <w:tcW w:w="1377" w:type="dxa"/>
            <w:tcBorders>
              <w:top w:val="single" w:sz="2" w:space="0" w:color="auto"/>
              <w:left w:val="single" w:sz="2" w:space="0" w:color="auto"/>
              <w:bottom w:val="single" w:sz="2" w:space="0" w:color="auto"/>
              <w:right w:val="single" w:sz="2" w:space="0" w:color="auto"/>
            </w:tcBorders>
            <w:vAlign w:val="center"/>
          </w:tcPr>
          <w:p w14:paraId="4CD50BDD"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女</w:t>
            </w:r>
          </w:p>
        </w:tc>
        <w:tc>
          <w:tcPr>
            <w:tcW w:w="1377" w:type="dxa"/>
            <w:tcBorders>
              <w:top w:val="single" w:sz="2" w:space="0" w:color="auto"/>
              <w:left w:val="single" w:sz="2" w:space="0" w:color="auto"/>
              <w:bottom w:val="single" w:sz="2" w:space="0" w:color="auto"/>
              <w:right w:val="single" w:sz="2" w:space="0" w:color="auto"/>
            </w:tcBorders>
            <w:vAlign w:val="center"/>
          </w:tcPr>
          <w:p w14:paraId="2434FA59"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46</w:t>
            </w:r>
          </w:p>
        </w:tc>
        <w:tc>
          <w:tcPr>
            <w:tcW w:w="1377" w:type="dxa"/>
            <w:tcBorders>
              <w:top w:val="single" w:sz="2" w:space="0" w:color="auto"/>
              <w:left w:val="single" w:sz="2" w:space="0" w:color="auto"/>
              <w:bottom w:val="single" w:sz="2" w:space="0" w:color="auto"/>
              <w:right w:val="single" w:sz="2" w:space="0" w:color="auto"/>
            </w:tcBorders>
            <w:vAlign w:val="center"/>
          </w:tcPr>
          <w:p w14:paraId="1F74F2BD"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财务总监</w:t>
            </w:r>
          </w:p>
        </w:tc>
        <w:tc>
          <w:tcPr>
            <w:tcW w:w="1377" w:type="dxa"/>
            <w:tcBorders>
              <w:top w:val="single" w:sz="2" w:space="0" w:color="auto"/>
              <w:left w:val="single" w:sz="2" w:space="0" w:color="auto"/>
              <w:bottom w:val="single" w:sz="2" w:space="0" w:color="auto"/>
              <w:right w:val="single" w:sz="2" w:space="0" w:color="auto"/>
            </w:tcBorders>
            <w:vAlign w:val="center"/>
          </w:tcPr>
          <w:p w14:paraId="6490FE4C"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297887F2"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24.27</w:t>
            </w:r>
          </w:p>
        </w:tc>
        <w:tc>
          <w:tcPr>
            <w:tcW w:w="1377" w:type="dxa"/>
            <w:tcBorders>
              <w:top w:val="single" w:sz="2" w:space="0" w:color="auto"/>
              <w:left w:val="single" w:sz="2" w:space="0" w:color="auto"/>
              <w:bottom w:val="single" w:sz="2" w:space="0" w:color="auto"/>
              <w:right w:val="single" w:sz="2" w:space="0" w:color="auto"/>
            </w:tcBorders>
            <w:vAlign w:val="center"/>
          </w:tcPr>
          <w:p w14:paraId="10041CB1"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1EF6BCE5" w14:textId="77777777" w:rsidTr="001407A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DE57103"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刘婧</w:t>
            </w:r>
          </w:p>
        </w:tc>
        <w:tc>
          <w:tcPr>
            <w:tcW w:w="1377" w:type="dxa"/>
            <w:tcBorders>
              <w:top w:val="single" w:sz="2" w:space="0" w:color="auto"/>
              <w:left w:val="single" w:sz="2" w:space="0" w:color="auto"/>
              <w:bottom w:val="single" w:sz="2" w:space="0" w:color="auto"/>
              <w:right w:val="single" w:sz="2" w:space="0" w:color="auto"/>
            </w:tcBorders>
            <w:vAlign w:val="center"/>
          </w:tcPr>
          <w:p w14:paraId="762D5EB9"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女</w:t>
            </w:r>
          </w:p>
        </w:tc>
        <w:tc>
          <w:tcPr>
            <w:tcW w:w="1377" w:type="dxa"/>
            <w:tcBorders>
              <w:top w:val="single" w:sz="2" w:space="0" w:color="auto"/>
              <w:left w:val="single" w:sz="2" w:space="0" w:color="auto"/>
              <w:bottom w:val="single" w:sz="2" w:space="0" w:color="auto"/>
              <w:right w:val="single" w:sz="2" w:space="0" w:color="auto"/>
            </w:tcBorders>
            <w:vAlign w:val="center"/>
          </w:tcPr>
          <w:p w14:paraId="4597C8DB"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36</w:t>
            </w:r>
          </w:p>
        </w:tc>
        <w:tc>
          <w:tcPr>
            <w:tcW w:w="1377" w:type="dxa"/>
            <w:tcBorders>
              <w:top w:val="single" w:sz="2" w:space="0" w:color="auto"/>
              <w:left w:val="single" w:sz="2" w:space="0" w:color="auto"/>
              <w:bottom w:val="single" w:sz="2" w:space="0" w:color="auto"/>
              <w:right w:val="single" w:sz="2" w:space="0" w:color="auto"/>
            </w:tcBorders>
            <w:vAlign w:val="center"/>
          </w:tcPr>
          <w:p w14:paraId="6B0157E4"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副总经理</w:t>
            </w:r>
          </w:p>
        </w:tc>
        <w:tc>
          <w:tcPr>
            <w:tcW w:w="1377" w:type="dxa"/>
            <w:tcBorders>
              <w:top w:val="single" w:sz="2" w:space="0" w:color="auto"/>
              <w:left w:val="single" w:sz="2" w:space="0" w:color="auto"/>
              <w:bottom w:val="single" w:sz="2" w:space="0" w:color="auto"/>
              <w:right w:val="single" w:sz="2" w:space="0" w:color="auto"/>
            </w:tcBorders>
            <w:vAlign w:val="center"/>
          </w:tcPr>
          <w:p w14:paraId="2D95B9F8"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14:paraId="640C278C"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24.3</w:t>
            </w:r>
          </w:p>
        </w:tc>
        <w:tc>
          <w:tcPr>
            <w:tcW w:w="1377" w:type="dxa"/>
            <w:tcBorders>
              <w:top w:val="single" w:sz="2" w:space="0" w:color="auto"/>
              <w:left w:val="single" w:sz="2" w:space="0" w:color="auto"/>
              <w:bottom w:val="single" w:sz="2" w:space="0" w:color="auto"/>
              <w:right w:val="single" w:sz="2" w:space="0" w:color="auto"/>
            </w:tcBorders>
            <w:vAlign w:val="center"/>
          </w:tcPr>
          <w:p w14:paraId="41561880"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68771B58" w14:textId="77777777" w:rsidTr="001407A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AB96139" w14:textId="77777777" w:rsidR="001D26E7" w:rsidRPr="00F614F9" w:rsidRDefault="00000000" w:rsidP="001407A3">
            <w:pPr>
              <w:spacing w:line="240" w:lineRule="exact"/>
              <w:jc w:val="center"/>
              <w:rPr>
                <w:rFonts w:ascii="Times New Roman" w:eastAsia="宋体" w:hAnsi="Times New Roman" w:cs="宋体"/>
                <w:sz w:val="18"/>
                <w:szCs w:val="18"/>
              </w:rPr>
            </w:pPr>
            <w:proofErr w:type="gramStart"/>
            <w:r w:rsidRPr="00F614F9">
              <w:rPr>
                <w:rFonts w:ascii="Times New Roman" w:eastAsia="宋体" w:hAnsi="Times New Roman" w:cs="宋体"/>
                <w:sz w:val="18"/>
                <w:szCs w:val="18"/>
              </w:rPr>
              <w:t>余宇</w:t>
            </w:r>
            <w:proofErr w:type="gramEnd"/>
          </w:p>
        </w:tc>
        <w:tc>
          <w:tcPr>
            <w:tcW w:w="1377" w:type="dxa"/>
            <w:tcBorders>
              <w:top w:val="single" w:sz="2" w:space="0" w:color="auto"/>
              <w:left w:val="single" w:sz="2" w:space="0" w:color="auto"/>
              <w:bottom w:val="single" w:sz="2" w:space="0" w:color="auto"/>
              <w:right w:val="single" w:sz="2" w:space="0" w:color="auto"/>
            </w:tcBorders>
            <w:vAlign w:val="center"/>
          </w:tcPr>
          <w:p w14:paraId="34D3C537"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14:paraId="3B418C0C"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43</w:t>
            </w:r>
          </w:p>
        </w:tc>
        <w:tc>
          <w:tcPr>
            <w:tcW w:w="1377" w:type="dxa"/>
            <w:tcBorders>
              <w:top w:val="single" w:sz="2" w:space="0" w:color="auto"/>
              <w:left w:val="single" w:sz="2" w:space="0" w:color="auto"/>
              <w:bottom w:val="single" w:sz="2" w:space="0" w:color="auto"/>
              <w:right w:val="single" w:sz="2" w:space="0" w:color="auto"/>
            </w:tcBorders>
            <w:vAlign w:val="center"/>
          </w:tcPr>
          <w:p w14:paraId="5CA6839F"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原董事长</w:t>
            </w:r>
          </w:p>
        </w:tc>
        <w:tc>
          <w:tcPr>
            <w:tcW w:w="1377" w:type="dxa"/>
            <w:tcBorders>
              <w:top w:val="single" w:sz="2" w:space="0" w:color="auto"/>
              <w:left w:val="single" w:sz="2" w:space="0" w:color="auto"/>
              <w:bottom w:val="single" w:sz="2" w:space="0" w:color="auto"/>
              <w:right w:val="single" w:sz="2" w:space="0" w:color="auto"/>
            </w:tcBorders>
            <w:vAlign w:val="center"/>
          </w:tcPr>
          <w:p w14:paraId="7B144DBD"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离任</w:t>
            </w:r>
          </w:p>
        </w:tc>
        <w:tc>
          <w:tcPr>
            <w:tcW w:w="1377" w:type="dxa"/>
            <w:tcBorders>
              <w:top w:val="single" w:sz="2" w:space="0" w:color="auto"/>
              <w:left w:val="single" w:sz="2" w:space="0" w:color="auto"/>
              <w:bottom w:val="single" w:sz="2" w:space="0" w:color="auto"/>
              <w:right w:val="single" w:sz="2" w:space="0" w:color="auto"/>
            </w:tcBorders>
            <w:vAlign w:val="center"/>
          </w:tcPr>
          <w:p w14:paraId="54F749D7"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26.81</w:t>
            </w:r>
          </w:p>
        </w:tc>
        <w:tc>
          <w:tcPr>
            <w:tcW w:w="1377" w:type="dxa"/>
            <w:tcBorders>
              <w:top w:val="single" w:sz="2" w:space="0" w:color="auto"/>
              <w:left w:val="single" w:sz="2" w:space="0" w:color="auto"/>
              <w:bottom w:val="single" w:sz="2" w:space="0" w:color="auto"/>
              <w:right w:val="single" w:sz="2" w:space="0" w:color="auto"/>
            </w:tcBorders>
            <w:vAlign w:val="center"/>
          </w:tcPr>
          <w:p w14:paraId="2DD89273"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3A0F7777" w14:textId="77777777" w:rsidTr="001407A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C60E971"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何爽</w:t>
            </w:r>
          </w:p>
        </w:tc>
        <w:tc>
          <w:tcPr>
            <w:tcW w:w="1377" w:type="dxa"/>
            <w:tcBorders>
              <w:top w:val="single" w:sz="2" w:space="0" w:color="auto"/>
              <w:left w:val="single" w:sz="2" w:space="0" w:color="auto"/>
              <w:bottom w:val="single" w:sz="2" w:space="0" w:color="auto"/>
              <w:right w:val="single" w:sz="2" w:space="0" w:color="auto"/>
            </w:tcBorders>
            <w:vAlign w:val="center"/>
          </w:tcPr>
          <w:p w14:paraId="6CE87229"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女</w:t>
            </w:r>
          </w:p>
        </w:tc>
        <w:tc>
          <w:tcPr>
            <w:tcW w:w="1377" w:type="dxa"/>
            <w:tcBorders>
              <w:top w:val="single" w:sz="2" w:space="0" w:color="auto"/>
              <w:left w:val="single" w:sz="2" w:space="0" w:color="auto"/>
              <w:bottom w:val="single" w:sz="2" w:space="0" w:color="auto"/>
              <w:right w:val="single" w:sz="2" w:space="0" w:color="auto"/>
            </w:tcBorders>
            <w:vAlign w:val="center"/>
          </w:tcPr>
          <w:p w14:paraId="2C706E21"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42</w:t>
            </w:r>
          </w:p>
        </w:tc>
        <w:tc>
          <w:tcPr>
            <w:tcW w:w="1377" w:type="dxa"/>
            <w:tcBorders>
              <w:top w:val="single" w:sz="2" w:space="0" w:color="auto"/>
              <w:left w:val="single" w:sz="2" w:space="0" w:color="auto"/>
              <w:bottom w:val="single" w:sz="2" w:space="0" w:color="auto"/>
              <w:right w:val="single" w:sz="2" w:space="0" w:color="auto"/>
            </w:tcBorders>
            <w:vAlign w:val="center"/>
          </w:tcPr>
          <w:p w14:paraId="703DBCBB"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原副总经理</w:t>
            </w:r>
          </w:p>
        </w:tc>
        <w:tc>
          <w:tcPr>
            <w:tcW w:w="1377" w:type="dxa"/>
            <w:tcBorders>
              <w:top w:val="single" w:sz="2" w:space="0" w:color="auto"/>
              <w:left w:val="single" w:sz="2" w:space="0" w:color="auto"/>
              <w:bottom w:val="single" w:sz="2" w:space="0" w:color="auto"/>
              <w:right w:val="single" w:sz="2" w:space="0" w:color="auto"/>
            </w:tcBorders>
            <w:vAlign w:val="center"/>
          </w:tcPr>
          <w:p w14:paraId="0B7E3C7C"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离任</w:t>
            </w:r>
          </w:p>
        </w:tc>
        <w:tc>
          <w:tcPr>
            <w:tcW w:w="1377" w:type="dxa"/>
            <w:tcBorders>
              <w:top w:val="single" w:sz="2" w:space="0" w:color="auto"/>
              <w:left w:val="single" w:sz="2" w:space="0" w:color="auto"/>
              <w:bottom w:val="single" w:sz="2" w:space="0" w:color="auto"/>
              <w:right w:val="single" w:sz="2" w:space="0" w:color="auto"/>
            </w:tcBorders>
            <w:vAlign w:val="center"/>
          </w:tcPr>
          <w:p w14:paraId="04E31FEA"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184C16B2"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72B503B6"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E66F10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E39DA2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C7416E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C9FE0A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C7B4C9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1377" w:type="dxa"/>
            <w:tcBorders>
              <w:top w:val="single" w:sz="2" w:space="0" w:color="auto"/>
              <w:left w:val="single" w:sz="2" w:space="0" w:color="auto"/>
              <w:bottom w:val="single" w:sz="2" w:space="0" w:color="auto"/>
              <w:right w:val="single" w:sz="2" w:space="0" w:color="auto"/>
            </w:tcBorders>
            <w:vAlign w:val="center"/>
          </w:tcPr>
          <w:p w14:paraId="71367E2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230.98</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29329B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r>
    </w:tbl>
    <w:p w14:paraId="255C44F8"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其他情况说明</w:t>
      </w:r>
    </w:p>
    <w:p w14:paraId="5FCEAEA4"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170EAD89"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93" w:name="_Toc988955"/>
      <w:bookmarkStart w:id="94" w:name="_Toc164024774"/>
      <w:r w:rsidRPr="00F614F9">
        <w:rPr>
          <w:rFonts w:ascii="Times New Roman" w:eastAsia="宋体" w:hAnsi="Times New Roman" w:cs="宋体"/>
          <w:b/>
          <w:bCs/>
          <w:sz w:val="24"/>
          <w:szCs w:val="24"/>
        </w:rPr>
        <w:t>六、报告期内董事履行职责的情况</w:t>
      </w:r>
      <w:bookmarkEnd w:id="93"/>
      <w:bookmarkEnd w:id="94"/>
    </w:p>
    <w:p w14:paraId="29242016" w14:textId="77777777" w:rsidR="001D26E7" w:rsidRPr="00F614F9" w:rsidRDefault="00000000">
      <w:pPr>
        <w:pStyle w:val="3"/>
        <w:spacing w:line="280" w:lineRule="exact"/>
        <w:jc w:val="left"/>
        <w:rPr>
          <w:rFonts w:ascii="Times New Roman" w:hAnsi="Times New Roman" w:cs="宋体"/>
          <w:b/>
          <w:bCs/>
        </w:rPr>
      </w:pPr>
      <w:bookmarkStart w:id="95" w:name="_Toc988956"/>
      <w:r w:rsidRPr="00F614F9">
        <w:rPr>
          <w:rFonts w:ascii="Times New Roman" w:hAnsi="Times New Roman" w:cs="宋体"/>
          <w:b/>
          <w:bCs/>
        </w:rPr>
        <w:t>1</w:t>
      </w:r>
      <w:r w:rsidRPr="00F614F9">
        <w:rPr>
          <w:rFonts w:ascii="Times New Roman" w:hAnsi="Times New Roman" w:cs="宋体"/>
          <w:b/>
          <w:bCs/>
        </w:rPr>
        <w:t>、本报告期董事会情况</w:t>
      </w:r>
      <w:bookmarkEnd w:id="95"/>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1D26E7" w:rsidRPr="00F614F9" w14:paraId="6390428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9EFB21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会议届次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B91501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召开日期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0B958D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披露日期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1931B6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会议决议</w:t>
            </w:r>
          </w:p>
        </w:tc>
      </w:tr>
      <w:tr w:rsidR="001D26E7" w:rsidRPr="00F614F9" w14:paraId="31E10C1B"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055D64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第五届董事会第十次会议</w:t>
            </w:r>
          </w:p>
        </w:tc>
        <w:tc>
          <w:tcPr>
            <w:tcW w:w="2410" w:type="dxa"/>
            <w:tcBorders>
              <w:top w:val="single" w:sz="2" w:space="0" w:color="auto"/>
              <w:left w:val="single" w:sz="2" w:space="0" w:color="auto"/>
              <w:bottom w:val="single" w:sz="2" w:space="0" w:color="auto"/>
              <w:right w:val="single" w:sz="2" w:space="0" w:color="auto"/>
            </w:tcBorders>
            <w:vAlign w:val="center"/>
          </w:tcPr>
          <w:p w14:paraId="6809CDA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2410" w:type="dxa"/>
            <w:tcBorders>
              <w:top w:val="single" w:sz="2" w:space="0" w:color="auto"/>
              <w:left w:val="single" w:sz="2" w:space="0" w:color="auto"/>
              <w:bottom w:val="single" w:sz="2" w:space="0" w:color="auto"/>
              <w:right w:val="single" w:sz="2" w:space="0" w:color="auto"/>
            </w:tcBorders>
            <w:vAlign w:val="center"/>
          </w:tcPr>
          <w:p w14:paraId="5B22C55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2410" w:type="dxa"/>
            <w:tcBorders>
              <w:top w:val="single" w:sz="2" w:space="0" w:color="auto"/>
              <w:left w:val="single" w:sz="2" w:space="0" w:color="auto"/>
              <w:bottom w:val="single" w:sz="2" w:space="0" w:color="auto"/>
              <w:right w:val="single" w:sz="2" w:space="0" w:color="auto"/>
            </w:tcBorders>
            <w:vAlign w:val="center"/>
          </w:tcPr>
          <w:p w14:paraId="5FFAC19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详见巨潮资讯网（</w:t>
            </w:r>
            <w:r w:rsidRPr="00F614F9">
              <w:rPr>
                <w:rFonts w:ascii="Times New Roman" w:eastAsia="宋体" w:hAnsi="Times New Roman" w:cs="宋体"/>
                <w:sz w:val="18"/>
                <w:szCs w:val="18"/>
              </w:rPr>
              <w:t>http://www.cninfo.com.cn</w:t>
            </w:r>
            <w:r w:rsidRPr="00F614F9">
              <w:rPr>
                <w:rFonts w:ascii="Times New Roman" w:eastAsia="宋体" w:hAnsi="Times New Roman" w:cs="宋体"/>
                <w:sz w:val="18"/>
                <w:szCs w:val="18"/>
              </w:rPr>
              <w:t>）《第五届董事会第十次会议决议公告》（</w:t>
            </w:r>
            <w:r w:rsidRPr="00F614F9">
              <w:rPr>
                <w:rFonts w:ascii="Times New Roman" w:eastAsia="宋体" w:hAnsi="Times New Roman" w:cs="宋体"/>
                <w:sz w:val="18"/>
                <w:szCs w:val="18"/>
              </w:rPr>
              <w:t>2023-006</w:t>
            </w:r>
            <w:r w:rsidRPr="00F614F9">
              <w:rPr>
                <w:rFonts w:ascii="Times New Roman" w:eastAsia="宋体" w:hAnsi="Times New Roman" w:cs="宋体"/>
                <w:sz w:val="18"/>
                <w:szCs w:val="18"/>
              </w:rPr>
              <w:t>）</w:t>
            </w:r>
          </w:p>
        </w:tc>
      </w:tr>
      <w:tr w:rsidR="001D26E7" w:rsidRPr="00F614F9" w14:paraId="23673619"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19A2A4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第五届董事会第十一次会议</w:t>
            </w:r>
          </w:p>
        </w:tc>
        <w:tc>
          <w:tcPr>
            <w:tcW w:w="2410" w:type="dxa"/>
            <w:tcBorders>
              <w:top w:val="single" w:sz="2" w:space="0" w:color="auto"/>
              <w:left w:val="single" w:sz="2" w:space="0" w:color="auto"/>
              <w:bottom w:val="single" w:sz="2" w:space="0" w:color="auto"/>
              <w:right w:val="single" w:sz="2" w:space="0" w:color="auto"/>
            </w:tcBorders>
            <w:vAlign w:val="center"/>
          </w:tcPr>
          <w:p w14:paraId="3254775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28</w:t>
            </w:r>
            <w:r w:rsidRPr="00F614F9">
              <w:rPr>
                <w:rFonts w:ascii="Times New Roman" w:eastAsia="宋体" w:hAnsi="Times New Roman" w:cs="宋体"/>
                <w:sz w:val="18"/>
                <w:szCs w:val="18"/>
              </w:rPr>
              <w:t>日</w:t>
            </w:r>
          </w:p>
        </w:tc>
        <w:tc>
          <w:tcPr>
            <w:tcW w:w="2410" w:type="dxa"/>
            <w:tcBorders>
              <w:top w:val="single" w:sz="2" w:space="0" w:color="auto"/>
              <w:left w:val="single" w:sz="2" w:space="0" w:color="auto"/>
              <w:bottom w:val="single" w:sz="2" w:space="0" w:color="auto"/>
              <w:right w:val="single" w:sz="2" w:space="0" w:color="auto"/>
            </w:tcBorders>
            <w:vAlign w:val="center"/>
          </w:tcPr>
          <w:p w14:paraId="6D72985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29</w:t>
            </w:r>
            <w:r w:rsidRPr="00F614F9">
              <w:rPr>
                <w:rFonts w:ascii="Times New Roman" w:eastAsia="宋体" w:hAnsi="Times New Roman" w:cs="宋体"/>
                <w:sz w:val="18"/>
                <w:szCs w:val="18"/>
              </w:rPr>
              <w:t>日</w:t>
            </w:r>
          </w:p>
        </w:tc>
        <w:tc>
          <w:tcPr>
            <w:tcW w:w="2410" w:type="dxa"/>
            <w:tcBorders>
              <w:top w:val="single" w:sz="2" w:space="0" w:color="auto"/>
              <w:left w:val="single" w:sz="2" w:space="0" w:color="auto"/>
              <w:bottom w:val="single" w:sz="2" w:space="0" w:color="auto"/>
              <w:right w:val="single" w:sz="2" w:space="0" w:color="auto"/>
            </w:tcBorders>
            <w:vAlign w:val="center"/>
          </w:tcPr>
          <w:p w14:paraId="604A749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详见巨潮资讯网（</w:t>
            </w:r>
            <w:r w:rsidRPr="00F614F9">
              <w:rPr>
                <w:rFonts w:ascii="Times New Roman" w:eastAsia="宋体" w:hAnsi="Times New Roman" w:cs="宋体"/>
                <w:sz w:val="18"/>
                <w:szCs w:val="18"/>
              </w:rPr>
              <w:t>http://www.cninfo.com.cn</w:t>
            </w:r>
            <w:r w:rsidRPr="00F614F9">
              <w:rPr>
                <w:rFonts w:ascii="Times New Roman" w:eastAsia="宋体" w:hAnsi="Times New Roman" w:cs="宋体"/>
                <w:sz w:val="18"/>
                <w:szCs w:val="18"/>
              </w:rPr>
              <w:t>）《第五届董事会第十一次会议决议公告》（</w:t>
            </w:r>
            <w:r w:rsidRPr="00F614F9">
              <w:rPr>
                <w:rFonts w:ascii="Times New Roman" w:eastAsia="宋体" w:hAnsi="Times New Roman" w:cs="宋体"/>
                <w:sz w:val="18"/>
                <w:szCs w:val="18"/>
              </w:rPr>
              <w:t>2023-019</w:t>
            </w:r>
            <w:r w:rsidRPr="00F614F9">
              <w:rPr>
                <w:rFonts w:ascii="Times New Roman" w:eastAsia="宋体" w:hAnsi="Times New Roman" w:cs="宋体"/>
                <w:sz w:val="18"/>
                <w:szCs w:val="18"/>
              </w:rPr>
              <w:t>）</w:t>
            </w:r>
          </w:p>
        </w:tc>
      </w:tr>
      <w:tr w:rsidR="001D26E7" w:rsidRPr="00F614F9" w14:paraId="7E2BBE66"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99318E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第五届董事会第十二次会议</w:t>
            </w:r>
          </w:p>
        </w:tc>
        <w:tc>
          <w:tcPr>
            <w:tcW w:w="2410" w:type="dxa"/>
            <w:tcBorders>
              <w:top w:val="single" w:sz="2" w:space="0" w:color="auto"/>
              <w:left w:val="single" w:sz="2" w:space="0" w:color="auto"/>
              <w:bottom w:val="single" w:sz="2" w:space="0" w:color="auto"/>
              <w:right w:val="single" w:sz="2" w:space="0" w:color="auto"/>
            </w:tcBorders>
            <w:vAlign w:val="center"/>
          </w:tcPr>
          <w:p w14:paraId="2B2E214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2410" w:type="dxa"/>
            <w:tcBorders>
              <w:top w:val="single" w:sz="2" w:space="0" w:color="auto"/>
              <w:left w:val="single" w:sz="2" w:space="0" w:color="auto"/>
              <w:bottom w:val="single" w:sz="2" w:space="0" w:color="auto"/>
              <w:right w:val="single" w:sz="2" w:space="0" w:color="auto"/>
            </w:tcBorders>
            <w:vAlign w:val="center"/>
          </w:tcPr>
          <w:p w14:paraId="23BF0A0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19</w:t>
            </w:r>
            <w:r w:rsidRPr="00F614F9">
              <w:rPr>
                <w:rFonts w:ascii="Times New Roman" w:eastAsia="宋体" w:hAnsi="Times New Roman" w:cs="宋体"/>
                <w:sz w:val="18"/>
                <w:szCs w:val="18"/>
              </w:rPr>
              <w:t>日</w:t>
            </w:r>
          </w:p>
        </w:tc>
        <w:tc>
          <w:tcPr>
            <w:tcW w:w="2410" w:type="dxa"/>
            <w:tcBorders>
              <w:top w:val="single" w:sz="2" w:space="0" w:color="auto"/>
              <w:left w:val="single" w:sz="2" w:space="0" w:color="auto"/>
              <w:bottom w:val="single" w:sz="2" w:space="0" w:color="auto"/>
              <w:right w:val="single" w:sz="2" w:space="0" w:color="auto"/>
            </w:tcBorders>
            <w:vAlign w:val="center"/>
          </w:tcPr>
          <w:p w14:paraId="72F00CE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详见巨潮资讯网（</w:t>
            </w:r>
            <w:r w:rsidRPr="00F614F9">
              <w:rPr>
                <w:rFonts w:ascii="Times New Roman" w:eastAsia="宋体" w:hAnsi="Times New Roman" w:cs="宋体"/>
                <w:sz w:val="18"/>
                <w:szCs w:val="18"/>
              </w:rPr>
              <w:t>http://www.cninfo.com.cn</w:t>
            </w:r>
            <w:r w:rsidRPr="00F614F9">
              <w:rPr>
                <w:rFonts w:ascii="Times New Roman" w:eastAsia="宋体" w:hAnsi="Times New Roman" w:cs="宋体"/>
                <w:sz w:val="18"/>
                <w:szCs w:val="18"/>
              </w:rPr>
              <w:t>）《第五届董事会第十二次会议决议公告》（</w:t>
            </w:r>
            <w:r w:rsidRPr="00F614F9">
              <w:rPr>
                <w:rFonts w:ascii="Times New Roman" w:eastAsia="宋体" w:hAnsi="Times New Roman" w:cs="宋体"/>
                <w:sz w:val="18"/>
                <w:szCs w:val="18"/>
              </w:rPr>
              <w:t>2023-035</w:t>
            </w:r>
            <w:r w:rsidRPr="00F614F9">
              <w:rPr>
                <w:rFonts w:ascii="Times New Roman" w:eastAsia="宋体" w:hAnsi="Times New Roman" w:cs="宋体"/>
                <w:sz w:val="18"/>
                <w:szCs w:val="18"/>
              </w:rPr>
              <w:t>）</w:t>
            </w:r>
          </w:p>
        </w:tc>
      </w:tr>
      <w:tr w:rsidR="001D26E7" w:rsidRPr="00F614F9" w14:paraId="70496419"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F34502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第五届董事会第十三次会议</w:t>
            </w:r>
          </w:p>
        </w:tc>
        <w:tc>
          <w:tcPr>
            <w:tcW w:w="2410" w:type="dxa"/>
            <w:tcBorders>
              <w:top w:val="single" w:sz="2" w:space="0" w:color="auto"/>
              <w:left w:val="single" w:sz="2" w:space="0" w:color="auto"/>
              <w:bottom w:val="single" w:sz="2" w:space="0" w:color="auto"/>
              <w:right w:val="single" w:sz="2" w:space="0" w:color="auto"/>
            </w:tcBorders>
            <w:vAlign w:val="center"/>
          </w:tcPr>
          <w:p w14:paraId="44F3E72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日</w:t>
            </w:r>
          </w:p>
        </w:tc>
        <w:tc>
          <w:tcPr>
            <w:tcW w:w="2410" w:type="dxa"/>
            <w:tcBorders>
              <w:top w:val="single" w:sz="2" w:space="0" w:color="auto"/>
              <w:left w:val="single" w:sz="2" w:space="0" w:color="auto"/>
              <w:bottom w:val="single" w:sz="2" w:space="0" w:color="auto"/>
              <w:right w:val="single" w:sz="2" w:space="0" w:color="auto"/>
            </w:tcBorders>
            <w:vAlign w:val="center"/>
          </w:tcPr>
          <w:p w14:paraId="5BF8585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日</w:t>
            </w:r>
          </w:p>
        </w:tc>
        <w:tc>
          <w:tcPr>
            <w:tcW w:w="2410" w:type="dxa"/>
            <w:tcBorders>
              <w:top w:val="single" w:sz="2" w:space="0" w:color="auto"/>
              <w:left w:val="single" w:sz="2" w:space="0" w:color="auto"/>
              <w:bottom w:val="single" w:sz="2" w:space="0" w:color="auto"/>
              <w:right w:val="single" w:sz="2" w:space="0" w:color="auto"/>
            </w:tcBorders>
            <w:vAlign w:val="center"/>
          </w:tcPr>
          <w:p w14:paraId="6161641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详见巨潮资讯网（</w:t>
            </w:r>
            <w:r w:rsidRPr="00F614F9">
              <w:rPr>
                <w:rFonts w:ascii="Times New Roman" w:eastAsia="宋体" w:hAnsi="Times New Roman" w:cs="宋体"/>
                <w:sz w:val="18"/>
                <w:szCs w:val="18"/>
              </w:rPr>
              <w:t>http://www.cninfo.com.cn</w:t>
            </w:r>
            <w:r w:rsidRPr="00F614F9">
              <w:rPr>
                <w:rFonts w:ascii="Times New Roman" w:eastAsia="宋体" w:hAnsi="Times New Roman" w:cs="宋体"/>
                <w:sz w:val="18"/>
                <w:szCs w:val="18"/>
              </w:rPr>
              <w:t>）《第五届董事会第十三次</w:t>
            </w:r>
            <w:r w:rsidRPr="00F614F9">
              <w:rPr>
                <w:rFonts w:ascii="Times New Roman" w:eastAsia="宋体" w:hAnsi="Times New Roman" w:cs="宋体"/>
                <w:sz w:val="18"/>
                <w:szCs w:val="18"/>
              </w:rPr>
              <w:lastRenderedPageBreak/>
              <w:t>会议决议公告》（</w:t>
            </w:r>
            <w:r w:rsidRPr="00F614F9">
              <w:rPr>
                <w:rFonts w:ascii="Times New Roman" w:eastAsia="宋体" w:hAnsi="Times New Roman" w:cs="宋体"/>
                <w:sz w:val="18"/>
                <w:szCs w:val="18"/>
              </w:rPr>
              <w:t>2023-043</w:t>
            </w:r>
            <w:r w:rsidRPr="00F614F9">
              <w:rPr>
                <w:rFonts w:ascii="Times New Roman" w:eastAsia="宋体" w:hAnsi="Times New Roman" w:cs="宋体"/>
                <w:sz w:val="18"/>
                <w:szCs w:val="18"/>
              </w:rPr>
              <w:t>）</w:t>
            </w:r>
          </w:p>
        </w:tc>
      </w:tr>
      <w:tr w:rsidR="001D26E7" w:rsidRPr="00F614F9" w14:paraId="26C86055"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A92178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第五届董事会第十四次会议</w:t>
            </w:r>
          </w:p>
        </w:tc>
        <w:tc>
          <w:tcPr>
            <w:tcW w:w="2410" w:type="dxa"/>
            <w:tcBorders>
              <w:top w:val="single" w:sz="2" w:space="0" w:color="auto"/>
              <w:left w:val="single" w:sz="2" w:space="0" w:color="auto"/>
              <w:bottom w:val="single" w:sz="2" w:space="0" w:color="auto"/>
              <w:right w:val="single" w:sz="2" w:space="0" w:color="auto"/>
            </w:tcBorders>
            <w:vAlign w:val="center"/>
          </w:tcPr>
          <w:p w14:paraId="619E81D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日</w:t>
            </w:r>
          </w:p>
        </w:tc>
        <w:tc>
          <w:tcPr>
            <w:tcW w:w="2410" w:type="dxa"/>
            <w:tcBorders>
              <w:top w:val="single" w:sz="2" w:space="0" w:color="auto"/>
              <w:left w:val="single" w:sz="2" w:space="0" w:color="auto"/>
              <w:bottom w:val="single" w:sz="2" w:space="0" w:color="auto"/>
              <w:right w:val="single" w:sz="2" w:space="0" w:color="auto"/>
            </w:tcBorders>
            <w:vAlign w:val="center"/>
          </w:tcPr>
          <w:p w14:paraId="18E729F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日</w:t>
            </w:r>
          </w:p>
        </w:tc>
        <w:tc>
          <w:tcPr>
            <w:tcW w:w="2410" w:type="dxa"/>
            <w:tcBorders>
              <w:top w:val="single" w:sz="2" w:space="0" w:color="auto"/>
              <w:left w:val="single" w:sz="2" w:space="0" w:color="auto"/>
              <w:bottom w:val="single" w:sz="2" w:space="0" w:color="auto"/>
              <w:right w:val="single" w:sz="2" w:space="0" w:color="auto"/>
            </w:tcBorders>
            <w:vAlign w:val="center"/>
          </w:tcPr>
          <w:p w14:paraId="77417F9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详见巨潮资讯网（</w:t>
            </w:r>
            <w:r w:rsidRPr="00F614F9">
              <w:rPr>
                <w:rFonts w:ascii="Times New Roman" w:eastAsia="宋体" w:hAnsi="Times New Roman" w:cs="宋体"/>
                <w:sz w:val="18"/>
                <w:szCs w:val="18"/>
              </w:rPr>
              <w:t>http://www.cninfo.com.cn</w:t>
            </w:r>
            <w:r w:rsidRPr="00F614F9">
              <w:rPr>
                <w:rFonts w:ascii="Times New Roman" w:eastAsia="宋体" w:hAnsi="Times New Roman" w:cs="宋体"/>
                <w:sz w:val="18"/>
                <w:szCs w:val="18"/>
              </w:rPr>
              <w:t>）《第五届董事会第十四次会议决议公告》（</w:t>
            </w:r>
            <w:r w:rsidRPr="00F614F9">
              <w:rPr>
                <w:rFonts w:ascii="Times New Roman" w:eastAsia="宋体" w:hAnsi="Times New Roman" w:cs="宋体"/>
                <w:sz w:val="18"/>
                <w:szCs w:val="18"/>
              </w:rPr>
              <w:t>2023-049)</w:t>
            </w:r>
          </w:p>
        </w:tc>
      </w:tr>
      <w:tr w:rsidR="001D26E7" w:rsidRPr="00F614F9" w14:paraId="37457233"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024514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第五届董事会第十五次会议</w:t>
            </w:r>
          </w:p>
        </w:tc>
        <w:tc>
          <w:tcPr>
            <w:tcW w:w="2410" w:type="dxa"/>
            <w:tcBorders>
              <w:top w:val="single" w:sz="2" w:space="0" w:color="auto"/>
              <w:left w:val="single" w:sz="2" w:space="0" w:color="auto"/>
              <w:bottom w:val="single" w:sz="2" w:space="0" w:color="auto"/>
              <w:right w:val="single" w:sz="2" w:space="0" w:color="auto"/>
            </w:tcBorders>
            <w:vAlign w:val="center"/>
          </w:tcPr>
          <w:p w14:paraId="3C4E032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14</w:t>
            </w:r>
            <w:r w:rsidRPr="00F614F9">
              <w:rPr>
                <w:rFonts w:ascii="Times New Roman" w:eastAsia="宋体" w:hAnsi="Times New Roman" w:cs="宋体"/>
                <w:sz w:val="18"/>
                <w:szCs w:val="18"/>
              </w:rPr>
              <w:t>日</w:t>
            </w:r>
          </w:p>
        </w:tc>
        <w:tc>
          <w:tcPr>
            <w:tcW w:w="2410" w:type="dxa"/>
            <w:tcBorders>
              <w:top w:val="single" w:sz="2" w:space="0" w:color="auto"/>
              <w:left w:val="single" w:sz="2" w:space="0" w:color="auto"/>
              <w:bottom w:val="single" w:sz="2" w:space="0" w:color="auto"/>
              <w:right w:val="single" w:sz="2" w:space="0" w:color="auto"/>
            </w:tcBorders>
            <w:vAlign w:val="center"/>
          </w:tcPr>
          <w:p w14:paraId="17DCCA2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15</w:t>
            </w:r>
            <w:r w:rsidRPr="00F614F9">
              <w:rPr>
                <w:rFonts w:ascii="Times New Roman" w:eastAsia="宋体" w:hAnsi="Times New Roman" w:cs="宋体"/>
                <w:sz w:val="18"/>
                <w:szCs w:val="18"/>
              </w:rPr>
              <w:t>日</w:t>
            </w:r>
          </w:p>
        </w:tc>
        <w:tc>
          <w:tcPr>
            <w:tcW w:w="2410" w:type="dxa"/>
            <w:tcBorders>
              <w:top w:val="single" w:sz="2" w:space="0" w:color="auto"/>
              <w:left w:val="single" w:sz="2" w:space="0" w:color="auto"/>
              <w:bottom w:val="single" w:sz="2" w:space="0" w:color="auto"/>
              <w:right w:val="single" w:sz="2" w:space="0" w:color="auto"/>
            </w:tcBorders>
            <w:vAlign w:val="center"/>
          </w:tcPr>
          <w:p w14:paraId="0C44678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详见巨潮资讯网（</w:t>
            </w:r>
            <w:r w:rsidRPr="00F614F9">
              <w:rPr>
                <w:rFonts w:ascii="Times New Roman" w:eastAsia="宋体" w:hAnsi="Times New Roman" w:cs="宋体"/>
                <w:sz w:val="18"/>
                <w:szCs w:val="18"/>
              </w:rPr>
              <w:t>http://www.cninfo.com.cn</w:t>
            </w:r>
            <w:r w:rsidRPr="00F614F9">
              <w:rPr>
                <w:rFonts w:ascii="Times New Roman" w:eastAsia="宋体" w:hAnsi="Times New Roman" w:cs="宋体"/>
                <w:sz w:val="18"/>
                <w:szCs w:val="18"/>
              </w:rPr>
              <w:t>）《第五届董事会第十五次会议决议公告》（</w:t>
            </w:r>
            <w:r w:rsidRPr="00F614F9">
              <w:rPr>
                <w:rFonts w:ascii="Times New Roman" w:eastAsia="宋体" w:hAnsi="Times New Roman" w:cs="宋体"/>
                <w:sz w:val="18"/>
                <w:szCs w:val="18"/>
              </w:rPr>
              <w:t>2023-058</w:t>
            </w:r>
            <w:r w:rsidRPr="00F614F9">
              <w:rPr>
                <w:rFonts w:ascii="Times New Roman" w:eastAsia="宋体" w:hAnsi="Times New Roman" w:cs="宋体"/>
                <w:sz w:val="18"/>
                <w:szCs w:val="18"/>
              </w:rPr>
              <w:t>）</w:t>
            </w:r>
          </w:p>
        </w:tc>
      </w:tr>
      <w:tr w:rsidR="001D26E7" w:rsidRPr="00F614F9" w14:paraId="2D6BF28D"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E3AF08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第五届董事会第十六次会议</w:t>
            </w:r>
          </w:p>
        </w:tc>
        <w:tc>
          <w:tcPr>
            <w:tcW w:w="2410" w:type="dxa"/>
            <w:tcBorders>
              <w:top w:val="single" w:sz="2" w:space="0" w:color="auto"/>
              <w:left w:val="single" w:sz="2" w:space="0" w:color="auto"/>
              <w:bottom w:val="single" w:sz="2" w:space="0" w:color="auto"/>
              <w:right w:val="single" w:sz="2" w:space="0" w:color="auto"/>
            </w:tcBorders>
            <w:vAlign w:val="center"/>
          </w:tcPr>
          <w:p w14:paraId="362A81B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30</w:t>
            </w:r>
            <w:r w:rsidRPr="00F614F9">
              <w:rPr>
                <w:rFonts w:ascii="Times New Roman" w:eastAsia="宋体" w:hAnsi="Times New Roman" w:cs="宋体"/>
                <w:sz w:val="18"/>
                <w:szCs w:val="18"/>
              </w:rPr>
              <w:t>日</w:t>
            </w:r>
          </w:p>
        </w:tc>
        <w:tc>
          <w:tcPr>
            <w:tcW w:w="2410" w:type="dxa"/>
            <w:tcBorders>
              <w:top w:val="single" w:sz="2" w:space="0" w:color="auto"/>
              <w:left w:val="single" w:sz="2" w:space="0" w:color="auto"/>
              <w:bottom w:val="single" w:sz="2" w:space="0" w:color="auto"/>
              <w:right w:val="single" w:sz="2" w:space="0" w:color="auto"/>
            </w:tcBorders>
            <w:vAlign w:val="center"/>
          </w:tcPr>
          <w:p w14:paraId="17BF7AD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31</w:t>
            </w:r>
            <w:r w:rsidRPr="00F614F9">
              <w:rPr>
                <w:rFonts w:ascii="Times New Roman" w:eastAsia="宋体" w:hAnsi="Times New Roman" w:cs="宋体"/>
                <w:sz w:val="18"/>
                <w:szCs w:val="18"/>
              </w:rPr>
              <w:t>日</w:t>
            </w:r>
          </w:p>
        </w:tc>
        <w:tc>
          <w:tcPr>
            <w:tcW w:w="2410" w:type="dxa"/>
            <w:tcBorders>
              <w:top w:val="single" w:sz="2" w:space="0" w:color="auto"/>
              <w:left w:val="single" w:sz="2" w:space="0" w:color="auto"/>
              <w:bottom w:val="single" w:sz="2" w:space="0" w:color="auto"/>
              <w:right w:val="single" w:sz="2" w:space="0" w:color="auto"/>
            </w:tcBorders>
            <w:vAlign w:val="center"/>
          </w:tcPr>
          <w:p w14:paraId="27D83B6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详见巨潮资讯网（</w:t>
            </w:r>
            <w:r w:rsidRPr="00F614F9">
              <w:rPr>
                <w:rFonts w:ascii="Times New Roman" w:eastAsia="宋体" w:hAnsi="Times New Roman" w:cs="宋体"/>
                <w:sz w:val="18"/>
                <w:szCs w:val="18"/>
              </w:rPr>
              <w:t>http://www.cninfo.com.cn</w:t>
            </w:r>
            <w:r w:rsidRPr="00F614F9">
              <w:rPr>
                <w:rFonts w:ascii="Times New Roman" w:eastAsia="宋体" w:hAnsi="Times New Roman" w:cs="宋体"/>
                <w:sz w:val="18"/>
                <w:szCs w:val="18"/>
              </w:rPr>
              <w:t>）《第五届董事会第十六次会议决议公告》（</w:t>
            </w:r>
            <w:r w:rsidRPr="00F614F9">
              <w:rPr>
                <w:rFonts w:ascii="Times New Roman" w:eastAsia="宋体" w:hAnsi="Times New Roman" w:cs="宋体"/>
                <w:sz w:val="18"/>
                <w:szCs w:val="18"/>
              </w:rPr>
              <w:t>2023-064</w:t>
            </w:r>
            <w:r w:rsidRPr="00F614F9">
              <w:rPr>
                <w:rFonts w:ascii="Times New Roman" w:eastAsia="宋体" w:hAnsi="Times New Roman" w:cs="宋体"/>
                <w:sz w:val="18"/>
                <w:szCs w:val="18"/>
              </w:rPr>
              <w:t>）</w:t>
            </w:r>
          </w:p>
        </w:tc>
      </w:tr>
      <w:tr w:rsidR="001D26E7" w:rsidRPr="00F614F9" w14:paraId="0B0F1710"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144E90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第五届董事会第十七次会议</w:t>
            </w:r>
          </w:p>
        </w:tc>
        <w:tc>
          <w:tcPr>
            <w:tcW w:w="2410" w:type="dxa"/>
            <w:tcBorders>
              <w:top w:val="single" w:sz="2" w:space="0" w:color="auto"/>
              <w:left w:val="single" w:sz="2" w:space="0" w:color="auto"/>
              <w:bottom w:val="single" w:sz="2" w:space="0" w:color="auto"/>
              <w:right w:val="single" w:sz="2" w:space="0" w:color="auto"/>
            </w:tcBorders>
            <w:vAlign w:val="center"/>
          </w:tcPr>
          <w:p w14:paraId="6BACC1A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19</w:t>
            </w:r>
            <w:r w:rsidRPr="00F614F9">
              <w:rPr>
                <w:rFonts w:ascii="Times New Roman" w:eastAsia="宋体" w:hAnsi="Times New Roman" w:cs="宋体"/>
                <w:sz w:val="18"/>
                <w:szCs w:val="18"/>
              </w:rPr>
              <w:t>日</w:t>
            </w:r>
          </w:p>
        </w:tc>
        <w:tc>
          <w:tcPr>
            <w:tcW w:w="2410" w:type="dxa"/>
            <w:tcBorders>
              <w:top w:val="single" w:sz="2" w:space="0" w:color="auto"/>
              <w:left w:val="single" w:sz="2" w:space="0" w:color="auto"/>
              <w:bottom w:val="single" w:sz="2" w:space="0" w:color="auto"/>
              <w:right w:val="single" w:sz="2" w:space="0" w:color="auto"/>
            </w:tcBorders>
            <w:vAlign w:val="center"/>
          </w:tcPr>
          <w:p w14:paraId="5D8D22A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2410" w:type="dxa"/>
            <w:tcBorders>
              <w:top w:val="single" w:sz="2" w:space="0" w:color="auto"/>
              <w:left w:val="single" w:sz="2" w:space="0" w:color="auto"/>
              <w:bottom w:val="single" w:sz="2" w:space="0" w:color="auto"/>
              <w:right w:val="single" w:sz="2" w:space="0" w:color="auto"/>
            </w:tcBorders>
            <w:vAlign w:val="center"/>
          </w:tcPr>
          <w:p w14:paraId="0A76CFD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详见巨潮资讯网（</w:t>
            </w:r>
            <w:r w:rsidRPr="00F614F9">
              <w:rPr>
                <w:rFonts w:ascii="Times New Roman" w:eastAsia="宋体" w:hAnsi="Times New Roman" w:cs="宋体"/>
                <w:sz w:val="18"/>
                <w:szCs w:val="18"/>
              </w:rPr>
              <w:t>http://www.cninfo.com.cn</w:t>
            </w:r>
            <w:r w:rsidRPr="00F614F9">
              <w:rPr>
                <w:rFonts w:ascii="Times New Roman" w:eastAsia="宋体" w:hAnsi="Times New Roman" w:cs="宋体"/>
                <w:sz w:val="18"/>
                <w:szCs w:val="18"/>
              </w:rPr>
              <w:t>）《第五届董事会第十七次会议决议公告》（</w:t>
            </w:r>
            <w:r w:rsidRPr="00F614F9">
              <w:rPr>
                <w:rFonts w:ascii="Times New Roman" w:eastAsia="宋体" w:hAnsi="Times New Roman" w:cs="宋体"/>
                <w:sz w:val="18"/>
                <w:szCs w:val="18"/>
              </w:rPr>
              <w:t>2023-077</w:t>
            </w:r>
            <w:r w:rsidRPr="00F614F9">
              <w:rPr>
                <w:rFonts w:ascii="Times New Roman" w:eastAsia="宋体" w:hAnsi="Times New Roman" w:cs="宋体"/>
                <w:sz w:val="18"/>
                <w:szCs w:val="18"/>
              </w:rPr>
              <w:t>）</w:t>
            </w:r>
          </w:p>
        </w:tc>
      </w:tr>
      <w:tr w:rsidR="001D26E7" w:rsidRPr="00F614F9" w14:paraId="6B1E82FE"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CF472A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第五届董事会第十八次会议</w:t>
            </w:r>
          </w:p>
        </w:tc>
        <w:tc>
          <w:tcPr>
            <w:tcW w:w="2410" w:type="dxa"/>
            <w:tcBorders>
              <w:top w:val="single" w:sz="2" w:space="0" w:color="auto"/>
              <w:left w:val="single" w:sz="2" w:space="0" w:color="auto"/>
              <w:bottom w:val="single" w:sz="2" w:space="0" w:color="auto"/>
              <w:right w:val="single" w:sz="2" w:space="0" w:color="auto"/>
            </w:tcBorders>
            <w:vAlign w:val="center"/>
          </w:tcPr>
          <w:p w14:paraId="28DECF6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2410" w:type="dxa"/>
            <w:tcBorders>
              <w:top w:val="single" w:sz="2" w:space="0" w:color="auto"/>
              <w:left w:val="single" w:sz="2" w:space="0" w:color="auto"/>
              <w:bottom w:val="single" w:sz="2" w:space="0" w:color="auto"/>
              <w:right w:val="single" w:sz="2" w:space="0" w:color="auto"/>
            </w:tcBorders>
            <w:vAlign w:val="center"/>
          </w:tcPr>
          <w:p w14:paraId="06C7636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21</w:t>
            </w:r>
            <w:r w:rsidRPr="00F614F9">
              <w:rPr>
                <w:rFonts w:ascii="Times New Roman" w:eastAsia="宋体" w:hAnsi="Times New Roman" w:cs="宋体"/>
                <w:sz w:val="18"/>
                <w:szCs w:val="18"/>
              </w:rPr>
              <w:t>日</w:t>
            </w:r>
          </w:p>
        </w:tc>
        <w:tc>
          <w:tcPr>
            <w:tcW w:w="2410" w:type="dxa"/>
            <w:tcBorders>
              <w:top w:val="single" w:sz="2" w:space="0" w:color="auto"/>
              <w:left w:val="single" w:sz="2" w:space="0" w:color="auto"/>
              <w:bottom w:val="single" w:sz="2" w:space="0" w:color="auto"/>
              <w:right w:val="single" w:sz="2" w:space="0" w:color="auto"/>
            </w:tcBorders>
            <w:vAlign w:val="center"/>
          </w:tcPr>
          <w:p w14:paraId="2A3C6C9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详见巨潮资讯网（</w:t>
            </w:r>
            <w:r w:rsidRPr="00F614F9">
              <w:rPr>
                <w:rFonts w:ascii="Times New Roman" w:eastAsia="宋体" w:hAnsi="Times New Roman" w:cs="宋体"/>
                <w:sz w:val="18"/>
                <w:szCs w:val="18"/>
              </w:rPr>
              <w:t>http://www.cninfo.com.cn</w:t>
            </w:r>
            <w:r w:rsidRPr="00F614F9">
              <w:rPr>
                <w:rFonts w:ascii="Times New Roman" w:eastAsia="宋体" w:hAnsi="Times New Roman" w:cs="宋体"/>
                <w:sz w:val="18"/>
                <w:szCs w:val="18"/>
              </w:rPr>
              <w:t>）《第五届董事会第十八次会议决议公告》（</w:t>
            </w:r>
            <w:r w:rsidRPr="00F614F9">
              <w:rPr>
                <w:rFonts w:ascii="Times New Roman" w:eastAsia="宋体" w:hAnsi="Times New Roman" w:cs="宋体"/>
                <w:sz w:val="18"/>
                <w:szCs w:val="18"/>
              </w:rPr>
              <w:t>2023-082</w:t>
            </w:r>
            <w:r w:rsidRPr="00F614F9">
              <w:rPr>
                <w:rFonts w:ascii="Times New Roman" w:eastAsia="宋体" w:hAnsi="Times New Roman" w:cs="宋体"/>
                <w:sz w:val="18"/>
                <w:szCs w:val="18"/>
              </w:rPr>
              <w:t>）</w:t>
            </w:r>
          </w:p>
        </w:tc>
      </w:tr>
      <w:tr w:rsidR="001D26E7" w:rsidRPr="00F614F9" w14:paraId="52517A6C"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C94359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第五届董事会第十九次会议</w:t>
            </w:r>
          </w:p>
        </w:tc>
        <w:tc>
          <w:tcPr>
            <w:tcW w:w="2410" w:type="dxa"/>
            <w:tcBorders>
              <w:top w:val="single" w:sz="2" w:space="0" w:color="auto"/>
              <w:left w:val="single" w:sz="2" w:space="0" w:color="auto"/>
              <w:bottom w:val="single" w:sz="2" w:space="0" w:color="auto"/>
              <w:right w:val="single" w:sz="2" w:space="0" w:color="auto"/>
            </w:tcBorders>
            <w:vAlign w:val="center"/>
          </w:tcPr>
          <w:p w14:paraId="2CD8001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日</w:t>
            </w:r>
          </w:p>
        </w:tc>
        <w:tc>
          <w:tcPr>
            <w:tcW w:w="2410" w:type="dxa"/>
            <w:tcBorders>
              <w:top w:val="single" w:sz="2" w:space="0" w:color="auto"/>
              <w:left w:val="single" w:sz="2" w:space="0" w:color="auto"/>
              <w:bottom w:val="single" w:sz="2" w:space="0" w:color="auto"/>
              <w:right w:val="single" w:sz="2" w:space="0" w:color="auto"/>
            </w:tcBorders>
            <w:vAlign w:val="center"/>
          </w:tcPr>
          <w:p w14:paraId="7587B12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日</w:t>
            </w:r>
          </w:p>
        </w:tc>
        <w:tc>
          <w:tcPr>
            <w:tcW w:w="2410" w:type="dxa"/>
            <w:tcBorders>
              <w:top w:val="single" w:sz="2" w:space="0" w:color="auto"/>
              <w:left w:val="single" w:sz="2" w:space="0" w:color="auto"/>
              <w:bottom w:val="single" w:sz="2" w:space="0" w:color="auto"/>
              <w:right w:val="single" w:sz="2" w:space="0" w:color="auto"/>
            </w:tcBorders>
            <w:vAlign w:val="center"/>
          </w:tcPr>
          <w:p w14:paraId="71A4976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详见巨潮资讯网（</w:t>
            </w:r>
            <w:r w:rsidRPr="00F614F9">
              <w:rPr>
                <w:rFonts w:ascii="Times New Roman" w:eastAsia="宋体" w:hAnsi="Times New Roman" w:cs="宋体"/>
                <w:sz w:val="18"/>
                <w:szCs w:val="18"/>
              </w:rPr>
              <w:t>http://www.cninfo.com.cn</w:t>
            </w:r>
            <w:r w:rsidRPr="00F614F9">
              <w:rPr>
                <w:rFonts w:ascii="Times New Roman" w:eastAsia="宋体" w:hAnsi="Times New Roman" w:cs="宋体"/>
                <w:sz w:val="18"/>
                <w:szCs w:val="18"/>
              </w:rPr>
              <w:t>）《第五届董事会第十九次会议决议公告》（</w:t>
            </w:r>
            <w:r w:rsidRPr="00F614F9">
              <w:rPr>
                <w:rFonts w:ascii="Times New Roman" w:eastAsia="宋体" w:hAnsi="Times New Roman" w:cs="宋体"/>
                <w:sz w:val="18"/>
                <w:szCs w:val="18"/>
              </w:rPr>
              <w:t>2023-089</w:t>
            </w:r>
            <w:r w:rsidRPr="00F614F9">
              <w:rPr>
                <w:rFonts w:ascii="Times New Roman" w:eastAsia="宋体" w:hAnsi="Times New Roman" w:cs="宋体"/>
                <w:sz w:val="18"/>
                <w:szCs w:val="18"/>
              </w:rPr>
              <w:t>）</w:t>
            </w:r>
          </w:p>
        </w:tc>
      </w:tr>
    </w:tbl>
    <w:p w14:paraId="1AD27500" w14:textId="77777777" w:rsidR="001D26E7" w:rsidRPr="00F614F9" w:rsidRDefault="00000000">
      <w:pPr>
        <w:pStyle w:val="3"/>
        <w:spacing w:line="280" w:lineRule="exact"/>
        <w:jc w:val="left"/>
        <w:rPr>
          <w:rFonts w:ascii="Times New Roman" w:hAnsi="Times New Roman" w:cs="宋体"/>
          <w:b/>
          <w:bCs/>
        </w:rPr>
      </w:pPr>
      <w:bookmarkStart w:id="96" w:name="_Toc988957"/>
      <w:r w:rsidRPr="00F614F9">
        <w:rPr>
          <w:rFonts w:ascii="Times New Roman" w:hAnsi="Times New Roman" w:cs="宋体"/>
          <w:b/>
          <w:bCs/>
        </w:rPr>
        <w:t>2</w:t>
      </w:r>
      <w:r w:rsidRPr="00F614F9">
        <w:rPr>
          <w:rFonts w:ascii="Times New Roman" w:hAnsi="Times New Roman" w:cs="宋体"/>
          <w:b/>
          <w:bCs/>
        </w:rPr>
        <w:t>、董事出席董事会及股东大会的情况</w:t>
      </w:r>
      <w:bookmarkEnd w:id="96"/>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205"/>
        <w:gridCol w:w="1205"/>
        <w:gridCol w:w="1205"/>
        <w:gridCol w:w="1205"/>
        <w:gridCol w:w="1205"/>
        <w:gridCol w:w="1205"/>
        <w:gridCol w:w="1205"/>
      </w:tblGrid>
      <w:tr w:rsidR="001D26E7" w:rsidRPr="00F614F9" w14:paraId="0F9333F7" w14:textId="77777777">
        <w:trPr>
          <w:trHeight w:val="240"/>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14:paraId="16DF4CD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董事出席董事会及股东大会的情况</w:t>
            </w:r>
          </w:p>
        </w:tc>
      </w:tr>
      <w:tr w:rsidR="001D26E7" w:rsidRPr="00F614F9" w14:paraId="7E109A4D"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D3D412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董事姓名</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51F863E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本报告期应参加董事会次数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11CA73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现场出席董事会次数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0348128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以通讯方式参加董事会次数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7EFC3A5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委托出席董事会次数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2D57A96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70B887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是否连续两次未亲自参加董事会会议</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307E730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出席股东大会次数</w:t>
            </w:r>
          </w:p>
        </w:tc>
      </w:tr>
      <w:tr w:rsidR="001D26E7" w:rsidRPr="00F614F9" w14:paraId="4249C4C7" w14:textId="77777777" w:rsidTr="001407A3">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5DFC8158"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杨晓初</w:t>
            </w:r>
          </w:p>
        </w:tc>
        <w:tc>
          <w:tcPr>
            <w:tcW w:w="1205" w:type="dxa"/>
            <w:tcBorders>
              <w:top w:val="single" w:sz="2" w:space="0" w:color="auto"/>
              <w:left w:val="single" w:sz="2" w:space="0" w:color="auto"/>
              <w:bottom w:val="single" w:sz="2" w:space="0" w:color="auto"/>
              <w:right w:val="single" w:sz="2" w:space="0" w:color="auto"/>
            </w:tcBorders>
            <w:vAlign w:val="center"/>
          </w:tcPr>
          <w:p w14:paraId="3AFAF319"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7</w:t>
            </w:r>
          </w:p>
        </w:tc>
        <w:tc>
          <w:tcPr>
            <w:tcW w:w="1205" w:type="dxa"/>
            <w:tcBorders>
              <w:top w:val="single" w:sz="2" w:space="0" w:color="auto"/>
              <w:left w:val="single" w:sz="2" w:space="0" w:color="auto"/>
              <w:bottom w:val="single" w:sz="2" w:space="0" w:color="auto"/>
              <w:right w:val="single" w:sz="2" w:space="0" w:color="auto"/>
            </w:tcBorders>
            <w:vAlign w:val="center"/>
          </w:tcPr>
          <w:p w14:paraId="484CCFA9"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7</w:t>
            </w:r>
          </w:p>
        </w:tc>
        <w:tc>
          <w:tcPr>
            <w:tcW w:w="1205" w:type="dxa"/>
            <w:tcBorders>
              <w:top w:val="single" w:sz="2" w:space="0" w:color="auto"/>
              <w:left w:val="single" w:sz="2" w:space="0" w:color="auto"/>
              <w:bottom w:val="single" w:sz="2" w:space="0" w:color="auto"/>
              <w:right w:val="single" w:sz="2" w:space="0" w:color="auto"/>
            </w:tcBorders>
            <w:vAlign w:val="center"/>
          </w:tcPr>
          <w:p w14:paraId="45C76E78"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0EE5D6E6"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2271FF36"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0A58834D"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00B1DBCC"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w:t>
            </w:r>
          </w:p>
        </w:tc>
      </w:tr>
      <w:tr w:rsidR="001D26E7" w:rsidRPr="00F614F9" w14:paraId="298B02D8" w14:textId="77777777" w:rsidTr="001407A3">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230ECB74"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王豪杰</w:t>
            </w:r>
          </w:p>
        </w:tc>
        <w:tc>
          <w:tcPr>
            <w:tcW w:w="1205" w:type="dxa"/>
            <w:tcBorders>
              <w:top w:val="single" w:sz="2" w:space="0" w:color="auto"/>
              <w:left w:val="single" w:sz="2" w:space="0" w:color="auto"/>
              <w:bottom w:val="single" w:sz="2" w:space="0" w:color="auto"/>
              <w:right w:val="single" w:sz="2" w:space="0" w:color="auto"/>
            </w:tcBorders>
            <w:vAlign w:val="center"/>
          </w:tcPr>
          <w:p w14:paraId="099FF92F"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14:paraId="592743F5"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14:paraId="5266FD92"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541AB5A3"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1FB701C3"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4ACB5D9F"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76D3770C"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w:t>
            </w:r>
          </w:p>
        </w:tc>
      </w:tr>
      <w:tr w:rsidR="001D26E7" w:rsidRPr="00F614F9" w14:paraId="3F97340A" w14:textId="77777777" w:rsidTr="001407A3">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54F8D922"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张瑞</w:t>
            </w:r>
          </w:p>
        </w:tc>
        <w:tc>
          <w:tcPr>
            <w:tcW w:w="1205" w:type="dxa"/>
            <w:tcBorders>
              <w:top w:val="single" w:sz="2" w:space="0" w:color="auto"/>
              <w:left w:val="single" w:sz="2" w:space="0" w:color="auto"/>
              <w:bottom w:val="single" w:sz="2" w:space="0" w:color="auto"/>
              <w:right w:val="single" w:sz="2" w:space="0" w:color="auto"/>
            </w:tcBorders>
            <w:vAlign w:val="center"/>
          </w:tcPr>
          <w:p w14:paraId="69AEBDD3"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14:paraId="6FB524A3"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14:paraId="134B6B04"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4F553E36"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14407B95"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08D1AE11"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6F0F78B9"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w:t>
            </w:r>
          </w:p>
        </w:tc>
      </w:tr>
      <w:tr w:rsidR="001D26E7" w:rsidRPr="00F614F9" w14:paraId="630EC386" w14:textId="77777777" w:rsidTr="001407A3">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26B42D97"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祝波</w:t>
            </w:r>
          </w:p>
        </w:tc>
        <w:tc>
          <w:tcPr>
            <w:tcW w:w="1205" w:type="dxa"/>
            <w:tcBorders>
              <w:top w:val="single" w:sz="2" w:space="0" w:color="auto"/>
              <w:left w:val="single" w:sz="2" w:space="0" w:color="auto"/>
              <w:bottom w:val="single" w:sz="2" w:space="0" w:color="auto"/>
              <w:right w:val="single" w:sz="2" w:space="0" w:color="auto"/>
            </w:tcBorders>
            <w:vAlign w:val="center"/>
          </w:tcPr>
          <w:p w14:paraId="6945B80B"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14:paraId="32B2750F"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14:paraId="03418BFB"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04A3D343"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1BEC51DD"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540D4F4F"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1DA877F5"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w:t>
            </w:r>
          </w:p>
        </w:tc>
      </w:tr>
      <w:tr w:rsidR="001D26E7" w:rsidRPr="00F614F9" w14:paraId="61E74828" w14:textId="77777777" w:rsidTr="001407A3">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486FDD7F"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周婧</w:t>
            </w:r>
          </w:p>
        </w:tc>
        <w:tc>
          <w:tcPr>
            <w:tcW w:w="1205" w:type="dxa"/>
            <w:tcBorders>
              <w:top w:val="single" w:sz="2" w:space="0" w:color="auto"/>
              <w:left w:val="single" w:sz="2" w:space="0" w:color="auto"/>
              <w:bottom w:val="single" w:sz="2" w:space="0" w:color="auto"/>
              <w:right w:val="single" w:sz="2" w:space="0" w:color="auto"/>
            </w:tcBorders>
            <w:vAlign w:val="center"/>
          </w:tcPr>
          <w:p w14:paraId="0691279C"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14:paraId="09A93051"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14:paraId="3AAF4015"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703A495B"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071D1F33"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034293D0"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2C2D5374"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w:t>
            </w:r>
          </w:p>
        </w:tc>
      </w:tr>
      <w:tr w:rsidR="001D26E7" w:rsidRPr="00F614F9" w14:paraId="3D93BCAA" w14:textId="77777777" w:rsidTr="001407A3">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00C80E29"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杨帆</w:t>
            </w:r>
          </w:p>
        </w:tc>
        <w:tc>
          <w:tcPr>
            <w:tcW w:w="1205" w:type="dxa"/>
            <w:tcBorders>
              <w:top w:val="single" w:sz="2" w:space="0" w:color="auto"/>
              <w:left w:val="single" w:sz="2" w:space="0" w:color="auto"/>
              <w:bottom w:val="single" w:sz="2" w:space="0" w:color="auto"/>
              <w:right w:val="single" w:sz="2" w:space="0" w:color="auto"/>
            </w:tcBorders>
            <w:vAlign w:val="center"/>
          </w:tcPr>
          <w:p w14:paraId="15D3F664"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14:paraId="7FA01658"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14:paraId="3B862644"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2476DD57"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7F1615E3"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0D52AA04"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37511B5E"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w:t>
            </w:r>
          </w:p>
        </w:tc>
      </w:tr>
      <w:tr w:rsidR="001D26E7" w:rsidRPr="00F614F9" w14:paraId="68AA0B79" w14:textId="77777777" w:rsidTr="001407A3">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67B9A597"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余茂鑫</w:t>
            </w:r>
          </w:p>
        </w:tc>
        <w:tc>
          <w:tcPr>
            <w:tcW w:w="1205" w:type="dxa"/>
            <w:tcBorders>
              <w:top w:val="single" w:sz="2" w:space="0" w:color="auto"/>
              <w:left w:val="single" w:sz="2" w:space="0" w:color="auto"/>
              <w:bottom w:val="single" w:sz="2" w:space="0" w:color="auto"/>
              <w:right w:val="single" w:sz="2" w:space="0" w:color="auto"/>
            </w:tcBorders>
            <w:vAlign w:val="center"/>
          </w:tcPr>
          <w:p w14:paraId="581277E8"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14:paraId="578EE841"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14:paraId="2070F1D0"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27F97721"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285BFA2B"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6B98FA8B"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66D085CE"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w:t>
            </w:r>
          </w:p>
        </w:tc>
      </w:tr>
      <w:tr w:rsidR="001D26E7" w:rsidRPr="00F614F9" w14:paraId="3AF73B65" w14:textId="77777777" w:rsidTr="001407A3">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5E87006A" w14:textId="77777777" w:rsidR="001D26E7" w:rsidRPr="00F614F9" w:rsidRDefault="00000000" w:rsidP="001407A3">
            <w:pPr>
              <w:spacing w:line="240" w:lineRule="exact"/>
              <w:jc w:val="center"/>
              <w:rPr>
                <w:rFonts w:ascii="Times New Roman" w:eastAsia="宋体" w:hAnsi="Times New Roman" w:cs="宋体"/>
                <w:sz w:val="18"/>
                <w:szCs w:val="18"/>
              </w:rPr>
            </w:pPr>
            <w:proofErr w:type="gramStart"/>
            <w:r w:rsidRPr="00F614F9">
              <w:rPr>
                <w:rFonts w:ascii="Times New Roman" w:eastAsia="宋体" w:hAnsi="Times New Roman" w:cs="宋体"/>
                <w:sz w:val="18"/>
                <w:szCs w:val="18"/>
              </w:rPr>
              <w:t>余宇</w:t>
            </w:r>
            <w:proofErr w:type="gramEnd"/>
          </w:p>
        </w:tc>
        <w:tc>
          <w:tcPr>
            <w:tcW w:w="1205" w:type="dxa"/>
            <w:tcBorders>
              <w:top w:val="single" w:sz="2" w:space="0" w:color="auto"/>
              <w:left w:val="single" w:sz="2" w:space="0" w:color="auto"/>
              <w:bottom w:val="single" w:sz="2" w:space="0" w:color="auto"/>
              <w:right w:val="single" w:sz="2" w:space="0" w:color="auto"/>
            </w:tcBorders>
            <w:vAlign w:val="center"/>
          </w:tcPr>
          <w:p w14:paraId="7C27CC14"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w:t>
            </w:r>
          </w:p>
        </w:tc>
        <w:tc>
          <w:tcPr>
            <w:tcW w:w="1205" w:type="dxa"/>
            <w:tcBorders>
              <w:top w:val="single" w:sz="2" w:space="0" w:color="auto"/>
              <w:left w:val="single" w:sz="2" w:space="0" w:color="auto"/>
              <w:bottom w:val="single" w:sz="2" w:space="0" w:color="auto"/>
              <w:right w:val="single" w:sz="2" w:space="0" w:color="auto"/>
            </w:tcBorders>
            <w:vAlign w:val="center"/>
          </w:tcPr>
          <w:p w14:paraId="1DCD18D9"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w:t>
            </w:r>
          </w:p>
        </w:tc>
        <w:tc>
          <w:tcPr>
            <w:tcW w:w="1205" w:type="dxa"/>
            <w:tcBorders>
              <w:top w:val="single" w:sz="2" w:space="0" w:color="auto"/>
              <w:left w:val="single" w:sz="2" w:space="0" w:color="auto"/>
              <w:bottom w:val="single" w:sz="2" w:space="0" w:color="auto"/>
              <w:right w:val="single" w:sz="2" w:space="0" w:color="auto"/>
            </w:tcBorders>
            <w:vAlign w:val="center"/>
          </w:tcPr>
          <w:p w14:paraId="603F00CA"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6C0E3BEB"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791D8DD8"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7DD791D3"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52023D51" w14:textId="77777777" w:rsidR="001D26E7" w:rsidRPr="00F614F9" w:rsidRDefault="00000000" w:rsidP="001407A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w:t>
            </w:r>
          </w:p>
        </w:tc>
      </w:tr>
    </w:tbl>
    <w:p w14:paraId="39AE6BE8"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连续两次未亲自出席董事会的说明</w:t>
      </w:r>
    </w:p>
    <w:p w14:paraId="736E716E" w14:textId="77777777" w:rsidR="00872599" w:rsidRPr="00F614F9" w:rsidRDefault="00000000" w:rsidP="001407A3">
      <w:pPr>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不适用</w:t>
      </w:r>
    </w:p>
    <w:p w14:paraId="6F02741B" w14:textId="77777777" w:rsidR="001D26E7" w:rsidRPr="00F614F9" w:rsidRDefault="00000000">
      <w:pPr>
        <w:pStyle w:val="3"/>
        <w:spacing w:line="280" w:lineRule="exact"/>
        <w:jc w:val="left"/>
        <w:rPr>
          <w:rFonts w:ascii="Times New Roman" w:hAnsi="Times New Roman" w:cs="宋体"/>
          <w:b/>
          <w:bCs/>
        </w:rPr>
      </w:pPr>
      <w:bookmarkStart w:id="97" w:name="_Toc988958"/>
      <w:r w:rsidRPr="00F614F9">
        <w:rPr>
          <w:rFonts w:ascii="Times New Roman" w:hAnsi="Times New Roman" w:cs="宋体"/>
          <w:b/>
          <w:bCs/>
        </w:rPr>
        <w:t>3</w:t>
      </w:r>
      <w:r w:rsidRPr="00F614F9">
        <w:rPr>
          <w:rFonts w:ascii="Times New Roman" w:hAnsi="Times New Roman" w:cs="宋体"/>
          <w:b/>
          <w:bCs/>
        </w:rPr>
        <w:t>、董事对公司有关事项提出异议的情况</w:t>
      </w:r>
      <w:bookmarkEnd w:id="97"/>
    </w:p>
    <w:p w14:paraId="4C2D266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董事对公司有关事项是否提出异议</w:t>
      </w:r>
    </w:p>
    <w:p w14:paraId="7B27C563"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否</w:t>
      </w:r>
    </w:p>
    <w:p w14:paraId="3FCC6418"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报告期内董事对公司有关事项未提出异议。</w:t>
      </w:r>
    </w:p>
    <w:p w14:paraId="1F28D3BF" w14:textId="77777777" w:rsidR="001D26E7" w:rsidRPr="00F614F9" w:rsidRDefault="00000000">
      <w:pPr>
        <w:pStyle w:val="3"/>
        <w:spacing w:line="280" w:lineRule="exact"/>
        <w:jc w:val="left"/>
        <w:rPr>
          <w:rFonts w:ascii="Times New Roman" w:hAnsi="Times New Roman" w:cs="宋体"/>
          <w:b/>
          <w:bCs/>
        </w:rPr>
      </w:pPr>
      <w:bookmarkStart w:id="98" w:name="_Toc988959"/>
      <w:r w:rsidRPr="00F614F9">
        <w:rPr>
          <w:rFonts w:ascii="Times New Roman" w:hAnsi="Times New Roman" w:cs="宋体"/>
          <w:b/>
          <w:bCs/>
        </w:rPr>
        <w:t>4</w:t>
      </w:r>
      <w:r w:rsidRPr="00F614F9">
        <w:rPr>
          <w:rFonts w:ascii="Times New Roman" w:hAnsi="Times New Roman" w:cs="宋体"/>
          <w:b/>
          <w:bCs/>
        </w:rPr>
        <w:t>、董事履行职责的其他说明</w:t>
      </w:r>
      <w:bookmarkEnd w:id="98"/>
    </w:p>
    <w:p w14:paraId="7C5016D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董事对公司有关建议是否被采纳</w:t>
      </w:r>
    </w:p>
    <w:p w14:paraId="2789D2E9"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否</w:t>
      </w:r>
    </w:p>
    <w:p w14:paraId="6D6CF82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董事对公司有关建议被采纳或未被采纳的说明</w:t>
      </w:r>
    </w:p>
    <w:p w14:paraId="0878E343" w14:textId="77777777" w:rsidR="00872599" w:rsidRPr="00F614F9" w:rsidRDefault="00000000" w:rsidP="001407A3">
      <w:pPr>
        <w:pStyle w:val="a3"/>
        <w:spacing w:before="0" w:beforeAutospacing="0" w:after="0" w:afterAutospacing="0" w:line="276" w:lineRule="auto"/>
        <w:ind w:firstLineChars="200" w:firstLine="360"/>
        <w:jc w:val="both"/>
        <w:divId w:val="176389117"/>
        <w:rPr>
          <w:rFonts w:ascii="Times New Roman" w:eastAsia="等线" w:hAnsi="Times New Roman"/>
          <w:sz w:val="21"/>
          <w:szCs w:val="21"/>
        </w:rPr>
      </w:pPr>
      <w:r w:rsidRPr="00F614F9">
        <w:rPr>
          <w:rFonts w:ascii="Times New Roman" w:hAnsi="Times New Roman" w:hint="eastAsia"/>
          <w:sz w:val="18"/>
          <w:szCs w:val="18"/>
        </w:rPr>
        <w:t>报告期内，公司董事严格按照《公司法》《证券法》《深圳证券交易所股票上市规则》《深圳证券交易所上市公司自律监管指引第</w:t>
      </w:r>
      <w:r w:rsidRPr="00F614F9">
        <w:rPr>
          <w:rFonts w:ascii="Times New Roman" w:hAnsi="Times New Roman" w:hint="eastAsia"/>
          <w:sz w:val="18"/>
          <w:szCs w:val="18"/>
        </w:rPr>
        <w:t>1</w:t>
      </w:r>
      <w:r w:rsidRPr="00F614F9">
        <w:rPr>
          <w:rFonts w:ascii="Times New Roman" w:hAnsi="Times New Roman" w:hint="eastAsia"/>
          <w:sz w:val="18"/>
          <w:szCs w:val="18"/>
        </w:rPr>
        <w:t>号——主板上市公司规范运作》等法律、法规及《公司章程》等公司制度的规定，依法履行职责。本着对全体股东负责的态度，恪尽职守、忠实勤勉的履行职责。积极出席董事会和股东大会，认真审议各项议案，对报告期内的同业竞争延期、对外担保、关联交易、利润分配等重大事项提出专业的意见和建议，维护公司及股东的合法权益，保障公司的规范运作和可持续发展。</w:t>
      </w:r>
    </w:p>
    <w:p w14:paraId="20B334D1"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99" w:name="_Toc988960"/>
      <w:bookmarkStart w:id="100" w:name="_Toc164024775"/>
      <w:r w:rsidRPr="00F614F9">
        <w:rPr>
          <w:rFonts w:ascii="Times New Roman" w:eastAsia="宋体" w:hAnsi="Times New Roman" w:cs="宋体"/>
          <w:b/>
          <w:bCs/>
          <w:sz w:val="24"/>
          <w:szCs w:val="24"/>
        </w:rPr>
        <w:t>七、董事会下设专门委员会在报告期内的情况</w:t>
      </w:r>
      <w:bookmarkEnd w:id="99"/>
      <w:bookmarkEnd w:id="100"/>
    </w:p>
    <w:tbl>
      <w:tblPr>
        <w:tblW w:w="9781"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851"/>
        <w:gridCol w:w="709"/>
        <w:gridCol w:w="1275"/>
        <w:gridCol w:w="3402"/>
        <w:gridCol w:w="1134"/>
        <w:gridCol w:w="851"/>
        <w:gridCol w:w="992"/>
      </w:tblGrid>
      <w:tr w:rsidR="002B7559" w:rsidRPr="00F614F9" w14:paraId="77B636B9" w14:textId="77777777" w:rsidTr="002B7559">
        <w:trPr>
          <w:trHeight w:val="240"/>
        </w:trPr>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15FE079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委员会名称</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4D7651F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成员情况</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4F338BA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召开会议次数</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14:paraId="0782845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召开日期</w:t>
            </w:r>
          </w:p>
        </w:tc>
        <w:tc>
          <w:tcPr>
            <w:tcW w:w="3402" w:type="dxa"/>
            <w:tcBorders>
              <w:top w:val="single" w:sz="2" w:space="0" w:color="auto"/>
              <w:left w:val="single" w:sz="2" w:space="0" w:color="auto"/>
              <w:bottom w:val="single" w:sz="2" w:space="0" w:color="auto"/>
              <w:right w:val="single" w:sz="2" w:space="0" w:color="auto"/>
            </w:tcBorders>
            <w:shd w:val="clear" w:color="auto" w:fill="D3D3D3"/>
            <w:vAlign w:val="center"/>
          </w:tcPr>
          <w:p w14:paraId="351B567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会议内容</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4D200A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提出的重要意见和建议</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3770018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其他履行职责的情况</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5EF853D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异议事项具体情况（如有）</w:t>
            </w:r>
          </w:p>
        </w:tc>
      </w:tr>
      <w:tr w:rsidR="001D26E7" w:rsidRPr="00F614F9" w14:paraId="7D6ACDFA" w14:textId="77777777" w:rsidTr="002B7559">
        <w:trPr>
          <w:trHeight w:val="240"/>
        </w:trPr>
        <w:tc>
          <w:tcPr>
            <w:tcW w:w="567" w:type="dxa"/>
            <w:tcBorders>
              <w:top w:val="single" w:sz="2" w:space="0" w:color="auto"/>
              <w:left w:val="single" w:sz="2" w:space="0" w:color="auto"/>
              <w:bottom w:val="single" w:sz="2" w:space="0" w:color="auto"/>
              <w:right w:val="single" w:sz="2" w:space="0" w:color="auto"/>
            </w:tcBorders>
            <w:vAlign w:val="center"/>
          </w:tcPr>
          <w:p w14:paraId="245E579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审计委员会</w:t>
            </w:r>
          </w:p>
        </w:tc>
        <w:tc>
          <w:tcPr>
            <w:tcW w:w="851" w:type="dxa"/>
            <w:tcBorders>
              <w:top w:val="single" w:sz="2" w:space="0" w:color="auto"/>
              <w:left w:val="single" w:sz="2" w:space="0" w:color="auto"/>
              <w:bottom w:val="single" w:sz="2" w:space="0" w:color="auto"/>
              <w:right w:val="single" w:sz="2" w:space="0" w:color="auto"/>
            </w:tcBorders>
            <w:vAlign w:val="center"/>
          </w:tcPr>
          <w:p w14:paraId="5251E8A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周婧、余茂鑫、余宇</w:t>
            </w:r>
          </w:p>
        </w:tc>
        <w:tc>
          <w:tcPr>
            <w:tcW w:w="709" w:type="dxa"/>
            <w:tcBorders>
              <w:top w:val="single" w:sz="2" w:space="0" w:color="auto"/>
              <w:left w:val="single" w:sz="2" w:space="0" w:color="auto"/>
              <w:bottom w:val="single" w:sz="2" w:space="0" w:color="auto"/>
              <w:right w:val="single" w:sz="2" w:space="0" w:color="auto"/>
            </w:tcBorders>
            <w:vAlign w:val="center"/>
          </w:tcPr>
          <w:p w14:paraId="2B5666F8"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w:t>
            </w:r>
          </w:p>
        </w:tc>
        <w:tc>
          <w:tcPr>
            <w:tcW w:w="1275" w:type="dxa"/>
            <w:tcBorders>
              <w:top w:val="single" w:sz="2" w:space="0" w:color="auto"/>
              <w:left w:val="single" w:sz="2" w:space="0" w:color="auto"/>
              <w:bottom w:val="single" w:sz="2" w:space="0" w:color="auto"/>
              <w:right w:val="single" w:sz="2" w:space="0" w:color="auto"/>
            </w:tcBorders>
            <w:vAlign w:val="center"/>
          </w:tcPr>
          <w:p w14:paraId="2CB902F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28</w:t>
            </w:r>
            <w:r w:rsidRPr="00F614F9">
              <w:rPr>
                <w:rFonts w:ascii="Times New Roman" w:eastAsia="宋体" w:hAnsi="Times New Roman" w:cs="宋体"/>
                <w:sz w:val="18"/>
                <w:szCs w:val="18"/>
              </w:rPr>
              <w:t>日</w:t>
            </w:r>
          </w:p>
        </w:tc>
        <w:tc>
          <w:tcPr>
            <w:tcW w:w="3402" w:type="dxa"/>
            <w:tcBorders>
              <w:top w:val="single" w:sz="2" w:space="0" w:color="auto"/>
              <w:left w:val="single" w:sz="2" w:space="0" w:color="auto"/>
              <w:bottom w:val="single" w:sz="2" w:space="0" w:color="auto"/>
              <w:right w:val="single" w:sz="2" w:space="0" w:color="auto"/>
            </w:tcBorders>
            <w:vAlign w:val="center"/>
          </w:tcPr>
          <w:p w14:paraId="50B2E95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审议《</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年度财务决算报告》《</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年年度报告全文及摘要》《</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年度内部控制自我评价报告》《关于募集资金年度存放与实际使用情况的专项报告》《</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年第一季度报告全文及正文》《审计部</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年度工作报告》《审计部</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年第一季度工作报告及下一步工作计划》《关于变更会计政策的议案》</w:t>
            </w:r>
            <w:r w:rsidRPr="00F614F9">
              <w:rPr>
                <w:rFonts w:ascii="Times New Roman" w:eastAsia="宋体" w:hAnsi="Times New Roman" w:cs="宋体"/>
                <w:sz w:val="18"/>
                <w:szCs w:val="18"/>
              </w:rPr>
              <w:t>8</w:t>
            </w:r>
            <w:r w:rsidRPr="00F614F9">
              <w:rPr>
                <w:rFonts w:ascii="Times New Roman" w:eastAsia="宋体" w:hAnsi="Times New Roman" w:cs="宋体"/>
                <w:sz w:val="18"/>
                <w:szCs w:val="18"/>
              </w:rPr>
              <w:t>个议案</w:t>
            </w:r>
          </w:p>
        </w:tc>
        <w:tc>
          <w:tcPr>
            <w:tcW w:w="1134" w:type="dxa"/>
            <w:tcBorders>
              <w:top w:val="single" w:sz="2" w:space="0" w:color="auto"/>
              <w:left w:val="single" w:sz="2" w:space="0" w:color="auto"/>
              <w:bottom w:val="single" w:sz="2" w:space="0" w:color="auto"/>
              <w:right w:val="single" w:sz="2" w:space="0" w:color="auto"/>
            </w:tcBorders>
            <w:vAlign w:val="center"/>
          </w:tcPr>
          <w:p w14:paraId="7AAF5A6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同意各议案</w:t>
            </w:r>
          </w:p>
        </w:tc>
        <w:tc>
          <w:tcPr>
            <w:tcW w:w="851" w:type="dxa"/>
            <w:tcBorders>
              <w:top w:val="single" w:sz="2" w:space="0" w:color="auto"/>
              <w:left w:val="single" w:sz="2" w:space="0" w:color="auto"/>
              <w:bottom w:val="single" w:sz="2" w:space="0" w:color="auto"/>
              <w:right w:val="single" w:sz="2" w:space="0" w:color="auto"/>
            </w:tcBorders>
            <w:vAlign w:val="center"/>
          </w:tcPr>
          <w:p w14:paraId="342BA4B7"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c>
          <w:tcPr>
            <w:tcW w:w="992" w:type="dxa"/>
            <w:tcBorders>
              <w:top w:val="single" w:sz="2" w:space="0" w:color="auto"/>
              <w:left w:val="single" w:sz="2" w:space="0" w:color="auto"/>
              <w:bottom w:val="single" w:sz="2" w:space="0" w:color="auto"/>
              <w:right w:val="single" w:sz="2" w:space="0" w:color="auto"/>
            </w:tcBorders>
            <w:vAlign w:val="center"/>
          </w:tcPr>
          <w:p w14:paraId="095ADA06"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r>
      <w:tr w:rsidR="001D26E7" w:rsidRPr="00F614F9" w14:paraId="5D14F55E" w14:textId="77777777" w:rsidTr="002B7559">
        <w:trPr>
          <w:trHeight w:val="240"/>
        </w:trPr>
        <w:tc>
          <w:tcPr>
            <w:tcW w:w="567" w:type="dxa"/>
            <w:tcBorders>
              <w:top w:val="single" w:sz="2" w:space="0" w:color="auto"/>
              <w:left w:val="single" w:sz="2" w:space="0" w:color="auto"/>
              <w:bottom w:val="single" w:sz="2" w:space="0" w:color="auto"/>
              <w:right w:val="single" w:sz="2" w:space="0" w:color="auto"/>
            </w:tcBorders>
            <w:vAlign w:val="center"/>
          </w:tcPr>
          <w:p w14:paraId="056CD9B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审计委员会</w:t>
            </w:r>
          </w:p>
        </w:tc>
        <w:tc>
          <w:tcPr>
            <w:tcW w:w="851" w:type="dxa"/>
            <w:tcBorders>
              <w:top w:val="single" w:sz="2" w:space="0" w:color="auto"/>
              <w:left w:val="single" w:sz="2" w:space="0" w:color="auto"/>
              <w:bottom w:val="single" w:sz="2" w:space="0" w:color="auto"/>
              <w:right w:val="single" w:sz="2" w:space="0" w:color="auto"/>
            </w:tcBorders>
            <w:vAlign w:val="center"/>
          </w:tcPr>
          <w:p w14:paraId="3BE84E7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周婧、余茂鑫、杨晓初</w:t>
            </w:r>
          </w:p>
        </w:tc>
        <w:tc>
          <w:tcPr>
            <w:tcW w:w="709" w:type="dxa"/>
            <w:tcBorders>
              <w:top w:val="single" w:sz="2" w:space="0" w:color="auto"/>
              <w:left w:val="single" w:sz="2" w:space="0" w:color="auto"/>
              <w:bottom w:val="single" w:sz="2" w:space="0" w:color="auto"/>
              <w:right w:val="single" w:sz="2" w:space="0" w:color="auto"/>
            </w:tcBorders>
            <w:vAlign w:val="center"/>
          </w:tcPr>
          <w:p w14:paraId="5A170C09"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w:t>
            </w:r>
          </w:p>
        </w:tc>
        <w:tc>
          <w:tcPr>
            <w:tcW w:w="1275" w:type="dxa"/>
            <w:tcBorders>
              <w:top w:val="single" w:sz="2" w:space="0" w:color="auto"/>
              <w:left w:val="single" w:sz="2" w:space="0" w:color="auto"/>
              <w:bottom w:val="single" w:sz="2" w:space="0" w:color="auto"/>
              <w:right w:val="single" w:sz="2" w:space="0" w:color="auto"/>
            </w:tcBorders>
            <w:vAlign w:val="center"/>
          </w:tcPr>
          <w:p w14:paraId="4135A92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21</w:t>
            </w:r>
            <w:r w:rsidRPr="00F614F9">
              <w:rPr>
                <w:rFonts w:ascii="Times New Roman" w:eastAsia="宋体" w:hAnsi="Times New Roman" w:cs="宋体"/>
                <w:sz w:val="18"/>
                <w:szCs w:val="18"/>
              </w:rPr>
              <w:t>日</w:t>
            </w:r>
          </w:p>
        </w:tc>
        <w:tc>
          <w:tcPr>
            <w:tcW w:w="3402" w:type="dxa"/>
            <w:tcBorders>
              <w:top w:val="single" w:sz="2" w:space="0" w:color="auto"/>
              <w:left w:val="single" w:sz="2" w:space="0" w:color="auto"/>
              <w:bottom w:val="single" w:sz="2" w:space="0" w:color="auto"/>
              <w:right w:val="single" w:sz="2" w:space="0" w:color="auto"/>
            </w:tcBorders>
            <w:vAlign w:val="center"/>
          </w:tcPr>
          <w:p w14:paraId="42A849D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审议《关于公司</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年半年度报告及其摘要的议案》《关于</w:t>
            </w:r>
            <w:r w:rsidRPr="00F614F9">
              <w:rPr>
                <w:rFonts w:ascii="Times New Roman" w:eastAsia="宋体" w:hAnsi="Times New Roman" w:cs="宋体"/>
                <w:sz w:val="18"/>
                <w:szCs w:val="18"/>
              </w:rPr>
              <w:t>&lt;</w:t>
            </w:r>
            <w:r w:rsidRPr="00F614F9">
              <w:rPr>
                <w:rFonts w:ascii="Times New Roman" w:eastAsia="宋体" w:hAnsi="Times New Roman" w:cs="宋体"/>
                <w:sz w:val="18"/>
                <w:szCs w:val="18"/>
              </w:rPr>
              <w:t>公司</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年半年度募集资金存放与实际使用情况的专项报告</w:t>
            </w:r>
            <w:r w:rsidRPr="00F614F9">
              <w:rPr>
                <w:rFonts w:ascii="Times New Roman" w:eastAsia="宋体" w:hAnsi="Times New Roman" w:cs="宋体"/>
                <w:sz w:val="18"/>
                <w:szCs w:val="18"/>
              </w:rPr>
              <w:t>&gt;</w:t>
            </w:r>
            <w:r w:rsidRPr="00F614F9">
              <w:rPr>
                <w:rFonts w:ascii="Times New Roman" w:eastAsia="宋体" w:hAnsi="Times New Roman" w:cs="宋体"/>
                <w:sz w:val="18"/>
                <w:szCs w:val="18"/>
              </w:rPr>
              <w:t>的议案》</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个议案、</w:t>
            </w:r>
          </w:p>
        </w:tc>
        <w:tc>
          <w:tcPr>
            <w:tcW w:w="1134" w:type="dxa"/>
            <w:tcBorders>
              <w:top w:val="single" w:sz="2" w:space="0" w:color="auto"/>
              <w:left w:val="single" w:sz="2" w:space="0" w:color="auto"/>
              <w:bottom w:val="single" w:sz="2" w:space="0" w:color="auto"/>
              <w:right w:val="single" w:sz="2" w:space="0" w:color="auto"/>
            </w:tcBorders>
            <w:vAlign w:val="center"/>
          </w:tcPr>
          <w:p w14:paraId="4D2587C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同意各议案</w:t>
            </w:r>
          </w:p>
        </w:tc>
        <w:tc>
          <w:tcPr>
            <w:tcW w:w="851" w:type="dxa"/>
            <w:tcBorders>
              <w:top w:val="single" w:sz="2" w:space="0" w:color="auto"/>
              <w:left w:val="single" w:sz="2" w:space="0" w:color="auto"/>
              <w:bottom w:val="single" w:sz="2" w:space="0" w:color="auto"/>
              <w:right w:val="single" w:sz="2" w:space="0" w:color="auto"/>
            </w:tcBorders>
            <w:vAlign w:val="center"/>
          </w:tcPr>
          <w:p w14:paraId="33D7EDB6"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c>
          <w:tcPr>
            <w:tcW w:w="992" w:type="dxa"/>
            <w:tcBorders>
              <w:top w:val="single" w:sz="2" w:space="0" w:color="auto"/>
              <w:left w:val="single" w:sz="2" w:space="0" w:color="auto"/>
              <w:bottom w:val="single" w:sz="2" w:space="0" w:color="auto"/>
              <w:right w:val="single" w:sz="2" w:space="0" w:color="auto"/>
            </w:tcBorders>
            <w:vAlign w:val="center"/>
          </w:tcPr>
          <w:p w14:paraId="7DC72CF7"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r>
      <w:tr w:rsidR="001D26E7" w:rsidRPr="00F614F9" w14:paraId="338460F0" w14:textId="77777777" w:rsidTr="002B7559">
        <w:trPr>
          <w:trHeight w:val="240"/>
        </w:trPr>
        <w:tc>
          <w:tcPr>
            <w:tcW w:w="567" w:type="dxa"/>
            <w:tcBorders>
              <w:top w:val="single" w:sz="2" w:space="0" w:color="auto"/>
              <w:left w:val="single" w:sz="2" w:space="0" w:color="auto"/>
              <w:bottom w:val="single" w:sz="2" w:space="0" w:color="auto"/>
              <w:right w:val="single" w:sz="2" w:space="0" w:color="auto"/>
            </w:tcBorders>
            <w:vAlign w:val="center"/>
          </w:tcPr>
          <w:p w14:paraId="0815F7E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审计委员会</w:t>
            </w:r>
          </w:p>
        </w:tc>
        <w:tc>
          <w:tcPr>
            <w:tcW w:w="851" w:type="dxa"/>
            <w:tcBorders>
              <w:top w:val="single" w:sz="2" w:space="0" w:color="auto"/>
              <w:left w:val="single" w:sz="2" w:space="0" w:color="auto"/>
              <w:bottom w:val="single" w:sz="2" w:space="0" w:color="auto"/>
              <w:right w:val="single" w:sz="2" w:space="0" w:color="auto"/>
            </w:tcBorders>
            <w:vAlign w:val="center"/>
          </w:tcPr>
          <w:p w14:paraId="4DD35FA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周婧、余茂鑫、杨晓初</w:t>
            </w:r>
          </w:p>
        </w:tc>
        <w:tc>
          <w:tcPr>
            <w:tcW w:w="709" w:type="dxa"/>
            <w:tcBorders>
              <w:top w:val="single" w:sz="2" w:space="0" w:color="auto"/>
              <w:left w:val="single" w:sz="2" w:space="0" w:color="auto"/>
              <w:bottom w:val="single" w:sz="2" w:space="0" w:color="auto"/>
              <w:right w:val="single" w:sz="2" w:space="0" w:color="auto"/>
            </w:tcBorders>
            <w:vAlign w:val="center"/>
          </w:tcPr>
          <w:p w14:paraId="410A9A76"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w:t>
            </w:r>
          </w:p>
        </w:tc>
        <w:tc>
          <w:tcPr>
            <w:tcW w:w="1275" w:type="dxa"/>
            <w:tcBorders>
              <w:top w:val="single" w:sz="2" w:space="0" w:color="auto"/>
              <w:left w:val="single" w:sz="2" w:space="0" w:color="auto"/>
              <w:bottom w:val="single" w:sz="2" w:space="0" w:color="auto"/>
              <w:right w:val="single" w:sz="2" w:space="0" w:color="auto"/>
            </w:tcBorders>
            <w:vAlign w:val="center"/>
          </w:tcPr>
          <w:p w14:paraId="4ED46B3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19</w:t>
            </w:r>
            <w:r w:rsidRPr="00F614F9">
              <w:rPr>
                <w:rFonts w:ascii="Times New Roman" w:eastAsia="宋体" w:hAnsi="Times New Roman" w:cs="宋体"/>
                <w:sz w:val="18"/>
                <w:szCs w:val="18"/>
              </w:rPr>
              <w:t>日</w:t>
            </w:r>
          </w:p>
        </w:tc>
        <w:tc>
          <w:tcPr>
            <w:tcW w:w="3402" w:type="dxa"/>
            <w:tcBorders>
              <w:top w:val="single" w:sz="2" w:space="0" w:color="auto"/>
              <w:left w:val="single" w:sz="2" w:space="0" w:color="auto"/>
              <w:bottom w:val="single" w:sz="2" w:space="0" w:color="auto"/>
              <w:right w:val="single" w:sz="2" w:space="0" w:color="auto"/>
            </w:tcBorders>
            <w:vAlign w:val="center"/>
          </w:tcPr>
          <w:p w14:paraId="46213E3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审议《关于公司</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年第三季度报告的议案》《关于聘任公司</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年度审计机构的议案》《审计部</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年第三季度工作报告及第四季度工作计划》</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个议案</w:t>
            </w:r>
          </w:p>
        </w:tc>
        <w:tc>
          <w:tcPr>
            <w:tcW w:w="1134" w:type="dxa"/>
            <w:tcBorders>
              <w:top w:val="single" w:sz="2" w:space="0" w:color="auto"/>
              <w:left w:val="single" w:sz="2" w:space="0" w:color="auto"/>
              <w:bottom w:val="single" w:sz="2" w:space="0" w:color="auto"/>
              <w:right w:val="single" w:sz="2" w:space="0" w:color="auto"/>
            </w:tcBorders>
            <w:vAlign w:val="center"/>
          </w:tcPr>
          <w:p w14:paraId="045BE6A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同意各议案</w:t>
            </w:r>
          </w:p>
        </w:tc>
        <w:tc>
          <w:tcPr>
            <w:tcW w:w="851" w:type="dxa"/>
            <w:tcBorders>
              <w:top w:val="single" w:sz="2" w:space="0" w:color="auto"/>
              <w:left w:val="single" w:sz="2" w:space="0" w:color="auto"/>
              <w:bottom w:val="single" w:sz="2" w:space="0" w:color="auto"/>
              <w:right w:val="single" w:sz="2" w:space="0" w:color="auto"/>
            </w:tcBorders>
            <w:vAlign w:val="center"/>
          </w:tcPr>
          <w:p w14:paraId="54AB2F29"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c>
          <w:tcPr>
            <w:tcW w:w="992" w:type="dxa"/>
            <w:tcBorders>
              <w:top w:val="single" w:sz="2" w:space="0" w:color="auto"/>
              <w:left w:val="single" w:sz="2" w:space="0" w:color="auto"/>
              <w:bottom w:val="single" w:sz="2" w:space="0" w:color="auto"/>
              <w:right w:val="single" w:sz="2" w:space="0" w:color="auto"/>
            </w:tcBorders>
            <w:vAlign w:val="center"/>
          </w:tcPr>
          <w:p w14:paraId="463D2A16"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r>
      <w:tr w:rsidR="001D26E7" w:rsidRPr="00F614F9" w14:paraId="51B6144C" w14:textId="77777777" w:rsidTr="002B7559">
        <w:trPr>
          <w:trHeight w:val="240"/>
        </w:trPr>
        <w:tc>
          <w:tcPr>
            <w:tcW w:w="567" w:type="dxa"/>
            <w:tcBorders>
              <w:top w:val="single" w:sz="2" w:space="0" w:color="auto"/>
              <w:left w:val="single" w:sz="2" w:space="0" w:color="auto"/>
              <w:bottom w:val="single" w:sz="2" w:space="0" w:color="auto"/>
              <w:right w:val="single" w:sz="2" w:space="0" w:color="auto"/>
            </w:tcBorders>
            <w:vAlign w:val="center"/>
          </w:tcPr>
          <w:p w14:paraId="7887B3F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审计委员会</w:t>
            </w:r>
          </w:p>
        </w:tc>
        <w:tc>
          <w:tcPr>
            <w:tcW w:w="851" w:type="dxa"/>
            <w:tcBorders>
              <w:top w:val="single" w:sz="2" w:space="0" w:color="auto"/>
              <w:left w:val="single" w:sz="2" w:space="0" w:color="auto"/>
              <w:bottom w:val="single" w:sz="2" w:space="0" w:color="auto"/>
              <w:right w:val="single" w:sz="2" w:space="0" w:color="auto"/>
            </w:tcBorders>
            <w:vAlign w:val="center"/>
          </w:tcPr>
          <w:p w14:paraId="090F462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周婧、余茂鑫、杨晓初</w:t>
            </w:r>
          </w:p>
        </w:tc>
        <w:tc>
          <w:tcPr>
            <w:tcW w:w="709" w:type="dxa"/>
            <w:tcBorders>
              <w:top w:val="single" w:sz="2" w:space="0" w:color="auto"/>
              <w:left w:val="single" w:sz="2" w:space="0" w:color="auto"/>
              <w:bottom w:val="single" w:sz="2" w:space="0" w:color="auto"/>
              <w:right w:val="single" w:sz="2" w:space="0" w:color="auto"/>
            </w:tcBorders>
            <w:vAlign w:val="center"/>
          </w:tcPr>
          <w:p w14:paraId="2A03D82F"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w:t>
            </w:r>
          </w:p>
        </w:tc>
        <w:tc>
          <w:tcPr>
            <w:tcW w:w="1275" w:type="dxa"/>
            <w:tcBorders>
              <w:top w:val="single" w:sz="2" w:space="0" w:color="auto"/>
              <w:left w:val="single" w:sz="2" w:space="0" w:color="auto"/>
              <w:bottom w:val="single" w:sz="2" w:space="0" w:color="auto"/>
              <w:right w:val="single" w:sz="2" w:space="0" w:color="auto"/>
            </w:tcBorders>
            <w:vAlign w:val="center"/>
          </w:tcPr>
          <w:p w14:paraId="7089408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26</w:t>
            </w:r>
            <w:r w:rsidRPr="00F614F9">
              <w:rPr>
                <w:rFonts w:ascii="Times New Roman" w:eastAsia="宋体" w:hAnsi="Times New Roman" w:cs="宋体"/>
                <w:sz w:val="18"/>
                <w:szCs w:val="18"/>
              </w:rPr>
              <w:t>日</w:t>
            </w:r>
          </w:p>
        </w:tc>
        <w:tc>
          <w:tcPr>
            <w:tcW w:w="3402" w:type="dxa"/>
            <w:tcBorders>
              <w:top w:val="single" w:sz="2" w:space="0" w:color="auto"/>
              <w:left w:val="single" w:sz="2" w:space="0" w:color="auto"/>
              <w:bottom w:val="single" w:sz="2" w:space="0" w:color="auto"/>
              <w:right w:val="single" w:sz="2" w:space="0" w:color="auto"/>
            </w:tcBorders>
            <w:vAlign w:val="center"/>
          </w:tcPr>
          <w:p w14:paraId="5C7CDFB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审议《关于公司</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年度审计计划的议案》</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个议案</w:t>
            </w:r>
          </w:p>
        </w:tc>
        <w:tc>
          <w:tcPr>
            <w:tcW w:w="1134" w:type="dxa"/>
            <w:tcBorders>
              <w:top w:val="single" w:sz="2" w:space="0" w:color="auto"/>
              <w:left w:val="single" w:sz="2" w:space="0" w:color="auto"/>
              <w:bottom w:val="single" w:sz="2" w:space="0" w:color="auto"/>
              <w:right w:val="single" w:sz="2" w:space="0" w:color="auto"/>
            </w:tcBorders>
            <w:vAlign w:val="center"/>
          </w:tcPr>
          <w:p w14:paraId="3D9E7E1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同意各议案</w:t>
            </w:r>
          </w:p>
        </w:tc>
        <w:tc>
          <w:tcPr>
            <w:tcW w:w="851" w:type="dxa"/>
            <w:tcBorders>
              <w:top w:val="single" w:sz="2" w:space="0" w:color="auto"/>
              <w:left w:val="single" w:sz="2" w:space="0" w:color="auto"/>
              <w:bottom w:val="single" w:sz="2" w:space="0" w:color="auto"/>
              <w:right w:val="single" w:sz="2" w:space="0" w:color="auto"/>
            </w:tcBorders>
            <w:vAlign w:val="center"/>
          </w:tcPr>
          <w:p w14:paraId="0458FF32"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c>
          <w:tcPr>
            <w:tcW w:w="992" w:type="dxa"/>
            <w:tcBorders>
              <w:top w:val="single" w:sz="2" w:space="0" w:color="auto"/>
              <w:left w:val="single" w:sz="2" w:space="0" w:color="auto"/>
              <w:bottom w:val="single" w:sz="2" w:space="0" w:color="auto"/>
              <w:right w:val="single" w:sz="2" w:space="0" w:color="auto"/>
            </w:tcBorders>
            <w:vAlign w:val="center"/>
          </w:tcPr>
          <w:p w14:paraId="6542E0C7"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r>
      <w:tr w:rsidR="001D26E7" w:rsidRPr="00F614F9" w14:paraId="20C28119" w14:textId="77777777" w:rsidTr="002B7559">
        <w:trPr>
          <w:trHeight w:val="240"/>
        </w:trPr>
        <w:tc>
          <w:tcPr>
            <w:tcW w:w="567" w:type="dxa"/>
            <w:tcBorders>
              <w:top w:val="single" w:sz="2" w:space="0" w:color="auto"/>
              <w:left w:val="single" w:sz="2" w:space="0" w:color="auto"/>
              <w:bottom w:val="single" w:sz="2" w:space="0" w:color="auto"/>
              <w:right w:val="single" w:sz="2" w:space="0" w:color="auto"/>
            </w:tcBorders>
            <w:vAlign w:val="center"/>
          </w:tcPr>
          <w:p w14:paraId="513597E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提名委员会</w:t>
            </w:r>
          </w:p>
        </w:tc>
        <w:tc>
          <w:tcPr>
            <w:tcW w:w="851" w:type="dxa"/>
            <w:tcBorders>
              <w:top w:val="single" w:sz="2" w:space="0" w:color="auto"/>
              <w:left w:val="single" w:sz="2" w:space="0" w:color="auto"/>
              <w:bottom w:val="single" w:sz="2" w:space="0" w:color="auto"/>
              <w:right w:val="single" w:sz="2" w:space="0" w:color="auto"/>
            </w:tcBorders>
            <w:vAlign w:val="center"/>
          </w:tcPr>
          <w:p w14:paraId="101243A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余茂鑫、王豪杰、杨帆</w:t>
            </w:r>
          </w:p>
        </w:tc>
        <w:tc>
          <w:tcPr>
            <w:tcW w:w="709" w:type="dxa"/>
            <w:tcBorders>
              <w:top w:val="single" w:sz="2" w:space="0" w:color="auto"/>
              <w:left w:val="single" w:sz="2" w:space="0" w:color="auto"/>
              <w:bottom w:val="single" w:sz="2" w:space="0" w:color="auto"/>
              <w:right w:val="single" w:sz="2" w:space="0" w:color="auto"/>
            </w:tcBorders>
            <w:vAlign w:val="center"/>
          </w:tcPr>
          <w:p w14:paraId="27BA2E5E"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w:t>
            </w:r>
          </w:p>
        </w:tc>
        <w:tc>
          <w:tcPr>
            <w:tcW w:w="1275" w:type="dxa"/>
            <w:tcBorders>
              <w:top w:val="single" w:sz="2" w:space="0" w:color="auto"/>
              <w:left w:val="single" w:sz="2" w:space="0" w:color="auto"/>
              <w:bottom w:val="single" w:sz="2" w:space="0" w:color="auto"/>
              <w:right w:val="single" w:sz="2" w:space="0" w:color="auto"/>
            </w:tcBorders>
            <w:vAlign w:val="center"/>
          </w:tcPr>
          <w:p w14:paraId="2C9197A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3402" w:type="dxa"/>
            <w:tcBorders>
              <w:top w:val="single" w:sz="2" w:space="0" w:color="auto"/>
              <w:left w:val="single" w:sz="2" w:space="0" w:color="auto"/>
              <w:bottom w:val="single" w:sz="2" w:space="0" w:color="auto"/>
              <w:right w:val="single" w:sz="2" w:space="0" w:color="auto"/>
            </w:tcBorders>
            <w:vAlign w:val="center"/>
          </w:tcPr>
          <w:p w14:paraId="6874A54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审议《关于聘任公司副总经理的议案》</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个议案</w:t>
            </w:r>
          </w:p>
        </w:tc>
        <w:tc>
          <w:tcPr>
            <w:tcW w:w="1134" w:type="dxa"/>
            <w:tcBorders>
              <w:top w:val="single" w:sz="2" w:space="0" w:color="auto"/>
              <w:left w:val="single" w:sz="2" w:space="0" w:color="auto"/>
              <w:bottom w:val="single" w:sz="2" w:space="0" w:color="auto"/>
              <w:right w:val="single" w:sz="2" w:space="0" w:color="auto"/>
            </w:tcBorders>
            <w:vAlign w:val="center"/>
          </w:tcPr>
          <w:p w14:paraId="5DF5A86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同意各议案</w:t>
            </w:r>
          </w:p>
        </w:tc>
        <w:tc>
          <w:tcPr>
            <w:tcW w:w="851" w:type="dxa"/>
            <w:tcBorders>
              <w:top w:val="single" w:sz="2" w:space="0" w:color="auto"/>
              <w:left w:val="single" w:sz="2" w:space="0" w:color="auto"/>
              <w:bottom w:val="single" w:sz="2" w:space="0" w:color="auto"/>
              <w:right w:val="single" w:sz="2" w:space="0" w:color="auto"/>
            </w:tcBorders>
            <w:vAlign w:val="center"/>
          </w:tcPr>
          <w:p w14:paraId="344A4AD0"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c>
          <w:tcPr>
            <w:tcW w:w="992" w:type="dxa"/>
            <w:tcBorders>
              <w:top w:val="single" w:sz="2" w:space="0" w:color="auto"/>
              <w:left w:val="single" w:sz="2" w:space="0" w:color="auto"/>
              <w:bottom w:val="single" w:sz="2" w:space="0" w:color="auto"/>
              <w:right w:val="single" w:sz="2" w:space="0" w:color="auto"/>
            </w:tcBorders>
            <w:vAlign w:val="center"/>
          </w:tcPr>
          <w:p w14:paraId="2124EDC6"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r>
      <w:tr w:rsidR="001D26E7" w:rsidRPr="00F614F9" w14:paraId="06A186AF" w14:textId="77777777" w:rsidTr="002B7559">
        <w:trPr>
          <w:trHeight w:val="240"/>
        </w:trPr>
        <w:tc>
          <w:tcPr>
            <w:tcW w:w="567" w:type="dxa"/>
            <w:tcBorders>
              <w:top w:val="single" w:sz="2" w:space="0" w:color="auto"/>
              <w:left w:val="single" w:sz="2" w:space="0" w:color="auto"/>
              <w:bottom w:val="single" w:sz="2" w:space="0" w:color="auto"/>
              <w:right w:val="single" w:sz="2" w:space="0" w:color="auto"/>
            </w:tcBorders>
            <w:vAlign w:val="center"/>
          </w:tcPr>
          <w:p w14:paraId="60DF707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提名委</w:t>
            </w:r>
            <w:r w:rsidRPr="00F614F9">
              <w:rPr>
                <w:rFonts w:ascii="Times New Roman" w:eastAsia="宋体" w:hAnsi="Times New Roman" w:cs="宋体"/>
                <w:sz w:val="18"/>
                <w:szCs w:val="18"/>
              </w:rPr>
              <w:lastRenderedPageBreak/>
              <w:t>员会</w:t>
            </w:r>
          </w:p>
        </w:tc>
        <w:tc>
          <w:tcPr>
            <w:tcW w:w="851" w:type="dxa"/>
            <w:tcBorders>
              <w:top w:val="single" w:sz="2" w:space="0" w:color="auto"/>
              <w:left w:val="single" w:sz="2" w:space="0" w:color="auto"/>
              <w:bottom w:val="single" w:sz="2" w:space="0" w:color="auto"/>
              <w:right w:val="single" w:sz="2" w:space="0" w:color="auto"/>
            </w:tcBorders>
            <w:vAlign w:val="center"/>
          </w:tcPr>
          <w:p w14:paraId="76E9D9D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余茂鑫、王豪杰、</w:t>
            </w:r>
            <w:r w:rsidRPr="00F614F9">
              <w:rPr>
                <w:rFonts w:ascii="Times New Roman" w:eastAsia="宋体" w:hAnsi="Times New Roman" w:cs="宋体"/>
                <w:sz w:val="18"/>
                <w:szCs w:val="18"/>
              </w:rPr>
              <w:lastRenderedPageBreak/>
              <w:t>杨帆</w:t>
            </w:r>
          </w:p>
        </w:tc>
        <w:tc>
          <w:tcPr>
            <w:tcW w:w="709" w:type="dxa"/>
            <w:tcBorders>
              <w:top w:val="single" w:sz="2" w:space="0" w:color="auto"/>
              <w:left w:val="single" w:sz="2" w:space="0" w:color="auto"/>
              <w:bottom w:val="single" w:sz="2" w:space="0" w:color="auto"/>
              <w:right w:val="single" w:sz="2" w:space="0" w:color="auto"/>
            </w:tcBorders>
            <w:vAlign w:val="center"/>
          </w:tcPr>
          <w:p w14:paraId="04572D28"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lastRenderedPageBreak/>
              <w:t>3</w:t>
            </w:r>
          </w:p>
        </w:tc>
        <w:tc>
          <w:tcPr>
            <w:tcW w:w="1275" w:type="dxa"/>
            <w:tcBorders>
              <w:top w:val="single" w:sz="2" w:space="0" w:color="auto"/>
              <w:left w:val="single" w:sz="2" w:space="0" w:color="auto"/>
              <w:bottom w:val="single" w:sz="2" w:space="0" w:color="auto"/>
              <w:right w:val="single" w:sz="2" w:space="0" w:color="auto"/>
            </w:tcBorders>
            <w:vAlign w:val="center"/>
          </w:tcPr>
          <w:p w14:paraId="1F6C0A6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28</w:t>
            </w:r>
            <w:r w:rsidRPr="00F614F9">
              <w:rPr>
                <w:rFonts w:ascii="Times New Roman" w:eastAsia="宋体" w:hAnsi="Times New Roman" w:cs="宋体"/>
                <w:sz w:val="18"/>
                <w:szCs w:val="18"/>
              </w:rPr>
              <w:t>日</w:t>
            </w:r>
          </w:p>
        </w:tc>
        <w:tc>
          <w:tcPr>
            <w:tcW w:w="3402" w:type="dxa"/>
            <w:tcBorders>
              <w:top w:val="single" w:sz="2" w:space="0" w:color="auto"/>
              <w:left w:val="single" w:sz="2" w:space="0" w:color="auto"/>
              <w:bottom w:val="single" w:sz="2" w:space="0" w:color="auto"/>
              <w:right w:val="single" w:sz="2" w:space="0" w:color="auto"/>
            </w:tcBorders>
            <w:vAlign w:val="center"/>
          </w:tcPr>
          <w:p w14:paraId="0ED81E7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审议《关于审核公司董事会架构、人数及组成的议案》《关于评核公司独立董事独立性的议案》</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个议案</w:t>
            </w:r>
          </w:p>
        </w:tc>
        <w:tc>
          <w:tcPr>
            <w:tcW w:w="1134" w:type="dxa"/>
            <w:tcBorders>
              <w:top w:val="single" w:sz="2" w:space="0" w:color="auto"/>
              <w:left w:val="single" w:sz="2" w:space="0" w:color="auto"/>
              <w:bottom w:val="single" w:sz="2" w:space="0" w:color="auto"/>
              <w:right w:val="single" w:sz="2" w:space="0" w:color="auto"/>
            </w:tcBorders>
            <w:vAlign w:val="center"/>
          </w:tcPr>
          <w:p w14:paraId="14145C5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同意各议案</w:t>
            </w:r>
          </w:p>
        </w:tc>
        <w:tc>
          <w:tcPr>
            <w:tcW w:w="851" w:type="dxa"/>
            <w:tcBorders>
              <w:top w:val="single" w:sz="2" w:space="0" w:color="auto"/>
              <w:left w:val="single" w:sz="2" w:space="0" w:color="auto"/>
              <w:bottom w:val="single" w:sz="2" w:space="0" w:color="auto"/>
              <w:right w:val="single" w:sz="2" w:space="0" w:color="auto"/>
            </w:tcBorders>
            <w:vAlign w:val="center"/>
          </w:tcPr>
          <w:p w14:paraId="6C268104"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c>
          <w:tcPr>
            <w:tcW w:w="992" w:type="dxa"/>
            <w:tcBorders>
              <w:top w:val="single" w:sz="2" w:space="0" w:color="auto"/>
              <w:left w:val="single" w:sz="2" w:space="0" w:color="auto"/>
              <w:bottom w:val="single" w:sz="2" w:space="0" w:color="auto"/>
              <w:right w:val="single" w:sz="2" w:space="0" w:color="auto"/>
            </w:tcBorders>
            <w:vAlign w:val="center"/>
          </w:tcPr>
          <w:p w14:paraId="1C305E62"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r>
      <w:tr w:rsidR="001D26E7" w:rsidRPr="00F614F9" w14:paraId="7AD95461" w14:textId="77777777" w:rsidTr="002B7559">
        <w:trPr>
          <w:trHeight w:val="240"/>
        </w:trPr>
        <w:tc>
          <w:tcPr>
            <w:tcW w:w="567" w:type="dxa"/>
            <w:tcBorders>
              <w:top w:val="single" w:sz="2" w:space="0" w:color="auto"/>
              <w:left w:val="single" w:sz="2" w:space="0" w:color="auto"/>
              <w:bottom w:val="single" w:sz="2" w:space="0" w:color="auto"/>
              <w:right w:val="single" w:sz="2" w:space="0" w:color="auto"/>
            </w:tcBorders>
            <w:vAlign w:val="center"/>
          </w:tcPr>
          <w:p w14:paraId="7DB89A1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提名委员会</w:t>
            </w:r>
          </w:p>
        </w:tc>
        <w:tc>
          <w:tcPr>
            <w:tcW w:w="851" w:type="dxa"/>
            <w:tcBorders>
              <w:top w:val="single" w:sz="2" w:space="0" w:color="auto"/>
              <w:left w:val="single" w:sz="2" w:space="0" w:color="auto"/>
              <w:bottom w:val="single" w:sz="2" w:space="0" w:color="auto"/>
              <w:right w:val="single" w:sz="2" w:space="0" w:color="auto"/>
            </w:tcBorders>
            <w:vAlign w:val="center"/>
          </w:tcPr>
          <w:p w14:paraId="2DFBB51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余茂鑫、王豪杰、杨帆</w:t>
            </w:r>
          </w:p>
        </w:tc>
        <w:tc>
          <w:tcPr>
            <w:tcW w:w="709" w:type="dxa"/>
            <w:tcBorders>
              <w:top w:val="single" w:sz="2" w:space="0" w:color="auto"/>
              <w:left w:val="single" w:sz="2" w:space="0" w:color="auto"/>
              <w:bottom w:val="single" w:sz="2" w:space="0" w:color="auto"/>
              <w:right w:val="single" w:sz="2" w:space="0" w:color="auto"/>
            </w:tcBorders>
            <w:vAlign w:val="center"/>
          </w:tcPr>
          <w:p w14:paraId="2C5E8294"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w:t>
            </w:r>
          </w:p>
        </w:tc>
        <w:tc>
          <w:tcPr>
            <w:tcW w:w="1275" w:type="dxa"/>
            <w:tcBorders>
              <w:top w:val="single" w:sz="2" w:space="0" w:color="auto"/>
              <w:left w:val="single" w:sz="2" w:space="0" w:color="auto"/>
              <w:bottom w:val="single" w:sz="2" w:space="0" w:color="auto"/>
              <w:right w:val="single" w:sz="2" w:space="0" w:color="auto"/>
            </w:tcBorders>
            <w:vAlign w:val="center"/>
          </w:tcPr>
          <w:p w14:paraId="40C4381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3402" w:type="dxa"/>
            <w:tcBorders>
              <w:top w:val="single" w:sz="2" w:space="0" w:color="auto"/>
              <w:left w:val="single" w:sz="2" w:space="0" w:color="auto"/>
              <w:bottom w:val="single" w:sz="2" w:space="0" w:color="auto"/>
              <w:right w:val="single" w:sz="2" w:space="0" w:color="auto"/>
            </w:tcBorders>
            <w:vAlign w:val="center"/>
          </w:tcPr>
          <w:p w14:paraId="42A8996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审议《关于补选公司第五届董事会非独立董事的议案》</w:t>
            </w:r>
          </w:p>
        </w:tc>
        <w:tc>
          <w:tcPr>
            <w:tcW w:w="1134" w:type="dxa"/>
            <w:tcBorders>
              <w:top w:val="single" w:sz="2" w:space="0" w:color="auto"/>
              <w:left w:val="single" w:sz="2" w:space="0" w:color="auto"/>
              <w:bottom w:val="single" w:sz="2" w:space="0" w:color="auto"/>
              <w:right w:val="single" w:sz="2" w:space="0" w:color="auto"/>
            </w:tcBorders>
            <w:vAlign w:val="center"/>
          </w:tcPr>
          <w:p w14:paraId="5911F67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同意各议案</w:t>
            </w:r>
          </w:p>
        </w:tc>
        <w:tc>
          <w:tcPr>
            <w:tcW w:w="851" w:type="dxa"/>
            <w:tcBorders>
              <w:top w:val="single" w:sz="2" w:space="0" w:color="auto"/>
              <w:left w:val="single" w:sz="2" w:space="0" w:color="auto"/>
              <w:bottom w:val="single" w:sz="2" w:space="0" w:color="auto"/>
              <w:right w:val="single" w:sz="2" w:space="0" w:color="auto"/>
            </w:tcBorders>
            <w:vAlign w:val="center"/>
          </w:tcPr>
          <w:p w14:paraId="2128D1E1"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c>
          <w:tcPr>
            <w:tcW w:w="992" w:type="dxa"/>
            <w:tcBorders>
              <w:top w:val="single" w:sz="2" w:space="0" w:color="auto"/>
              <w:left w:val="single" w:sz="2" w:space="0" w:color="auto"/>
              <w:bottom w:val="single" w:sz="2" w:space="0" w:color="auto"/>
              <w:right w:val="single" w:sz="2" w:space="0" w:color="auto"/>
            </w:tcBorders>
            <w:vAlign w:val="center"/>
          </w:tcPr>
          <w:p w14:paraId="36086361"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r>
      <w:tr w:rsidR="001D26E7" w:rsidRPr="00F614F9" w14:paraId="771D5067" w14:textId="77777777" w:rsidTr="002B7559">
        <w:trPr>
          <w:trHeight w:val="240"/>
        </w:trPr>
        <w:tc>
          <w:tcPr>
            <w:tcW w:w="567" w:type="dxa"/>
            <w:tcBorders>
              <w:top w:val="single" w:sz="2" w:space="0" w:color="auto"/>
              <w:left w:val="single" w:sz="2" w:space="0" w:color="auto"/>
              <w:bottom w:val="single" w:sz="2" w:space="0" w:color="auto"/>
              <w:right w:val="single" w:sz="2" w:space="0" w:color="auto"/>
            </w:tcBorders>
            <w:vAlign w:val="center"/>
          </w:tcPr>
          <w:p w14:paraId="7E870CC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薪酬与考核委员会</w:t>
            </w:r>
          </w:p>
        </w:tc>
        <w:tc>
          <w:tcPr>
            <w:tcW w:w="851" w:type="dxa"/>
            <w:tcBorders>
              <w:top w:val="single" w:sz="2" w:space="0" w:color="auto"/>
              <w:left w:val="single" w:sz="2" w:space="0" w:color="auto"/>
              <w:bottom w:val="single" w:sz="2" w:space="0" w:color="auto"/>
              <w:right w:val="single" w:sz="2" w:space="0" w:color="auto"/>
            </w:tcBorders>
            <w:vAlign w:val="center"/>
          </w:tcPr>
          <w:p w14:paraId="1E019B0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杨帆、余宇、周婧</w:t>
            </w:r>
          </w:p>
        </w:tc>
        <w:tc>
          <w:tcPr>
            <w:tcW w:w="709" w:type="dxa"/>
            <w:tcBorders>
              <w:top w:val="single" w:sz="2" w:space="0" w:color="auto"/>
              <w:left w:val="single" w:sz="2" w:space="0" w:color="auto"/>
              <w:bottom w:val="single" w:sz="2" w:space="0" w:color="auto"/>
              <w:right w:val="single" w:sz="2" w:space="0" w:color="auto"/>
            </w:tcBorders>
            <w:vAlign w:val="center"/>
          </w:tcPr>
          <w:p w14:paraId="3EA58E66"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1275" w:type="dxa"/>
            <w:tcBorders>
              <w:top w:val="single" w:sz="2" w:space="0" w:color="auto"/>
              <w:left w:val="single" w:sz="2" w:space="0" w:color="auto"/>
              <w:bottom w:val="single" w:sz="2" w:space="0" w:color="auto"/>
              <w:right w:val="single" w:sz="2" w:space="0" w:color="auto"/>
            </w:tcBorders>
            <w:vAlign w:val="center"/>
          </w:tcPr>
          <w:p w14:paraId="7054A8A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28</w:t>
            </w:r>
            <w:r w:rsidRPr="00F614F9">
              <w:rPr>
                <w:rFonts w:ascii="Times New Roman" w:eastAsia="宋体" w:hAnsi="Times New Roman" w:cs="宋体"/>
                <w:sz w:val="18"/>
                <w:szCs w:val="18"/>
              </w:rPr>
              <w:t>日</w:t>
            </w:r>
          </w:p>
        </w:tc>
        <w:tc>
          <w:tcPr>
            <w:tcW w:w="3402" w:type="dxa"/>
            <w:tcBorders>
              <w:top w:val="single" w:sz="2" w:space="0" w:color="auto"/>
              <w:left w:val="single" w:sz="2" w:space="0" w:color="auto"/>
              <w:bottom w:val="single" w:sz="2" w:space="0" w:color="auto"/>
              <w:right w:val="single" w:sz="2" w:space="0" w:color="auto"/>
            </w:tcBorders>
            <w:vAlign w:val="center"/>
          </w:tcPr>
          <w:p w14:paraId="7AD636E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审议《关于审核公司董事、高级管理人员</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年度薪酬发放的议案》</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个议案</w:t>
            </w:r>
          </w:p>
        </w:tc>
        <w:tc>
          <w:tcPr>
            <w:tcW w:w="1134" w:type="dxa"/>
            <w:tcBorders>
              <w:top w:val="single" w:sz="2" w:space="0" w:color="auto"/>
              <w:left w:val="single" w:sz="2" w:space="0" w:color="auto"/>
              <w:bottom w:val="single" w:sz="2" w:space="0" w:color="auto"/>
              <w:right w:val="single" w:sz="2" w:space="0" w:color="auto"/>
            </w:tcBorders>
            <w:vAlign w:val="center"/>
          </w:tcPr>
          <w:p w14:paraId="0706077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同意各议案</w:t>
            </w:r>
          </w:p>
        </w:tc>
        <w:tc>
          <w:tcPr>
            <w:tcW w:w="851" w:type="dxa"/>
            <w:tcBorders>
              <w:top w:val="single" w:sz="2" w:space="0" w:color="auto"/>
              <w:left w:val="single" w:sz="2" w:space="0" w:color="auto"/>
              <w:bottom w:val="single" w:sz="2" w:space="0" w:color="auto"/>
              <w:right w:val="single" w:sz="2" w:space="0" w:color="auto"/>
            </w:tcBorders>
            <w:vAlign w:val="center"/>
          </w:tcPr>
          <w:p w14:paraId="0D59A406"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c>
          <w:tcPr>
            <w:tcW w:w="992" w:type="dxa"/>
            <w:tcBorders>
              <w:top w:val="single" w:sz="2" w:space="0" w:color="auto"/>
              <w:left w:val="single" w:sz="2" w:space="0" w:color="auto"/>
              <w:bottom w:val="single" w:sz="2" w:space="0" w:color="auto"/>
              <w:right w:val="single" w:sz="2" w:space="0" w:color="auto"/>
            </w:tcBorders>
            <w:vAlign w:val="center"/>
          </w:tcPr>
          <w:p w14:paraId="42F61F58"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r>
      <w:tr w:rsidR="001D26E7" w:rsidRPr="00F614F9" w14:paraId="0B826E6B" w14:textId="77777777" w:rsidTr="002B7559">
        <w:trPr>
          <w:trHeight w:val="240"/>
        </w:trPr>
        <w:tc>
          <w:tcPr>
            <w:tcW w:w="567" w:type="dxa"/>
            <w:tcBorders>
              <w:top w:val="single" w:sz="2" w:space="0" w:color="auto"/>
              <w:left w:val="single" w:sz="2" w:space="0" w:color="auto"/>
              <w:bottom w:val="single" w:sz="2" w:space="0" w:color="auto"/>
              <w:right w:val="single" w:sz="2" w:space="0" w:color="auto"/>
            </w:tcBorders>
            <w:vAlign w:val="center"/>
          </w:tcPr>
          <w:p w14:paraId="3AA26CA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战略委员会</w:t>
            </w:r>
          </w:p>
        </w:tc>
        <w:tc>
          <w:tcPr>
            <w:tcW w:w="851" w:type="dxa"/>
            <w:tcBorders>
              <w:top w:val="single" w:sz="2" w:space="0" w:color="auto"/>
              <w:left w:val="single" w:sz="2" w:space="0" w:color="auto"/>
              <w:bottom w:val="single" w:sz="2" w:space="0" w:color="auto"/>
              <w:right w:val="single" w:sz="2" w:space="0" w:color="auto"/>
            </w:tcBorders>
            <w:vAlign w:val="center"/>
          </w:tcPr>
          <w:p w14:paraId="042F894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余宇、王豪杰、周婧</w:t>
            </w:r>
          </w:p>
        </w:tc>
        <w:tc>
          <w:tcPr>
            <w:tcW w:w="709" w:type="dxa"/>
            <w:tcBorders>
              <w:top w:val="single" w:sz="2" w:space="0" w:color="auto"/>
              <w:left w:val="single" w:sz="2" w:space="0" w:color="auto"/>
              <w:bottom w:val="single" w:sz="2" w:space="0" w:color="auto"/>
              <w:right w:val="single" w:sz="2" w:space="0" w:color="auto"/>
            </w:tcBorders>
            <w:vAlign w:val="center"/>
          </w:tcPr>
          <w:p w14:paraId="2EB33D1E"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w:t>
            </w:r>
          </w:p>
        </w:tc>
        <w:tc>
          <w:tcPr>
            <w:tcW w:w="1275" w:type="dxa"/>
            <w:tcBorders>
              <w:top w:val="single" w:sz="2" w:space="0" w:color="auto"/>
              <w:left w:val="single" w:sz="2" w:space="0" w:color="auto"/>
              <w:bottom w:val="single" w:sz="2" w:space="0" w:color="auto"/>
              <w:right w:val="single" w:sz="2" w:space="0" w:color="auto"/>
            </w:tcBorders>
            <w:vAlign w:val="center"/>
          </w:tcPr>
          <w:p w14:paraId="2D3C823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28</w:t>
            </w:r>
            <w:r w:rsidRPr="00F614F9">
              <w:rPr>
                <w:rFonts w:ascii="Times New Roman" w:eastAsia="宋体" w:hAnsi="Times New Roman" w:cs="宋体"/>
                <w:sz w:val="18"/>
                <w:szCs w:val="18"/>
              </w:rPr>
              <w:t>日</w:t>
            </w:r>
          </w:p>
        </w:tc>
        <w:tc>
          <w:tcPr>
            <w:tcW w:w="3402" w:type="dxa"/>
            <w:tcBorders>
              <w:top w:val="single" w:sz="2" w:space="0" w:color="auto"/>
              <w:left w:val="single" w:sz="2" w:space="0" w:color="auto"/>
              <w:bottom w:val="single" w:sz="2" w:space="0" w:color="auto"/>
              <w:right w:val="single" w:sz="2" w:space="0" w:color="auto"/>
            </w:tcBorders>
            <w:vAlign w:val="center"/>
          </w:tcPr>
          <w:p w14:paraId="055B408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审议《关于公司</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年业务发展规划的议案》</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个议案</w:t>
            </w:r>
          </w:p>
        </w:tc>
        <w:tc>
          <w:tcPr>
            <w:tcW w:w="1134" w:type="dxa"/>
            <w:tcBorders>
              <w:top w:val="single" w:sz="2" w:space="0" w:color="auto"/>
              <w:left w:val="single" w:sz="2" w:space="0" w:color="auto"/>
              <w:bottom w:val="single" w:sz="2" w:space="0" w:color="auto"/>
              <w:right w:val="single" w:sz="2" w:space="0" w:color="auto"/>
            </w:tcBorders>
            <w:vAlign w:val="center"/>
          </w:tcPr>
          <w:p w14:paraId="18C86E9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同意各议案</w:t>
            </w:r>
          </w:p>
        </w:tc>
        <w:tc>
          <w:tcPr>
            <w:tcW w:w="851" w:type="dxa"/>
            <w:tcBorders>
              <w:top w:val="single" w:sz="2" w:space="0" w:color="auto"/>
              <w:left w:val="single" w:sz="2" w:space="0" w:color="auto"/>
              <w:bottom w:val="single" w:sz="2" w:space="0" w:color="auto"/>
              <w:right w:val="single" w:sz="2" w:space="0" w:color="auto"/>
            </w:tcBorders>
            <w:vAlign w:val="center"/>
          </w:tcPr>
          <w:p w14:paraId="5C484D82"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c>
          <w:tcPr>
            <w:tcW w:w="992" w:type="dxa"/>
            <w:tcBorders>
              <w:top w:val="single" w:sz="2" w:space="0" w:color="auto"/>
              <w:left w:val="single" w:sz="2" w:space="0" w:color="auto"/>
              <w:bottom w:val="single" w:sz="2" w:space="0" w:color="auto"/>
              <w:right w:val="single" w:sz="2" w:space="0" w:color="auto"/>
            </w:tcBorders>
            <w:vAlign w:val="center"/>
          </w:tcPr>
          <w:p w14:paraId="5CD25136"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r>
      <w:tr w:rsidR="001D26E7" w:rsidRPr="00F614F9" w14:paraId="01D61D17" w14:textId="77777777" w:rsidTr="002B7559">
        <w:trPr>
          <w:trHeight w:val="240"/>
        </w:trPr>
        <w:tc>
          <w:tcPr>
            <w:tcW w:w="567" w:type="dxa"/>
            <w:tcBorders>
              <w:top w:val="single" w:sz="2" w:space="0" w:color="auto"/>
              <w:left w:val="single" w:sz="2" w:space="0" w:color="auto"/>
              <w:bottom w:val="single" w:sz="2" w:space="0" w:color="auto"/>
              <w:right w:val="single" w:sz="2" w:space="0" w:color="auto"/>
            </w:tcBorders>
            <w:vAlign w:val="center"/>
          </w:tcPr>
          <w:p w14:paraId="25D2C4A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战略委员会</w:t>
            </w:r>
          </w:p>
        </w:tc>
        <w:tc>
          <w:tcPr>
            <w:tcW w:w="851" w:type="dxa"/>
            <w:tcBorders>
              <w:top w:val="single" w:sz="2" w:space="0" w:color="auto"/>
              <w:left w:val="single" w:sz="2" w:space="0" w:color="auto"/>
              <w:bottom w:val="single" w:sz="2" w:space="0" w:color="auto"/>
              <w:right w:val="single" w:sz="2" w:space="0" w:color="auto"/>
            </w:tcBorders>
            <w:vAlign w:val="center"/>
          </w:tcPr>
          <w:p w14:paraId="21CE327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杨晓初、王豪杰、周婧</w:t>
            </w:r>
          </w:p>
        </w:tc>
        <w:tc>
          <w:tcPr>
            <w:tcW w:w="709" w:type="dxa"/>
            <w:tcBorders>
              <w:top w:val="single" w:sz="2" w:space="0" w:color="auto"/>
              <w:left w:val="single" w:sz="2" w:space="0" w:color="auto"/>
              <w:bottom w:val="single" w:sz="2" w:space="0" w:color="auto"/>
              <w:right w:val="single" w:sz="2" w:space="0" w:color="auto"/>
            </w:tcBorders>
            <w:vAlign w:val="center"/>
          </w:tcPr>
          <w:p w14:paraId="7E723712"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w:t>
            </w:r>
          </w:p>
        </w:tc>
        <w:tc>
          <w:tcPr>
            <w:tcW w:w="1275" w:type="dxa"/>
            <w:tcBorders>
              <w:top w:val="single" w:sz="2" w:space="0" w:color="auto"/>
              <w:left w:val="single" w:sz="2" w:space="0" w:color="auto"/>
              <w:bottom w:val="single" w:sz="2" w:space="0" w:color="auto"/>
              <w:right w:val="single" w:sz="2" w:space="0" w:color="auto"/>
            </w:tcBorders>
            <w:vAlign w:val="center"/>
          </w:tcPr>
          <w:p w14:paraId="7EB7B0C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日</w:t>
            </w:r>
          </w:p>
        </w:tc>
        <w:tc>
          <w:tcPr>
            <w:tcW w:w="3402" w:type="dxa"/>
            <w:tcBorders>
              <w:top w:val="single" w:sz="2" w:space="0" w:color="auto"/>
              <w:left w:val="single" w:sz="2" w:space="0" w:color="auto"/>
              <w:bottom w:val="single" w:sz="2" w:space="0" w:color="auto"/>
              <w:right w:val="single" w:sz="2" w:space="0" w:color="auto"/>
            </w:tcBorders>
            <w:vAlign w:val="center"/>
          </w:tcPr>
          <w:p w14:paraId="6806FE6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审议《关于控股股东及实际控制人避免同业竞争承诺延期履行的议案》《关于签署股权托管协议暨关联交易的议案》</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个议案</w:t>
            </w:r>
          </w:p>
        </w:tc>
        <w:tc>
          <w:tcPr>
            <w:tcW w:w="1134" w:type="dxa"/>
            <w:tcBorders>
              <w:top w:val="single" w:sz="2" w:space="0" w:color="auto"/>
              <w:left w:val="single" w:sz="2" w:space="0" w:color="auto"/>
              <w:bottom w:val="single" w:sz="2" w:space="0" w:color="auto"/>
              <w:right w:val="single" w:sz="2" w:space="0" w:color="auto"/>
            </w:tcBorders>
            <w:vAlign w:val="center"/>
          </w:tcPr>
          <w:p w14:paraId="6F5A32A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同意各议案</w:t>
            </w:r>
          </w:p>
        </w:tc>
        <w:tc>
          <w:tcPr>
            <w:tcW w:w="851" w:type="dxa"/>
            <w:tcBorders>
              <w:top w:val="single" w:sz="2" w:space="0" w:color="auto"/>
              <w:left w:val="single" w:sz="2" w:space="0" w:color="auto"/>
              <w:bottom w:val="single" w:sz="2" w:space="0" w:color="auto"/>
              <w:right w:val="single" w:sz="2" w:space="0" w:color="auto"/>
            </w:tcBorders>
            <w:vAlign w:val="center"/>
          </w:tcPr>
          <w:p w14:paraId="7255C87E"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c>
          <w:tcPr>
            <w:tcW w:w="992" w:type="dxa"/>
            <w:tcBorders>
              <w:top w:val="single" w:sz="2" w:space="0" w:color="auto"/>
              <w:left w:val="single" w:sz="2" w:space="0" w:color="auto"/>
              <w:bottom w:val="single" w:sz="2" w:space="0" w:color="auto"/>
              <w:right w:val="single" w:sz="2" w:space="0" w:color="auto"/>
            </w:tcBorders>
            <w:vAlign w:val="center"/>
          </w:tcPr>
          <w:p w14:paraId="5FF980FC"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r>
    </w:tbl>
    <w:p w14:paraId="0E26B128"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01" w:name="_Toc988961"/>
      <w:bookmarkStart w:id="102" w:name="_Toc164024776"/>
      <w:r w:rsidRPr="00F614F9">
        <w:rPr>
          <w:rFonts w:ascii="Times New Roman" w:eastAsia="宋体" w:hAnsi="Times New Roman" w:cs="宋体"/>
          <w:b/>
          <w:bCs/>
          <w:sz w:val="24"/>
          <w:szCs w:val="24"/>
        </w:rPr>
        <w:t>八、监事会工作情况</w:t>
      </w:r>
      <w:bookmarkEnd w:id="101"/>
      <w:bookmarkEnd w:id="102"/>
    </w:p>
    <w:p w14:paraId="7D670F0A"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监事会在报告期内的监督活动中发现公司是否存在风险</w:t>
      </w:r>
    </w:p>
    <w:p w14:paraId="75B8FCB9"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否</w:t>
      </w:r>
    </w:p>
    <w:p w14:paraId="54C43C6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监事会对报告期内的监督事项无异议。</w:t>
      </w:r>
    </w:p>
    <w:p w14:paraId="074EAE6A"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03" w:name="_Toc988962"/>
      <w:bookmarkStart w:id="104" w:name="_Toc164024777"/>
      <w:r w:rsidRPr="00F614F9">
        <w:rPr>
          <w:rFonts w:ascii="Times New Roman" w:eastAsia="宋体" w:hAnsi="Times New Roman" w:cs="宋体"/>
          <w:b/>
          <w:bCs/>
          <w:sz w:val="24"/>
          <w:szCs w:val="24"/>
        </w:rPr>
        <w:t>九、公司员工情况</w:t>
      </w:r>
      <w:bookmarkEnd w:id="103"/>
      <w:bookmarkEnd w:id="104"/>
    </w:p>
    <w:p w14:paraId="7085CE4E" w14:textId="77777777" w:rsidR="001D26E7" w:rsidRPr="00F614F9" w:rsidRDefault="00000000">
      <w:pPr>
        <w:pStyle w:val="3"/>
        <w:spacing w:line="280" w:lineRule="exact"/>
        <w:jc w:val="left"/>
        <w:rPr>
          <w:rFonts w:ascii="Times New Roman" w:hAnsi="Times New Roman" w:cs="宋体"/>
          <w:b/>
          <w:bCs/>
        </w:rPr>
      </w:pPr>
      <w:bookmarkStart w:id="105" w:name="_Toc988963"/>
      <w:r w:rsidRPr="00F614F9">
        <w:rPr>
          <w:rFonts w:ascii="Times New Roman" w:hAnsi="Times New Roman" w:cs="宋体"/>
          <w:b/>
          <w:bCs/>
        </w:rPr>
        <w:t>1</w:t>
      </w:r>
      <w:r w:rsidRPr="00F614F9">
        <w:rPr>
          <w:rFonts w:ascii="Times New Roman" w:hAnsi="Times New Roman" w:cs="宋体"/>
          <w:b/>
          <w:bCs/>
        </w:rPr>
        <w:t>、员工数量、专业构成及教育程度</w:t>
      </w:r>
      <w:bookmarkEnd w:id="105"/>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1D26E7" w:rsidRPr="00F614F9" w14:paraId="671BADA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848703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报告期末母公司在职员工的数量（人）</w:t>
            </w:r>
          </w:p>
        </w:tc>
        <w:tc>
          <w:tcPr>
            <w:tcW w:w="4820" w:type="dxa"/>
            <w:tcBorders>
              <w:top w:val="single" w:sz="2" w:space="0" w:color="auto"/>
              <w:left w:val="single" w:sz="2" w:space="0" w:color="auto"/>
              <w:bottom w:val="single" w:sz="2" w:space="0" w:color="auto"/>
              <w:right w:val="single" w:sz="2" w:space="0" w:color="auto"/>
            </w:tcBorders>
            <w:vAlign w:val="center"/>
          </w:tcPr>
          <w:p w14:paraId="6E05946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2,114</w:t>
            </w:r>
          </w:p>
        </w:tc>
      </w:tr>
      <w:tr w:rsidR="001D26E7" w:rsidRPr="00F614F9" w14:paraId="16B0D00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BE2B9C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报告期末主要子公司在职员工的数量（人）</w:t>
            </w:r>
          </w:p>
        </w:tc>
        <w:tc>
          <w:tcPr>
            <w:tcW w:w="4820" w:type="dxa"/>
            <w:tcBorders>
              <w:top w:val="single" w:sz="2" w:space="0" w:color="auto"/>
              <w:left w:val="single" w:sz="2" w:space="0" w:color="auto"/>
              <w:bottom w:val="single" w:sz="2" w:space="0" w:color="auto"/>
              <w:right w:val="single" w:sz="2" w:space="0" w:color="auto"/>
            </w:tcBorders>
            <w:vAlign w:val="center"/>
          </w:tcPr>
          <w:p w14:paraId="33FD479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3,800</w:t>
            </w:r>
          </w:p>
        </w:tc>
      </w:tr>
      <w:tr w:rsidR="001D26E7" w:rsidRPr="00F614F9" w14:paraId="1011FE63"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828E09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报告期末在职员工的数量合计（人）</w:t>
            </w:r>
          </w:p>
        </w:tc>
        <w:tc>
          <w:tcPr>
            <w:tcW w:w="4820" w:type="dxa"/>
            <w:tcBorders>
              <w:top w:val="single" w:sz="2" w:space="0" w:color="auto"/>
              <w:left w:val="single" w:sz="2" w:space="0" w:color="auto"/>
              <w:bottom w:val="single" w:sz="2" w:space="0" w:color="auto"/>
              <w:right w:val="single" w:sz="2" w:space="0" w:color="auto"/>
            </w:tcBorders>
            <w:vAlign w:val="center"/>
          </w:tcPr>
          <w:p w14:paraId="733D41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5,914</w:t>
            </w:r>
          </w:p>
        </w:tc>
      </w:tr>
      <w:tr w:rsidR="001D26E7" w:rsidRPr="00F614F9" w14:paraId="0D52E78A"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D58D65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当期领取薪酬员工总人数（人）</w:t>
            </w:r>
          </w:p>
        </w:tc>
        <w:tc>
          <w:tcPr>
            <w:tcW w:w="4820" w:type="dxa"/>
            <w:tcBorders>
              <w:top w:val="single" w:sz="2" w:space="0" w:color="auto"/>
              <w:left w:val="single" w:sz="2" w:space="0" w:color="auto"/>
              <w:bottom w:val="single" w:sz="2" w:space="0" w:color="auto"/>
              <w:right w:val="single" w:sz="2" w:space="0" w:color="auto"/>
            </w:tcBorders>
            <w:vAlign w:val="center"/>
          </w:tcPr>
          <w:p w14:paraId="742367D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6,414</w:t>
            </w:r>
          </w:p>
        </w:tc>
      </w:tr>
      <w:tr w:rsidR="001D26E7" w:rsidRPr="00F614F9" w14:paraId="63BF71E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089638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母公司及主要子公司需承担费用的离退休职工人数（人）</w:t>
            </w:r>
          </w:p>
        </w:tc>
        <w:tc>
          <w:tcPr>
            <w:tcW w:w="4820" w:type="dxa"/>
            <w:tcBorders>
              <w:top w:val="single" w:sz="2" w:space="0" w:color="auto"/>
              <w:left w:val="single" w:sz="2" w:space="0" w:color="auto"/>
              <w:bottom w:val="single" w:sz="2" w:space="0" w:color="auto"/>
              <w:right w:val="single" w:sz="2" w:space="0" w:color="auto"/>
            </w:tcBorders>
            <w:vAlign w:val="center"/>
          </w:tcPr>
          <w:p w14:paraId="71BC66C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7C02ECD6" w14:textId="77777777">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28178C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专业构成</w:t>
            </w:r>
          </w:p>
        </w:tc>
      </w:tr>
      <w:tr w:rsidR="001D26E7" w:rsidRPr="00F614F9" w14:paraId="0D3803EA"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744D4B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专业构成类别</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6A0430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专业构成人数（人）</w:t>
            </w:r>
          </w:p>
        </w:tc>
      </w:tr>
      <w:tr w:rsidR="001D26E7" w:rsidRPr="00F614F9" w14:paraId="565CB2FE"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8FAED7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生产人员</w:t>
            </w:r>
          </w:p>
        </w:tc>
        <w:tc>
          <w:tcPr>
            <w:tcW w:w="4820" w:type="dxa"/>
            <w:tcBorders>
              <w:top w:val="single" w:sz="2" w:space="0" w:color="auto"/>
              <w:left w:val="single" w:sz="2" w:space="0" w:color="auto"/>
              <w:bottom w:val="single" w:sz="2" w:space="0" w:color="auto"/>
              <w:right w:val="single" w:sz="2" w:space="0" w:color="auto"/>
            </w:tcBorders>
            <w:vAlign w:val="center"/>
          </w:tcPr>
          <w:p w14:paraId="0D74D6A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3,865</w:t>
            </w:r>
          </w:p>
        </w:tc>
      </w:tr>
      <w:tr w:rsidR="001D26E7" w:rsidRPr="00F614F9" w14:paraId="60EEF058"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D4B95B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销售人员</w:t>
            </w:r>
          </w:p>
        </w:tc>
        <w:tc>
          <w:tcPr>
            <w:tcW w:w="4820" w:type="dxa"/>
            <w:tcBorders>
              <w:top w:val="single" w:sz="2" w:space="0" w:color="auto"/>
              <w:left w:val="single" w:sz="2" w:space="0" w:color="auto"/>
              <w:bottom w:val="single" w:sz="2" w:space="0" w:color="auto"/>
              <w:right w:val="single" w:sz="2" w:space="0" w:color="auto"/>
            </w:tcBorders>
            <w:vAlign w:val="center"/>
          </w:tcPr>
          <w:p w14:paraId="17BA4B7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494</w:t>
            </w:r>
          </w:p>
        </w:tc>
      </w:tr>
      <w:tr w:rsidR="001D26E7" w:rsidRPr="00F614F9" w14:paraId="1632DCE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9875C6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技术人员</w:t>
            </w:r>
          </w:p>
        </w:tc>
        <w:tc>
          <w:tcPr>
            <w:tcW w:w="4820" w:type="dxa"/>
            <w:tcBorders>
              <w:top w:val="single" w:sz="2" w:space="0" w:color="auto"/>
              <w:left w:val="single" w:sz="2" w:space="0" w:color="auto"/>
              <w:bottom w:val="single" w:sz="2" w:space="0" w:color="auto"/>
              <w:right w:val="single" w:sz="2" w:space="0" w:color="auto"/>
            </w:tcBorders>
            <w:vAlign w:val="center"/>
          </w:tcPr>
          <w:p w14:paraId="68F1901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237</w:t>
            </w:r>
          </w:p>
        </w:tc>
      </w:tr>
      <w:tr w:rsidR="001D26E7" w:rsidRPr="00F614F9" w14:paraId="403F3C6B"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850D25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财务人员</w:t>
            </w:r>
          </w:p>
        </w:tc>
        <w:tc>
          <w:tcPr>
            <w:tcW w:w="4820" w:type="dxa"/>
            <w:tcBorders>
              <w:top w:val="single" w:sz="2" w:space="0" w:color="auto"/>
              <w:left w:val="single" w:sz="2" w:space="0" w:color="auto"/>
              <w:bottom w:val="single" w:sz="2" w:space="0" w:color="auto"/>
              <w:right w:val="single" w:sz="2" w:space="0" w:color="auto"/>
            </w:tcBorders>
            <w:vAlign w:val="center"/>
          </w:tcPr>
          <w:p w14:paraId="0FA1762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112</w:t>
            </w:r>
          </w:p>
        </w:tc>
      </w:tr>
      <w:tr w:rsidR="001D26E7" w:rsidRPr="00F614F9" w14:paraId="667A7E3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4FDA4D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行政人员</w:t>
            </w:r>
          </w:p>
        </w:tc>
        <w:tc>
          <w:tcPr>
            <w:tcW w:w="4820" w:type="dxa"/>
            <w:tcBorders>
              <w:top w:val="single" w:sz="2" w:space="0" w:color="auto"/>
              <w:left w:val="single" w:sz="2" w:space="0" w:color="auto"/>
              <w:bottom w:val="single" w:sz="2" w:space="0" w:color="auto"/>
              <w:right w:val="single" w:sz="2" w:space="0" w:color="auto"/>
            </w:tcBorders>
            <w:vAlign w:val="center"/>
          </w:tcPr>
          <w:p w14:paraId="21A8DED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1,206</w:t>
            </w:r>
          </w:p>
        </w:tc>
      </w:tr>
      <w:tr w:rsidR="001D26E7" w:rsidRPr="00F614F9" w14:paraId="797DDBD8"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4487A6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14:paraId="6B8C1E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5,914</w:t>
            </w:r>
          </w:p>
        </w:tc>
      </w:tr>
      <w:tr w:rsidR="001D26E7" w:rsidRPr="00F614F9" w14:paraId="689A424D" w14:textId="77777777">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C67E3C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教育程度</w:t>
            </w:r>
          </w:p>
        </w:tc>
      </w:tr>
      <w:tr w:rsidR="001D26E7" w:rsidRPr="00F614F9" w14:paraId="23F13982"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0EE6B4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lastRenderedPageBreak/>
              <w:t>教育程度类别</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5972EF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数量（人）</w:t>
            </w:r>
          </w:p>
        </w:tc>
      </w:tr>
      <w:tr w:rsidR="001D26E7" w:rsidRPr="00F614F9" w14:paraId="2A49E30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838009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本科及以上</w:t>
            </w:r>
          </w:p>
        </w:tc>
        <w:tc>
          <w:tcPr>
            <w:tcW w:w="4820" w:type="dxa"/>
            <w:tcBorders>
              <w:top w:val="single" w:sz="2" w:space="0" w:color="auto"/>
              <w:left w:val="single" w:sz="2" w:space="0" w:color="auto"/>
              <w:bottom w:val="single" w:sz="2" w:space="0" w:color="auto"/>
              <w:right w:val="single" w:sz="2" w:space="0" w:color="auto"/>
            </w:tcBorders>
            <w:vAlign w:val="center"/>
          </w:tcPr>
          <w:p w14:paraId="177CD02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292</w:t>
            </w:r>
          </w:p>
        </w:tc>
      </w:tr>
      <w:tr w:rsidR="001D26E7" w:rsidRPr="00F614F9" w14:paraId="56DAD49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F963C6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专科</w:t>
            </w:r>
          </w:p>
        </w:tc>
        <w:tc>
          <w:tcPr>
            <w:tcW w:w="4820" w:type="dxa"/>
            <w:tcBorders>
              <w:top w:val="single" w:sz="2" w:space="0" w:color="auto"/>
              <w:left w:val="single" w:sz="2" w:space="0" w:color="auto"/>
              <w:bottom w:val="single" w:sz="2" w:space="0" w:color="auto"/>
              <w:right w:val="single" w:sz="2" w:space="0" w:color="auto"/>
            </w:tcBorders>
            <w:vAlign w:val="center"/>
          </w:tcPr>
          <w:p w14:paraId="71975D1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612</w:t>
            </w:r>
          </w:p>
        </w:tc>
      </w:tr>
      <w:tr w:rsidR="001D26E7" w:rsidRPr="00F614F9" w14:paraId="548A10A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41B206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高中</w:t>
            </w:r>
          </w:p>
        </w:tc>
        <w:tc>
          <w:tcPr>
            <w:tcW w:w="4820" w:type="dxa"/>
            <w:tcBorders>
              <w:top w:val="single" w:sz="2" w:space="0" w:color="auto"/>
              <w:left w:val="single" w:sz="2" w:space="0" w:color="auto"/>
              <w:bottom w:val="single" w:sz="2" w:space="0" w:color="auto"/>
              <w:right w:val="single" w:sz="2" w:space="0" w:color="auto"/>
            </w:tcBorders>
            <w:vAlign w:val="center"/>
          </w:tcPr>
          <w:p w14:paraId="3FB66D4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348</w:t>
            </w:r>
          </w:p>
        </w:tc>
      </w:tr>
      <w:tr w:rsidR="001D26E7" w:rsidRPr="00F614F9" w14:paraId="5BF1F7E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FAEDAA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中专</w:t>
            </w:r>
          </w:p>
        </w:tc>
        <w:tc>
          <w:tcPr>
            <w:tcW w:w="4820" w:type="dxa"/>
            <w:tcBorders>
              <w:top w:val="single" w:sz="2" w:space="0" w:color="auto"/>
              <w:left w:val="single" w:sz="2" w:space="0" w:color="auto"/>
              <w:bottom w:val="single" w:sz="2" w:space="0" w:color="auto"/>
              <w:right w:val="single" w:sz="2" w:space="0" w:color="auto"/>
            </w:tcBorders>
            <w:vAlign w:val="center"/>
          </w:tcPr>
          <w:p w14:paraId="0206DA5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355</w:t>
            </w:r>
          </w:p>
        </w:tc>
      </w:tr>
      <w:tr w:rsidR="001D26E7" w:rsidRPr="00F614F9" w14:paraId="7A083A7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CBFD4F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中专以下</w:t>
            </w:r>
          </w:p>
        </w:tc>
        <w:tc>
          <w:tcPr>
            <w:tcW w:w="4820" w:type="dxa"/>
            <w:tcBorders>
              <w:top w:val="single" w:sz="2" w:space="0" w:color="auto"/>
              <w:left w:val="single" w:sz="2" w:space="0" w:color="auto"/>
              <w:bottom w:val="single" w:sz="2" w:space="0" w:color="auto"/>
              <w:right w:val="single" w:sz="2" w:space="0" w:color="auto"/>
            </w:tcBorders>
            <w:vAlign w:val="center"/>
          </w:tcPr>
          <w:p w14:paraId="1659471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4,307</w:t>
            </w:r>
          </w:p>
        </w:tc>
      </w:tr>
      <w:tr w:rsidR="001D26E7" w:rsidRPr="00F614F9" w14:paraId="547CCA3A"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8B767D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14:paraId="1F171B3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5,914</w:t>
            </w:r>
          </w:p>
        </w:tc>
      </w:tr>
    </w:tbl>
    <w:p w14:paraId="5266EF75" w14:textId="77777777" w:rsidR="001D26E7" w:rsidRPr="00F614F9" w:rsidRDefault="00000000">
      <w:pPr>
        <w:pStyle w:val="3"/>
        <w:spacing w:line="280" w:lineRule="exact"/>
        <w:jc w:val="left"/>
        <w:rPr>
          <w:rFonts w:ascii="Times New Roman" w:hAnsi="Times New Roman" w:cs="宋体"/>
          <w:b/>
          <w:bCs/>
        </w:rPr>
      </w:pPr>
      <w:bookmarkStart w:id="106" w:name="_Toc988964"/>
      <w:r w:rsidRPr="00F614F9">
        <w:rPr>
          <w:rFonts w:ascii="Times New Roman" w:hAnsi="Times New Roman" w:cs="宋体"/>
          <w:b/>
          <w:bCs/>
        </w:rPr>
        <w:t>2</w:t>
      </w:r>
      <w:r w:rsidRPr="00F614F9">
        <w:rPr>
          <w:rFonts w:ascii="Times New Roman" w:hAnsi="Times New Roman" w:cs="宋体"/>
          <w:b/>
          <w:bCs/>
        </w:rPr>
        <w:t>、薪酬政策</w:t>
      </w:r>
      <w:bookmarkEnd w:id="106"/>
    </w:p>
    <w:p w14:paraId="51FD33EB" w14:textId="77777777" w:rsidR="00872599" w:rsidRPr="00F614F9" w:rsidRDefault="00000000" w:rsidP="002B7559">
      <w:pPr>
        <w:pStyle w:val="a3"/>
        <w:spacing w:before="300" w:beforeAutospacing="0" w:after="300" w:afterAutospacing="0" w:line="276" w:lineRule="auto"/>
        <w:ind w:firstLine="211"/>
        <w:jc w:val="both"/>
        <w:divId w:val="1345935024"/>
        <w:rPr>
          <w:rFonts w:ascii="Times New Roman" w:hAnsi="Times New Roman" w:cs="Times New Roman"/>
          <w:sz w:val="21"/>
          <w:szCs w:val="21"/>
        </w:rPr>
      </w:pPr>
      <w:r w:rsidRPr="00F614F9">
        <w:rPr>
          <w:rFonts w:ascii="Times New Roman" w:hAnsi="Times New Roman" w:cs="Times New Roman" w:hint="eastAsia"/>
          <w:sz w:val="18"/>
          <w:szCs w:val="18"/>
        </w:rPr>
        <w:t> </w:t>
      </w:r>
      <w:r w:rsidRPr="00F614F9">
        <w:rPr>
          <w:rFonts w:ascii="Times New Roman" w:hAnsi="Times New Roman" w:cs="Times New Roman" w:hint="eastAsia"/>
          <w:sz w:val="18"/>
          <w:szCs w:val="18"/>
        </w:rPr>
        <w:t>在公司“一体两翼”战略根基稳定的背景下，以利润目标为导向，基于《劳动合同法》等法律法规以及公司相关规章制度，保证在</w:t>
      </w:r>
      <w:proofErr w:type="gramStart"/>
      <w:r w:rsidRPr="00F614F9">
        <w:rPr>
          <w:rFonts w:ascii="Times New Roman" w:hAnsi="Times New Roman" w:cs="Times New Roman" w:hint="eastAsia"/>
          <w:sz w:val="18"/>
          <w:szCs w:val="18"/>
        </w:rPr>
        <w:t>“</w:t>
      </w:r>
      <w:proofErr w:type="gramEnd"/>
      <w:r w:rsidRPr="00F614F9">
        <w:rPr>
          <w:rFonts w:ascii="Times New Roman" w:hAnsi="Times New Roman" w:cs="Times New Roman" w:hint="eastAsia"/>
          <w:sz w:val="18"/>
          <w:szCs w:val="18"/>
        </w:rPr>
        <w:t>公平性、激励性“的基础上以薪资管理结合晋降级双线抓手设定激励与约束并存的薪酬制度，并分板块、职能设计专项考核政策，有效提高员工工作积极性，提升吸引人才的力度，保证整体人员素质，为公司整体核心竞争力提供强有力的基础。</w:t>
      </w:r>
    </w:p>
    <w:p w14:paraId="79BDA518" w14:textId="77777777" w:rsidR="001D26E7" w:rsidRPr="00F614F9" w:rsidRDefault="00000000">
      <w:pPr>
        <w:pStyle w:val="3"/>
        <w:spacing w:line="280" w:lineRule="exact"/>
        <w:jc w:val="left"/>
        <w:rPr>
          <w:rFonts w:ascii="Times New Roman" w:hAnsi="Times New Roman" w:cs="宋体"/>
          <w:b/>
          <w:bCs/>
        </w:rPr>
      </w:pPr>
      <w:bookmarkStart w:id="107" w:name="_Toc988965"/>
      <w:r w:rsidRPr="00F614F9">
        <w:rPr>
          <w:rFonts w:ascii="Times New Roman" w:hAnsi="Times New Roman" w:cs="宋体"/>
          <w:b/>
          <w:bCs/>
        </w:rPr>
        <w:t>3</w:t>
      </w:r>
      <w:r w:rsidRPr="00F614F9">
        <w:rPr>
          <w:rFonts w:ascii="Times New Roman" w:hAnsi="Times New Roman" w:cs="宋体"/>
          <w:b/>
          <w:bCs/>
        </w:rPr>
        <w:t>、培训计划</w:t>
      </w:r>
      <w:bookmarkEnd w:id="107"/>
    </w:p>
    <w:p w14:paraId="7B738B0B" w14:textId="77777777" w:rsidR="00872599" w:rsidRPr="00F614F9" w:rsidRDefault="00000000" w:rsidP="002B7559">
      <w:pPr>
        <w:pStyle w:val="a3"/>
        <w:spacing w:before="300" w:beforeAutospacing="0" w:after="300" w:afterAutospacing="0" w:line="276" w:lineRule="auto"/>
        <w:ind w:firstLine="211"/>
        <w:jc w:val="both"/>
        <w:divId w:val="871262044"/>
        <w:rPr>
          <w:rFonts w:ascii="Times New Roman" w:hAnsi="Times New Roman" w:cs="Times New Roman"/>
          <w:sz w:val="21"/>
          <w:szCs w:val="21"/>
        </w:rPr>
      </w:pPr>
      <w:r w:rsidRPr="00F614F9">
        <w:rPr>
          <w:rFonts w:ascii="Times New Roman" w:hAnsi="Times New Roman" w:cs="Times New Roman" w:hint="eastAsia"/>
          <w:sz w:val="21"/>
          <w:szCs w:val="21"/>
        </w:rPr>
        <w:t> </w:t>
      </w:r>
      <w:r w:rsidRPr="00F614F9">
        <w:rPr>
          <w:rFonts w:ascii="Times New Roman" w:hAnsi="Times New Roman" w:cs="Times New Roman" w:hint="eastAsia"/>
          <w:sz w:val="18"/>
          <w:szCs w:val="18"/>
        </w:rPr>
        <w:t>公司高度重视人员培训与人才梯队培养，致力于构建多层次、多元化的人才发展体系。我们通过全面的培训计划，针对员工的知识、技能和素质进行全面赋能，并确保培训目标与企业需求紧密契合。同时，我们不断优化培训课程，灵活运用多样化的培训方法，建立完善的培训奖惩机制和责任机制，以最大限度地激发员工的潜力，充分挖掘和利用人力资源，为公司持续发展注入源源不断的动力。</w:t>
      </w:r>
    </w:p>
    <w:p w14:paraId="1AAA129E" w14:textId="77777777" w:rsidR="001D26E7" w:rsidRPr="00F614F9" w:rsidRDefault="00000000">
      <w:pPr>
        <w:pStyle w:val="3"/>
        <w:spacing w:line="280" w:lineRule="exact"/>
        <w:jc w:val="left"/>
        <w:rPr>
          <w:rFonts w:ascii="Times New Roman" w:hAnsi="Times New Roman" w:cs="宋体"/>
          <w:b/>
          <w:bCs/>
        </w:rPr>
      </w:pPr>
      <w:bookmarkStart w:id="108" w:name="_Toc988966"/>
      <w:r w:rsidRPr="00F614F9">
        <w:rPr>
          <w:rFonts w:ascii="Times New Roman" w:hAnsi="Times New Roman" w:cs="宋体"/>
          <w:b/>
          <w:bCs/>
        </w:rPr>
        <w:t>4</w:t>
      </w:r>
      <w:r w:rsidRPr="00F614F9">
        <w:rPr>
          <w:rFonts w:ascii="Times New Roman" w:hAnsi="Times New Roman" w:cs="宋体"/>
          <w:b/>
          <w:bCs/>
        </w:rPr>
        <w:t>、劳务外包情况</w:t>
      </w:r>
      <w:bookmarkEnd w:id="108"/>
    </w:p>
    <w:p w14:paraId="0999075A"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EBBB3E7"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09" w:name="_Toc988967"/>
      <w:bookmarkStart w:id="110" w:name="_Toc164024778"/>
      <w:r w:rsidRPr="00F614F9">
        <w:rPr>
          <w:rFonts w:ascii="Times New Roman" w:eastAsia="宋体" w:hAnsi="Times New Roman" w:cs="宋体"/>
          <w:b/>
          <w:bCs/>
          <w:sz w:val="24"/>
          <w:szCs w:val="24"/>
        </w:rPr>
        <w:t>十、公司利润分配及资本公积金转增股本情况</w:t>
      </w:r>
      <w:bookmarkEnd w:id="109"/>
      <w:bookmarkEnd w:id="110"/>
    </w:p>
    <w:p w14:paraId="11F1853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w:t>
      </w:r>
      <w:proofErr w:type="gramStart"/>
      <w:r w:rsidRPr="00F614F9">
        <w:rPr>
          <w:rFonts w:ascii="Times New Roman" w:eastAsia="宋体" w:hAnsi="Times New Roman" w:cs="宋体"/>
          <w:sz w:val="18"/>
          <w:szCs w:val="18"/>
        </w:rPr>
        <w:t>内利润</w:t>
      </w:r>
      <w:proofErr w:type="gramEnd"/>
      <w:r w:rsidRPr="00F614F9">
        <w:rPr>
          <w:rFonts w:ascii="Times New Roman" w:eastAsia="宋体" w:hAnsi="Times New Roman" w:cs="宋体"/>
          <w:sz w:val="18"/>
          <w:szCs w:val="18"/>
        </w:rPr>
        <w:t>分配政策，特别是现金分红政策的制定、执行或调整情况</w:t>
      </w:r>
    </w:p>
    <w:p w14:paraId="798FDF06"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1F6BDFC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公司报告期内</w:t>
      </w:r>
      <w:proofErr w:type="gramStart"/>
      <w:r w:rsidRPr="00F614F9">
        <w:rPr>
          <w:rFonts w:ascii="Times New Roman" w:eastAsia="宋体" w:hAnsi="Times New Roman" w:cs="宋体"/>
          <w:sz w:val="18"/>
          <w:szCs w:val="18"/>
        </w:rPr>
        <w:t>盈利且母公司</w:t>
      </w:r>
      <w:proofErr w:type="gramEnd"/>
      <w:r w:rsidRPr="00F614F9">
        <w:rPr>
          <w:rFonts w:ascii="Times New Roman" w:eastAsia="宋体" w:hAnsi="Times New Roman" w:cs="宋体"/>
          <w:sz w:val="18"/>
          <w:szCs w:val="18"/>
        </w:rPr>
        <w:t>可供股东分配利润</w:t>
      </w:r>
      <w:proofErr w:type="gramStart"/>
      <w:r w:rsidRPr="00F614F9">
        <w:rPr>
          <w:rFonts w:ascii="Times New Roman" w:eastAsia="宋体" w:hAnsi="Times New Roman" w:cs="宋体"/>
          <w:sz w:val="18"/>
          <w:szCs w:val="18"/>
        </w:rPr>
        <w:t>为正但未</w:t>
      </w:r>
      <w:proofErr w:type="gramEnd"/>
      <w:r w:rsidRPr="00F614F9">
        <w:rPr>
          <w:rFonts w:ascii="Times New Roman" w:eastAsia="宋体" w:hAnsi="Times New Roman" w:cs="宋体"/>
          <w:sz w:val="18"/>
          <w:szCs w:val="18"/>
        </w:rPr>
        <w:t>提出现金红利分配预案</w:t>
      </w:r>
    </w:p>
    <w:p w14:paraId="087536E8"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13C812B0"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本报告期利润分配及资本公积金转增股本情况</w:t>
      </w:r>
    </w:p>
    <w:p w14:paraId="7D81AA73"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7274E6A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公司计划年度</w:t>
      </w:r>
      <w:proofErr w:type="gramStart"/>
      <w:r w:rsidRPr="00F614F9">
        <w:rPr>
          <w:rFonts w:ascii="Times New Roman" w:eastAsia="宋体" w:hAnsi="Times New Roman" w:cs="宋体"/>
          <w:sz w:val="18"/>
          <w:szCs w:val="18"/>
        </w:rPr>
        <w:t>不</w:t>
      </w:r>
      <w:proofErr w:type="gramEnd"/>
      <w:r w:rsidRPr="00F614F9">
        <w:rPr>
          <w:rFonts w:ascii="Times New Roman" w:eastAsia="宋体" w:hAnsi="Times New Roman" w:cs="宋体"/>
          <w:sz w:val="18"/>
          <w:szCs w:val="18"/>
        </w:rPr>
        <w:t>派发现金红利，不送红股，不以公积金转增股本。</w:t>
      </w:r>
    </w:p>
    <w:p w14:paraId="09C26014"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11" w:name="_Toc988968"/>
      <w:bookmarkStart w:id="112" w:name="_Toc164024779"/>
      <w:r w:rsidRPr="00F614F9">
        <w:rPr>
          <w:rFonts w:ascii="Times New Roman" w:eastAsia="宋体" w:hAnsi="Times New Roman" w:cs="宋体"/>
          <w:b/>
          <w:bCs/>
          <w:sz w:val="24"/>
          <w:szCs w:val="24"/>
        </w:rPr>
        <w:t>十一、公司股权激励计划、员工持股计划或其他员工激励措施的实施情况</w:t>
      </w:r>
      <w:bookmarkEnd w:id="111"/>
      <w:bookmarkEnd w:id="112"/>
    </w:p>
    <w:p w14:paraId="00ECA20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1110BA51" w14:textId="77777777" w:rsidR="001D26E7" w:rsidRPr="00F614F9" w:rsidRDefault="00000000">
      <w:pPr>
        <w:pStyle w:val="3"/>
        <w:spacing w:line="280" w:lineRule="exact"/>
        <w:jc w:val="left"/>
        <w:rPr>
          <w:rFonts w:ascii="Times New Roman" w:hAnsi="Times New Roman" w:cs="宋体"/>
          <w:b/>
          <w:bCs/>
        </w:rPr>
      </w:pPr>
      <w:bookmarkStart w:id="113" w:name="_Toc988969"/>
      <w:r w:rsidRPr="00F614F9">
        <w:rPr>
          <w:rFonts w:ascii="Times New Roman" w:hAnsi="Times New Roman" w:cs="宋体"/>
          <w:b/>
          <w:bCs/>
        </w:rPr>
        <w:t>1</w:t>
      </w:r>
      <w:r w:rsidRPr="00F614F9">
        <w:rPr>
          <w:rFonts w:ascii="Times New Roman" w:hAnsi="Times New Roman" w:cs="宋体"/>
          <w:b/>
          <w:bCs/>
        </w:rPr>
        <w:t>、股权激励</w:t>
      </w:r>
      <w:bookmarkEnd w:id="113"/>
    </w:p>
    <w:p w14:paraId="49C86BC0" w14:textId="77777777" w:rsidR="00872599" w:rsidRPr="00F614F9" w:rsidRDefault="00000000" w:rsidP="002B7559">
      <w:pPr>
        <w:pStyle w:val="a3"/>
        <w:spacing w:before="0" w:beforeAutospacing="0" w:after="0" w:afterAutospacing="0" w:line="276" w:lineRule="auto"/>
        <w:ind w:firstLine="360"/>
        <w:jc w:val="both"/>
        <w:divId w:val="1458064835"/>
        <w:rPr>
          <w:rFonts w:ascii="Times New Roman" w:hAnsi="Times New Roman"/>
        </w:rPr>
      </w:pPr>
      <w:r w:rsidRPr="00F614F9">
        <w:rPr>
          <w:rFonts w:ascii="Times New Roman" w:hAnsi="Times New Roman" w:cs="Times New Roman"/>
          <w:sz w:val="18"/>
          <w:szCs w:val="18"/>
        </w:rPr>
        <w:t>2019</w:t>
      </w:r>
      <w:r w:rsidRPr="00F614F9">
        <w:rPr>
          <w:rFonts w:ascii="Times New Roman" w:hAnsi="Times New Roman" w:hint="eastAsia"/>
          <w:sz w:val="18"/>
          <w:szCs w:val="18"/>
        </w:rPr>
        <w:t>年</w:t>
      </w:r>
      <w:r w:rsidRPr="00F614F9">
        <w:rPr>
          <w:rFonts w:ascii="Times New Roman" w:hAnsi="Times New Roman" w:cs="Times New Roman"/>
          <w:sz w:val="18"/>
          <w:szCs w:val="18"/>
        </w:rPr>
        <w:t>9</w:t>
      </w:r>
      <w:r w:rsidRPr="00F614F9">
        <w:rPr>
          <w:rFonts w:ascii="Times New Roman" w:hAnsi="Times New Roman" w:hint="eastAsia"/>
          <w:sz w:val="18"/>
          <w:szCs w:val="18"/>
        </w:rPr>
        <w:t>月</w:t>
      </w:r>
      <w:r w:rsidRPr="00F614F9">
        <w:rPr>
          <w:rFonts w:ascii="Times New Roman" w:hAnsi="Times New Roman" w:cs="Times New Roman"/>
          <w:sz w:val="18"/>
          <w:szCs w:val="18"/>
        </w:rPr>
        <w:t>25</w:t>
      </w:r>
      <w:r w:rsidRPr="00F614F9">
        <w:rPr>
          <w:rFonts w:ascii="Times New Roman" w:hAnsi="Times New Roman" w:hint="eastAsia"/>
          <w:sz w:val="18"/>
          <w:szCs w:val="18"/>
        </w:rPr>
        <w:t>日，公司召开第四届董事会第六次会议，审议通过了《关于公司〈</w:t>
      </w:r>
      <w:r w:rsidRPr="00F614F9">
        <w:rPr>
          <w:rFonts w:ascii="Times New Roman" w:hAnsi="Times New Roman" w:cs="Times New Roman"/>
          <w:sz w:val="18"/>
          <w:szCs w:val="18"/>
        </w:rPr>
        <w:t>2019</w:t>
      </w:r>
      <w:r w:rsidRPr="00F614F9">
        <w:rPr>
          <w:rFonts w:ascii="Times New Roman" w:hAnsi="Times New Roman" w:hint="eastAsia"/>
          <w:sz w:val="18"/>
          <w:szCs w:val="18"/>
        </w:rPr>
        <w:t>年股票期权与限制性股票激励计划</w:t>
      </w:r>
      <w:r w:rsidRPr="00F614F9">
        <w:rPr>
          <w:rFonts w:ascii="Times New Roman" w:hAnsi="Times New Roman" w:cs="Times New Roman"/>
          <w:sz w:val="18"/>
          <w:szCs w:val="18"/>
        </w:rPr>
        <w:t>(</w:t>
      </w:r>
      <w:r w:rsidRPr="00F614F9">
        <w:rPr>
          <w:rFonts w:ascii="Times New Roman" w:hAnsi="Times New Roman" w:hint="eastAsia"/>
          <w:sz w:val="18"/>
          <w:szCs w:val="18"/>
        </w:rPr>
        <w:t>草案</w:t>
      </w:r>
      <w:r w:rsidRPr="00F614F9">
        <w:rPr>
          <w:rFonts w:ascii="Times New Roman" w:hAnsi="Times New Roman" w:cs="Times New Roman"/>
          <w:sz w:val="18"/>
          <w:szCs w:val="18"/>
        </w:rPr>
        <w:t>)</w:t>
      </w:r>
      <w:r w:rsidRPr="00F614F9">
        <w:rPr>
          <w:rFonts w:ascii="Times New Roman" w:hAnsi="Times New Roman" w:hint="eastAsia"/>
          <w:sz w:val="18"/>
          <w:szCs w:val="18"/>
        </w:rPr>
        <w:t>〉及其摘要的议案》、《关于公司〈</w:t>
      </w:r>
      <w:r w:rsidRPr="00F614F9">
        <w:rPr>
          <w:rFonts w:ascii="Times New Roman" w:hAnsi="Times New Roman" w:cs="Times New Roman"/>
          <w:sz w:val="18"/>
          <w:szCs w:val="18"/>
        </w:rPr>
        <w:t>2019</w:t>
      </w:r>
      <w:r w:rsidRPr="00F614F9">
        <w:rPr>
          <w:rFonts w:ascii="Times New Roman" w:hAnsi="Times New Roman" w:hint="eastAsia"/>
          <w:sz w:val="18"/>
          <w:szCs w:val="18"/>
        </w:rPr>
        <w:t>年股票期权与限制性股票激励计划实施考核管理办法〉的议案》以及《关于提请股东大会授权董事会办理公司</w:t>
      </w:r>
      <w:r w:rsidRPr="00F614F9">
        <w:rPr>
          <w:rFonts w:ascii="Times New Roman" w:hAnsi="Times New Roman" w:cs="Times New Roman"/>
          <w:sz w:val="18"/>
          <w:szCs w:val="18"/>
        </w:rPr>
        <w:t>2019</w:t>
      </w:r>
      <w:r w:rsidRPr="00F614F9">
        <w:rPr>
          <w:rFonts w:ascii="Times New Roman" w:hAnsi="Times New Roman" w:hint="eastAsia"/>
          <w:sz w:val="18"/>
          <w:szCs w:val="18"/>
        </w:rPr>
        <w:t>年股票期权与限制性股票激励计划相关事宜的议案》。</w:t>
      </w:r>
    </w:p>
    <w:p w14:paraId="28DA7E2E" w14:textId="77777777" w:rsidR="00872599" w:rsidRPr="00F614F9" w:rsidRDefault="00000000" w:rsidP="002B7559">
      <w:pPr>
        <w:pStyle w:val="a3"/>
        <w:spacing w:before="0" w:beforeAutospacing="0" w:after="0" w:afterAutospacing="0" w:line="276" w:lineRule="auto"/>
        <w:ind w:firstLine="360"/>
        <w:jc w:val="both"/>
        <w:divId w:val="1458064835"/>
        <w:rPr>
          <w:rFonts w:ascii="Times New Roman" w:hAnsi="Times New Roman"/>
        </w:rPr>
      </w:pPr>
      <w:r w:rsidRPr="00F614F9">
        <w:rPr>
          <w:rFonts w:ascii="Times New Roman" w:hAnsi="Times New Roman" w:cs="Times New Roman"/>
          <w:sz w:val="18"/>
          <w:szCs w:val="18"/>
        </w:rPr>
        <w:lastRenderedPageBreak/>
        <w:t>2019</w:t>
      </w:r>
      <w:r w:rsidRPr="00F614F9">
        <w:rPr>
          <w:rFonts w:ascii="Times New Roman" w:hAnsi="Times New Roman" w:hint="eastAsia"/>
          <w:sz w:val="18"/>
          <w:szCs w:val="18"/>
        </w:rPr>
        <w:t>年</w:t>
      </w:r>
      <w:r w:rsidRPr="00F614F9">
        <w:rPr>
          <w:rFonts w:ascii="Times New Roman" w:hAnsi="Times New Roman" w:cs="Times New Roman"/>
          <w:sz w:val="18"/>
          <w:szCs w:val="18"/>
        </w:rPr>
        <w:t>9</w:t>
      </w:r>
      <w:r w:rsidRPr="00F614F9">
        <w:rPr>
          <w:rFonts w:ascii="Times New Roman" w:hAnsi="Times New Roman" w:hint="eastAsia"/>
          <w:sz w:val="18"/>
          <w:szCs w:val="18"/>
        </w:rPr>
        <w:t>月</w:t>
      </w:r>
      <w:r w:rsidRPr="00F614F9">
        <w:rPr>
          <w:rFonts w:ascii="Times New Roman" w:hAnsi="Times New Roman" w:cs="Times New Roman"/>
          <w:sz w:val="18"/>
          <w:szCs w:val="18"/>
        </w:rPr>
        <w:t>25</w:t>
      </w:r>
      <w:r w:rsidRPr="00F614F9">
        <w:rPr>
          <w:rFonts w:ascii="Times New Roman" w:hAnsi="Times New Roman" w:hint="eastAsia"/>
          <w:sz w:val="18"/>
          <w:szCs w:val="18"/>
        </w:rPr>
        <w:t>日，公司召开第四届监事会第五次会议，审议通过了《关于公司〈</w:t>
      </w:r>
      <w:r w:rsidRPr="00F614F9">
        <w:rPr>
          <w:rFonts w:ascii="Times New Roman" w:hAnsi="Times New Roman" w:cs="Times New Roman"/>
          <w:sz w:val="18"/>
          <w:szCs w:val="18"/>
        </w:rPr>
        <w:t>2019</w:t>
      </w:r>
      <w:r w:rsidRPr="00F614F9">
        <w:rPr>
          <w:rFonts w:ascii="Times New Roman" w:hAnsi="Times New Roman" w:hint="eastAsia"/>
          <w:sz w:val="18"/>
          <w:szCs w:val="18"/>
        </w:rPr>
        <w:t>年股票期权与限制性股票激励计划</w:t>
      </w:r>
      <w:r w:rsidRPr="00F614F9">
        <w:rPr>
          <w:rFonts w:ascii="Times New Roman" w:hAnsi="Times New Roman" w:cs="Times New Roman"/>
          <w:sz w:val="18"/>
          <w:szCs w:val="18"/>
        </w:rPr>
        <w:t>(</w:t>
      </w:r>
      <w:r w:rsidRPr="00F614F9">
        <w:rPr>
          <w:rFonts w:ascii="Times New Roman" w:hAnsi="Times New Roman" w:hint="eastAsia"/>
          <w:sz w:val="18"/>
          <w:szCs w:val="18"/>
        </w:rPr>
        <w:t>草案</w:t>
      </w:r>
      <w:r w:rsidRPr="00F614F9">
        <w:rPr>
          <w:rFonts w:ascii="Times New Roman" w:hAnsi="Times New Roman" w:cs="Times New Roman"/>
          <w:sz w:val="18"/>
          <w:szCs w:val="18"/>
        </w:rPr>
        <w:t>)</w:t>
      </w:r>
      <w:r w:rsidRPr="00F614F9">
        <w:rPr>
          <w:rFonts w:ascii="Times New Roman" w:hAnsi="Times New Roman" w:hint="eastAsia"/>
          <w:sz w:val="18"/>
          <w:szCs w:val="18"/>
        </w:rPr>
        <w:t>〉及其摘要的议案》、《关于公司〈</w:t>
      </w:r>
      <w:r w:rsidRPr="00F614F9">
        <w:rPr>
          <w:rFonts w:ascii="Times New Roman" w:hAnsi="Times New Roman" w:cs="Times New Roman"/>
          <w:sz w:val="18"/>
          <w:szCs w:val="18"/>
        </w:rPr>
        <w:t>2019</w:t>
      </w:r>
      <w:r w:rsidRPr="00F614F9">
        <w:rPr>
          <w:rFonts w:ascii="Times New Roman" w:hAnsi="Times New Roman" w:hint="eastAsia"/>
          <w:sz w:val="18"/>
          <w:szCs w:val="18"/>
        </w:rPr>
        <w:t>年股票期权与限制性股票激励计划实施考核管理办法〉的议案》及《关于核查公司〈</w:t>
      </w:r>
      <w:r w:rsidRPr="00F614F9">
        <w:rPr>
          <w:rFonts w:ascii="Times New Roman" w:hAnsi="Times New Roman" w:cs="Times New Roman"/>
          <w:sz w:val="18"/>
          <w:szCs w:val="18"/>
        </w:rPr>
        <w:t>2019</w:t>
      </w:r>
      <w:r w:rsidRPr="00F614F9">
        <w:rPr>
          <w:rFonts w:ascii="Times New Roman" w:hAnsi="Times New Roman" w:hint="eastAsia"/>
          <w:sz w:val="18"/>
          <w:szCs w:val="18"/>
        </w:rPr>
        <w:t>年股票期权与限制性股票激励计划激励对象名单〉的议案》。同时公司于</w:t>
      </w:r>
      <w:r w:rsidRPr="00F614F9">
        <w:rPr>
          <w:rFonts w:ascii="Times New Roman" w:hAnsi="Times New Roman" w:cs="Times New Roman"/>
          <w:sz w:val="18"/>
          <w:szCs w:val="18"/>
        </w:rPr>
        <w:t>2019</w:t>
      </w:r>
      <w:r w:rsidRPr="00F614F9">
        <w:rPr>
          <w:rFonts w:ascii="Times New Roman" w:hAnsi="Times New Roman" w:hint="eastAsia"/>
          <w:sz w:val="18"/>
          <w:szCs w:val="18"/>
        </w:rPr>
        <w:t>年</w:t>
      </w:r>
      <w:r w:rsidRPr="00F614F9">
        <w:rPr>
          <w:rFonts w:ascii="Times New Roman" w:hAnsi="Times New Roman" w:cs="Times New Roman"/>
          <w:sz w:val="18"/>
          <w:szCs w:val="18"/>
        </w:rPr>
        <w:t>11</w:t>
      </w:r>
      <w:r w:rsidRPr="00F614F9">
        <w:rPr>
          <w:rFonts w:ascii="Times New Roman" w:hAnsi="Times New Roman" w:hint="eastAsia"/>
          <w:sz w:val="18"/>
          <w:szCs w:val="18"/>
        </w:rPr>
        <w:t>月</w:t>
      </w:r>
      <w:r w:rsidRPr="00F614F9">
        <w:rPr>
          <w:rFonts w:ascii="Times New Roman" w:hAnsi="Times New Roman" w:cs="Times New Roman"/>
          <w:sz w:val="18"/>
          <w:szCs w:val="18"/>
        </w:rPr>
        <w:t>16</w:t>
      </w:r>
      <w:r w:rsidRPr="00F614F9">
        <w:rPr>
          <w:rFonts w:ascii="Times New Roman" w:hAnsi="Times New Roman" w:hint="eastAsia"/>
          <w:sz w:val="18"/>
          <w:szCs w:val="18"/>
        </w:rPr>
        <w:t>日至</w:t>
      </w:r>
      <w:r w:rsidRPr="00F614F9">
        <w:rPr>
          <w:rFonts w:ascii="Times New Roman" w:hAnsi="Times New Roman" w:cs="Times New Roman"/>
          <w:sz w:val="18"/>
          <w:szCs w:val="18"/>
        </w:rPr>
        <w:t>2019</w:t>
      </w:r>
      <w:r w:rsidRPr="00F614F9">
        <w:rPr>
          <w:rFonts w:ascii="Times New Roman" w:hAnsi="Times New Roman" w:hint="eastAsia"/>
          <w:sz w:val="18"/>
          <w:szCs w:val="18"/>
        </w:rPr>
        <w:t>年</w:t>
      </w:r>
      <w:r w:rsidRPr="00F614F9">
        <w:rPr>
          <w:rFonts w:ascii="Times New Roman" w:hAnsi="Times New Roman" w:cs="Times New Roman"/>
          <w:sz w:val="18"/>
          <w:szCs w:val="18"/>
        </w:rPr>
        <w:t>11</w:t>
      </w:r>
      <w:r w:rsidRPr="00F614F9">
        <w:rPr>
          <w:rFonts w:ascii="Times New Roman" w:hAnsi="Times New Roman" w:hint="eastAsia"/>
          <w:sz w:val="18"/>
          <w:szCs w:val="18"/>
        </w:rPr>
        <w:t>月</w:t>
      </w:r>
      <w:r w:rsidRPr="00F614F9">
        <w:rPr>
          <w:rFonts w:ascii="Times New Roman" w:hAnsi="Times New Roman" w:cs="Times New Roman"/>
          <w:sz w:val="18"/>
          <w:szCs w:val="18"/>
        </w:rPr>
        <w:t>25</w:t>
      </w:r>
      <w:r w:rsidRPr="00F614F9">
        <w:rPr>
          <w:rFonts w:ascii="Times New Roman" w:hAnsi="Times New Roman" w:hint="eastAsia"/>
          <w:sz w:val="18"/>
          <w:szCs w:val="18"/>
        </w:rPr>
        <w:t>日对名单进行了公示，公示期满后，监事会对本次股权激励计划授予激励对象名单进行了核查并对公示情况进行了说明。</w:t>
      </w:r>
    </w:p>
    <w:p w14:paraId="61276933" w14:textId="77777777" w:rsidR="00872599" w:rsidRPr="00F614F9" w:rsidRDefault="00000000" w:rsidP="002B7559">
      <w:pPr>
        <w:pStyle w:val="a3"/>
        <w:spacing w:before="0" w:beforeAutospacing="0" w:after="0" w:afterAutospacing="0" w:line="276" w:lineRule="auto"/>
        <w:ind w:firstLine="360"/>
        <w:jc w:val="both"/>
        <w:divId w:val="1458064835"/>
        <w:rPr>
          <w:rFonts w:ascii="Times New Roman" w:hAnsi="Times New Roman"/>
        </w:rPr>
      </w:pPr>
      <w:r w:rsidRPr="00F614F9">
        <w:rPr>
          <w:rFonts w:ascii="Times New Roman" w:hAnsi="Times New Roman" w:cs="Times New Roman"/>
          <w:sz w:val="18"/>
          <w:szCs w:val="18"/>
        </w:rPr>
        <w:t>2019</w:t>
      </w:r>
      <w:r w:rsidRPr="00F614F9">
        <w:rPr>
          <w:rFonts w:ascii="Times New Roman" w:hAnsi="Times New Roman" w:hint="eastAsia"/>
          <w:sz w:val="18"/>
          <w:szCs w:val="18"/>
        </w:rPr>
        <w:t>年</w:t>
      </w:r>
      <w:r w:rsidRPr="00F614F9">
        <w:rPr>
          <w:rFonts w:ascii="Times New Roman" w:hAnsi="Times New Roman" w:cs="Times New Roman"/>
          <w:sz w:val="18"/>
          <w:szCs w:val="18"/>
        </w:rPr>
        <w:t>12</w:t>
      </w:r>
      <w:r w:rsidRPr="00F614F9">
        <w:rPr>
          <w:rFonts w:ascii="Times New Roman" w:hAnsi="Times New Roman" w:hint="eastAsia"/>
          <w:sz w:val="18"/>
          <w:szCs w:val="18"/>
        </w:rPr>
        <w:t>月</w:t>
      </w:r>
      <w:r w:rsidRPr="00F614F9">
        <w:rPr>
          <w:rFonts w:ascii="Times New Roman" w:hAnsi="Times New Roman" w:cs="Times New Roman"/>
          <w:sz w:val="18"/>
          <w:szCs w:val="18"/>
        </w:rPr>
        <w:t>2</w:t>
      </w:r>
      <w:r w:rsidRPr="00F614F9">
        <w:rPr>
          <w:rFonts w:ascii="Times New Roman" w:hAnsi="Times New Roman" w:hint="eastAsia"/>
          <w:sz w:val="18"/>
          <w:szCs w:val="18"/>
        </w:rPr>
        <w:t>日，公司</w:t>
      </w:r>
      <w:r w:rsidRPr="00F614F9">
        <w:rPr>
          <w:rFonts w:ascii="Times New Roman" w:hAnsi="Times New Roman" w:cs="Times New Roman"/>
          <w:sz w:val="18"/>
          <w:szCs w:val="18"/>
        </w:rPr>
        <w:t>2019</w:t>
      </w:r>
      <w:r w:rsidRPr="00F614F9">
        <w:rPr>
          <w:rFonts w:ascii="Times New Roman" w:hAnsi="Times New Roman" w:hint="eastAsia"/>
          <w:sz w:val="18"/>
          <w:szCs w:val="18"/>
        </w:rPr>
        <w:t>年第七次临时股东大会审议并通过了《关于公司〈</w:t>
      </w:r>
      <w:r w:rsidRPr="00F614F9">
        <w:rPr>
          <w:rFonts w:ascii="Times New Roman" w:hAnsi="Times New Roman" w:cs="Times New Roman"/>
          <w:sz w:val="18"/>
          <w:szCs w:val="18"/>
        </w:rPr>
        <w:t>2019</w:t>
      </w:r>
      <w:r w:rsidRPr="00F614F9">
        <w:rPr>
          <w:rFonts w:ascii="Times New Roman" w:hAnsi="Times New Roman" w:hint="eastAsia"/>
          <w:sz w:val="18"/>
          <w:szCs w:val="18"/>
        </w:rPr>
        <w:t>年股票期权与限制性股票激励计划</w:t>
      </w:r>
      <w:r w:rsidRPr="00F614F9">
        <w:rPr>
          <w:rFonts w:ascii="Times New Roman" w:hAnsi="Times New Roman" w:cs="Times New Roman"/>
          <w:sz w:val="18"/>
          <w:szCs w:val="18"/>
        </w:rPr>
        <w:t>(</w:t>
      </w:r>
      <w:r w:rsidRPr="00F614F9">
        <w:rPr>
          <w:rFonts w:ascii="Times New Roman" w:hAnsi="Times New Roman" w:hint="eastAsia"/>
          <w:sz w:val="18"/>
          <w:szCs w:val="18"/>
        </w:rPr>
        <w:t>草案</w:t>
      </w:r>
      <w:r w:rsidRPr="00F614F9">
        <w:rPr>
          <w:rFonts w:ascii="Times New Roman" w:hAnsi="Times New Roman" w:cs="Times New Roman"/>
          <w:sz w:val="18"/>
          <w:szCs w:val="18"/>
        </w:rPr>
        <w:t>)</w:t>
      </w:r>
      <w:r w:rsidRPr="00F614F9">
        <w:rPr>
          <w:rFonts w:ascii="Times New Roman" w:hAnsi="Times New Roman" w:hint="eastAsia"/>
          <w:sz w:val="18"/>
          <w:szCs w:val="18"/>
        </w:rPr>
        <w:t>〉及其摘要的议案》、《关于公司〈</w:t>
      </w:r>
      <w:r w:rsidRPr="00F614F9">
        <w:rPr>
          <w:rFonts w:ascii="Times New Roman" w:hAnsi="Times New Roman" w:cs="Times New Roman"/>
          <w:sz w:val="18"/>
          <w:szCs w:val="18"/>
        </w:rPr>
        <w:t>2019</w:t>
      </w:r>
      <w:r w:rsidRPr="00F614F9">
        <w:rPr>
          <w:rFonts w:ascii="Times New Roman" w:hAnsi="Times New Roman" w:hint="eastAsia"/>
          <w:sz w:val="18"/>
          <w:szCs w:val="18"/>
        </w:rPr>
        <w:t>年股票期权与限制性股票激励计划实施考核管理办法〉的议案》以及《关于提请股东大会授权董事会办理公司</w:t>
      </w:r>
      <w:r w:rsidRPr="00F614F9">
        <w:rPr>
          <w:rFonts w:ascii="Times New Roman" w:hAnsi="Times New Roman" w:cs="Times New Roman"/>
          <w:sz w:val="18"/>
          <w:szCs w:val="18"/>
        </w:rPr>
        <w:t>2019</w:t>
      </w:r>
      <w:r w:rsidRPr="00F614F9">
        <w:rPr>
          <w:rFonts w:ascii="Times New Roman" w:hAnsi="Times New Roman" w:hint="eastAsia"/>
          <w:sz w:val="18"/>
          <w:szCs w:val="18"/>
        </w:rPr>
        <w:t>年股票期权与限制性股票激励计划相关事宜的议案》。</w:t>
      </w:r>
    </w:p>
    <w:p w14:paraId="3FFBB619" w14:textId="77777777" w:rsidR="00872599" w:rsidRPr="00F614F9" w:rsidRDefault="00000000" w:rsidP="002B7559">
      <w:pPr>
        <w:pStyle w:val="a3"/>
        <w:spacing w:before="0" w:beforeAutospacing="0" w:after="0" w:afterAutospacing="0" w:line="276" w:lineRule="auto"/>
        <w:ind w:firstLine="360"/>
        <w:jc w:val="both"/>
        <w:divId w:val="1458064835"/>
        <w:rPr>
          <w:rFonts w:ascii="Times New Roman" w:hAnsi="Times New Roman"/>
        </w:rPr>
      </w:pPr>
      <w:r w:rsidRPr="00F614F9">
        <w:rPr>
          <w:rFonts w:ascii="Times New Roman" w:hAnsi="Times New Roman" w:cs="Times New Roman"/>
          <w:sz w:val="18"/>
          <w:szCs w:val="18"/>
        </w:rPr>
        <w:t>2019</w:t>
      </w:r>
      <w:r w:rsidRPr="00F614F9">
        <w:rPr>
          <w:rFonts w:ascii="Times New Roman" w:hAnsi="Times New Roman" w:hint="eastAsia"/>
          <w:sz w:val="18"/>
          <w:szCs w:val="18"/>
        </w:rPr>
        <w:t>年</w:t>
      </w:r>
      <w:r w:rsidRPr="00F614F9">
        <w:rPr>
          <w:rFonts w:ascii="Times New Roman" w:hAnsi="Times New Roman" w:cs="Times New Roman"/>
          <w:sz w:val="18"/>
          <w:szCs w:val="18"/>
        </w:rPr>
        <w:t>12</w:t>
      </w:r>
      <w:r w:rsidRPr="00F614F9">
        <w:rPr>
          <w:rFonts w:ascii="Times New Roman" w:hAnsi="Times New Roman" w:hint="eastAsia"/>
          <w:sz w:val="18"/>
          <w:szCs w:val="18"/>
        </w:rPr>
        <w:t>月</w:t>
      </w:r>
      <w:r w:rsidRPr="00F614F9">
        <w:rPr>
          <w:rFonts w:ascii="Times New Roman" w:hAnsi="Times New Roman" w:cs="Times New Roman"/>
          <w:sz w:val="18"/>
          <w:szCs w:val="18"/>
        </w:rPr>
        <w:t>2</w:t>
      </w:r>
      <w:r w:rsidRPr="00F614F9">
        <w:rPr>
          <w:rFonts w:ascii="Times New Roman" w:hAnsi="Times New Roman" w:hint="eastAsia"/>
          <w:sz w:val="18"/>
          <w:szCs w:val="18"/>
        </w:rPr>
        <w:t>日，公司第四届董事会第九次会议和第四届监事会第八次会议审议通过了《关于调整</w:t>
      </w:r>
      <w:r w:rsidRPr="00F614F9">
        <w:rPr>
          <w:rFonts w:ascii="Times New Roman" w:hAnsi="Times New Roman" w:cs="Times New Roman"/>
          <w:sz w:val="18"/>
          <w:szCs w:val="18"/>
        </w:rPr>
        <w:t>2019</w:t>
      </w:r>
      <w:r w:rsidRPr="00F614F9">
        <w:rPr>
          <w:rFonts w:ascii="Times New Roman" w:hAnsi="Times New Roman" w:hint="eastAsia"/>
          <w:sz w:val="18"/>
          <w:szCs w:val="18"/>
        </w:rPr>
        <w:t>年股票期权与限制性股票激励计划激励对象名单、授予权益数量及价格的议案》、《关于向激励对象授予股票期权与限制性股票的议案》。公司独立董事对此发表了独立意见，认为激励对象主体资格合法、有效，确定的授予</w:t>
      </w:r>
      <w:proofErr w:type="gramStart"/>
      <w:r w:rsidRPr="00F614F9">
        <w:rPr>
          <w:rFonts w:ascii="Times New Roman" w:hAnsi="Times New Roman" w:hint="eastAsia"/>
          <w:sz w:val="18"/>
          <w:szCs w:val="18"/>
        </w:rPr>
        <w:t>日符合</w:t>
      </w:r>
      <w:proofErr w:type="gramEnd"/>
      <w:r w:rsidRPr="00F614F9">
        <w:rPr>
          <w:rFonts w:ascii="Times New Roman" w:hAnsi="Times New Roman" w:hint="eastAsia"/>
          <w:sz w:val="18"/>
          <w:szCs w:val="18"/>
        </w:rPr>
        <w:t>相关规定。公司监事会对调整后的激励对象名单再次进行了核实。</w:t>
      </w:r>
    </w:p>
    <w:p w14:paraId="3685BE7D" w14:textId="77777777" w:rsidR="00872599" w:rsidRPr="00F614F9" w:rsidRDefault="00000000" w:rsidP="002B7559">
      <w:pPr>
        <w:pStyle w:val="a3"/>
        <w:spacing w:before="0" w:beforeAutospacing="0" w:after="0" w:afterAutospacing="0" w:line="276" w:lineRule="auto"/>
        <w:ind w:firstLine="360"/>
        <w:jc w:val="both"/>
        <w:divId w:val="1458064835"/>
        <w:rPr>
          <w:rFonts w:ascii="Times New Roman" w:hAnsi="Times New Roman"/>
        </w:rPr>
      </w:pPr>
      <w:r w:rsidRPr="00F614F9">
        <w:rPr>
          <w:rFonts w:ascii="Times New Roman" w:hAnsi="Times New Roman" w:cs="Times New Roman"/>
          <w:sz w:val="18"/>
          <w:szCs w:val="18"/>
        </w:rPr>
        <w:t>2020</w:t>
      </w:r>
      <w:r w:rsidRPr="00F614F9">
        <w:rPr>
          <w:rFonts w:ascii="Times New Roman" w:hAnsi="Times New Roman" w:hint="eastAsia"/>
          <w:sz w:val="18"/>
          <w:szCs w:val="18"/>
        </w:rPr>
        <w:t>年</w:t>
      </w:r>
      <w:r w:rsidRPr="00F614F9">
        <w:rPr>
          <w:rFonts w:ascii="Times New Roman" w:hAnsi="Times New Roman" w:cs="Times New Roman"/>
          <w:sz w:val="18"/>
          <w:szCs w:val="18"/>
        </w:rPr>
        <w:t>1</w:t>
      </w:r>
      <w:r w:rsidRPr="00F614F9">
        <w:rPr>
          <w:rFonts w:ascii="Times New Roman" w:hAnsi="Times New Roman" w:hint="eastAsia"/>
          <w:sz w:val="18"/>
          <w:szCs w:val="18"/>
        </w:rPr>
        <w:t>月</w:t>
      </w:r>
      <w:r w:rsidRPr="00F614F9">
        <w:rPr>
          <w:rFonts w:ascii="Times New Roman" w:hAnsi="Times New Roman" w:cs="Times New Roman"/>
          <w:sz w:val="18"/>
          <w:szCs w:val="18"/>
        </w:rPr>
        <w:t>17</w:t>
      </w:r>
      <w:r w:rsidRPr="00F614F9">
        <w:rPr>
          <w:rFonts w:ascii="Times New Roman" w:hAnsi="Times New Roman" w:hint="eastAsia"/>
          <w:sz w:val="18"/>
          <w:szCs w:val="18"/>
        </w:rPr>
        <w:t>日，公司披露了《关于</w:t>
      </w:r>
      <w:r w:rsidRPr="00F614F9">
        <w:rPr>
          <w:rFonts w:ascii="Times New Roman" w:hAnsi="Times New Roman" w:cs="Times New Roman"/>
          <w:sz w:val="18"/>
          <w:szCs w:val="18"/>
        </w:rPr>
        <w:t>2019</w:t>
      </w:r>
      <w:r w:rsidRPr="00F614F9">
        <w:rPr>
          <w:rFonts w:ascii="Times New Roman" w:hAnsi="Times New Roman" w:hint="eastAsia"/>
          <w:sz w:val="18"/>
          <w:szCs w:val="18"/>
        </w:rPr>
        <w:t>年股票期权与限制性股票激励计划授予登记完成的公告》，公司董事会完成了股票期权与限制性股票的授予登记工作。激励计划向</w:t>
      </w:r>
      <w:r w:rsidRPr="00F614F9">
        <w:rPr>
          <w:rFonts w:ascii="Times New Roman" w:hAnsi="Times New Roman" w:cs="Times New Roman"/>
          <w:sz w:val="18"/>
          <w:szCs w:val="18"/>
        </w:rPr>
        <w:t>220</w:t>
      </w:r>
      <w:r w:rsidRPr="00F614F9">
        <w:rPr>
          <w:rFonts w:ascii="Times New Roman" w:hAnsi="Times New Roman" w:hint="eastAsia"/>
          <w:sz w:val="18"/>
          <w:szCs w:val="18"/>
        </w:rPr>
        <w:t>名激励对象授予</w:t>
      </w:r>
      <w:r w:rsidRPr="00F614F9">
        <w:rPr>
          <w:rFonts w:ascii="Times New Roman" w:hAnsi="Times New Roman" w:cs="Times New Roman"/>
          <w:sz w:val="18"/>
          <w:szCs w:val="18"/>
        </w:rPr>
        <w:t>1665.17</w:t>
      </w:r>
      <w:r w:rsidRPr="00F614F9">
        <w:rPr>
          <w:rFonts w:ascii="Times New Roman" w:hAnsi="Times New Roman" w:hint="eastAsia"/>
          <w:sz w:val="18"/>
          <w:szCs w:val="18"/>
        </w:rPr>
        <w:t>万份股票期权，向</w:t>
      </w:r>
      <w:r w:rsidRPr="00F614F9">
        <w:rPr>
          <w:rFonts w:ascii="Times New Roman" w:hAnsi="Times New Roman" w:cs="Times New Roman"/>
          <w:sz w:val="18"/>
          <w:szCs w:val="18"/>
        </w:rPr>
        <w:t>162</w:t>
      </w:r>
      <w:r w:rsidRPr="00F614F9">
        <w:rPr>
          <w:rFonts w:ascii="Times New Roman" w:hAnsi="Times New Roman" w:hint="eastAsia"/>
          <w:sz w:val="18"/>
          <w:szCs w:val="18"/>
        </w:rPr>
        <w:t>名激励对象授予</w:t>
      </w:r>
      <w:r w:rsidRPr="00F614F9">
        <w:rPr>
          <w:rFonts w:ascii="Times New Roman" w:hAnsi="Times New Roman" w:cs="Times New Roman"/>
          <w:sz w:val="18"/>
          <w:szCs w:val="18"/>
        </w:rPr>
        <w:t>1658.93</w:t>
      </w:r>
      <w:r w:rsidRPr="00F614F9">
        <w:rPr>
          <w:rFonts w:ascii="Times New Roman" w:hAnsi="Times New Roman" w:hint="eastAsia"/>
          <w:sz w:val="18"/>
          <w:szCs w:val="18"/>
        </w:rPr>
        <w:t>万股限制性股票，股票上市日期为</w:t>
      </w:r>
      <w:r w:rsidRPr="00F614F9">
        <w:rPr>
          <w:rFonts w:ascii="Times New Roman" w:hAnsi="Times New Roman" w:cs="Times New Roman"/>
          <w:sz w:val="18"/>
          <w:szCs w:val="18"/>
        </w:rPr>
        <w:t>2020</w:t>
      </w:r>
      <w:r w:rsidRPr="00F614F9">
        <w:rPr>
          <w:rFonts w:ascii="Times New Roman" w:hAnsi="Times New Roman" w:hint="eastAsia"/>
          <w:sz w:val="18"/>
          <w:szCs w:val="18"/>
        </w:rPr>
        <w:t>年</w:t>
      </w:r>
      <w:r w:rsidRPr="00F614F9">
        <w:rPr>
          <w:rFonts w:ascii="Times New Roman" w:hAnsi="Times New Roman" w:cs="Times New Roman"/>
          <w:sz w:val="18"/>
          <w:szCs w:val="18"/>
        </w:rPr>
        <w:t>1</w:t>
      </w:r>
      <w:r w:rsidRPr="00F614F9">
        <w:rPr>
          <w:rFonts w:ascii="Times New Roman" w:hAnsi="Times New Roman" w:hint="eastAsia"/>
          <w:sz w:val="18"/>
          <w:szCs w:val="18"/>
        </w:rPr>
        <w:t>月</w:t>
      </w:r>
      <w:r w:rsidRPr="00F614F9">
        <w:rPr>
          <w:rFonts w:ascii="Times New Roman" w:hAnsi="Times New Roman" w:cs="Times New Roman"/>
          <w:sz w:val="18"/>
          <w:szCs w:val="18"/>
        </w:rPr>
        <w:t>20</w:t>
      </w:r>
      <w:r w:rsidRPr="00F614F9">
        <w:rPr>
          <w:rFonts w:ascii="Times New Roman" w:hAnsi="Times New Roman" w:hint="eastAsia"/>
          <w:sz w:val="18"/>
          <w:szCs w:val="18"/>
        </w:rPr>
        <w:t>日。</w:t>
      </w:r>
    </w:p>
    <w:p w14:paraId="43E9A058" w14:textId="77777777" w:rsidR="00872599" w:rsidRPr="00F614F9" w:rsidRDefault="00000000" w:rsidP="002B7559">
      <w:pPr>
        <w:pStyle w:val="a3"/>
        <w:spacing w:before="0" w:beforeAutospacing="0" w:after="0" w:afterAutospacing="0" w:line="276" w:lineRule="auto"/>
        <w:ind w:firstLine="360"/>
        <w:jc w:val="both"/>
        <w:divId w:val="1458064835"/>
        <w:rPr>
          <w:rFonts w:ascii="Times New Roman" w:hAnsi="Times New Roman"/>
        </w:rPr>
      </w:pPr>
      <w:r w:rsidRPr="00F614F9">
        <w:rPr>
          <w:rFonts w:ascii="Times New Roman" w:hAnsi="Times New Roman" w:cs="Times New Roman"/>
          <w:sz w:val="18"/>
          <w:szCs w:val="18"/>
        </w:rPr>
        <w:t>2020</w:t>
      </w:r>
      <w:r w:rsidRPr="00F614F9">
        <w:rPr>
          <w:rFonts w:ascii="Times New Roman" w:hAnsi="Times New Roman" w:hint="eastAsia"/>
          <w:sz w:val="18"/>
          <w:szCs w:val="18"/>
        </w:rPr>
        <w:t>年</w:t>
      </w:r>
      <w:r w:rsidRPr="00F614F9">
        <w:rPr>
          <w:rFonts w:ascii="Times New Roman" w:hAnsi="Times New Roman" w:cs="Times New Roman"/>
          <w:sz w:val="18"/>
          <w:szCs w:val="18"/>
        </w:rPr>
        <w:t>4</w:t>
      </w:r>
      <w:r w:rsidRPr="00F614F9">
        <w:rPr>
          <w:rFonts w:ascii="Times New Roman" w:hAnsi="Times New Roman" w:hint="eastAsia"/>
          <w:sz w:val="18"/>
          <w:szCs w:val="18"/>
        </w:rPr>
        <w:t>月</w:t>
      </w:r>
      <w:r w:rsidRPr="00F614F9">
        <w:rPr>
          <w:rFonts w:ascii="Times New Roman" w:hAnsi="Times New Roman" w:cs="Times New Roman"/>
          <w:sz w:val="18"/>
          <w:szCs w:val="18"/>
        </w:rPr>
        <w:t>27</w:t>
      </w:r>
      <w:r w:rsidRPr="00F614F9">
        <w:rPr>
          <w:rFonts w:ascii="Times New Roman" w:hAnsi="Times New Roman" w:hint="eastAsia"/>
          <w:sz w:val="18"/>
          <w:szCs w:val="18"/>
        </w:rPr>
        <w:t>日，公司召开第四届董事会第十四次会议以及第四届监事会第十一次会议，审议通过了《关于注销部分股票期权和回购注销部分已授予但尚未解锁的限制性股票的议案》。公司原激励</w:t>
      </w:r>
      <w:proofErr w:type="gramStart"/>
      <w:r w:rsidRPr="00F614F9">
        <w:rPr>
          <w:rFonts w:ascii="Times New Roman" w:hAnsi="Times New Roman" w:hint="eastAsia"/>
          <w:sz w:val="18"/>
          <w:szCs w:val="18"/>
        </w:rPr>
        <w:t>对象周</w:t>
      </w:r>
      <w:proofErr w:type="gramEnd"/>
      <w:r w:rsidRPr="00F614F9">
        <w:rPr>
          <w:rFonts w:ascii="Times New Roman" w:hAnsi="Times New Roman" w:hint="eastAsia"/>
          <w:sz w:val="18"/>
          <w:szCs w:val="18"/>
        </w:rPr>
        <w:t>树青因离职已不符合激励条件，公司决定回购注销其已授予但尚未解锁的限制性股票</w:t>
      </w:r>
      <w:r w:rsidRPr="00F614F9">
        <w:rPr>
          <w:rFonts w:ascii="Times New Roman" w:hAnsi="Times New Roman" w:cs="Times New Roman"/>
          <w:sz w:val="18"/>
          <w:szCs w:val="18"/>
        </w:rPr>
        <w:t>13</w:t>
      </w:r>
      <w:r w:rsidRPr="00F614F9">
        <w:rPr>
          <w:rFonts w:ascii="Times New Roman" w:hAnsi="Times New Roman" w:hint="eastAsia"/>
          <w:sz w:val="18"/>
          <w:szCs w:val="18"/>
        </w:rPr>
        <w:t>万股、注销其持有的</w:t>
      </w:r>
      <w:r w:rsidRPr="00F614F9">
        <w:rPr>
          <w:rFonts w:ascii="Times New Roman" w:hAnsi="Times New Roman" w:cs="Times New Roman"/>
          <w:sz w:val="18"/>
          <w:szCs w:val="18"/>
        </w:rPr>
        <w:t>13</w:t>
      </w:r>
      <w:r w:rsidRPr="00F614F9">
        <w:rPr>
          <w:rFonts w:ascii="Times New Roman" w:hAnsi="Times New Roman" w:hint="eastAsia"/>
          <w:sz w:val="18"/>
          <w:szCs w:val="18"/>
        </w:rPr>
        <w:t>万份股票期权。此议案已经公司</w:t>
      </w:r>
      <w:r w:rsidRPr="00F614F9">
        <w:rPr>
          <w:rFonts w:ascii="Times New Roman" w:hAnsi="Times New Roman" w:cs="Times New Roman"/>
          <w:sz w:val="18"/>
          <w:szCs w:val="18"/>
        </w:rPr>
        <w:t>2019</w:t>
      </w:r>
      <w:r w:rsidRPr="00F614F9">
        <w:rPr>
          <w:rFonts w:ascii="Times New Roman" w:hAnsi="Times New Roman" w:hint="eastAsia"/>
          <w:sz w:val="18"/>
          <w:szCs w:val="18"/>
        </w:rPr>
        <w:t>年年度股东大会审议通过，于</w:t>
      </w:r>
      <w:r w:rsidRPr="00F614F9">
        <w:rPr>
          <w:rFonts w:ascii="Times New Roman" w:hAnsi="Times New Roman" w:cs="Times New Roman"/>
          <w:sz w:val="18"/>
          <w:szCs w:val="18"/>
        </w:rPr>
        <w:t>2020</w:t>
      </w:r>
      <w:r w:rsidRPr="00F614F9">
        <w:rPr>
          <w:rFonts w:ascii="Times New Roman" w:hAnsi="Times New Roman" w:hint="eastAsia"/>
          <w:sz w:val="18"/>
          <w:szCs w:val="18"/>
        </w:rPr>
        <w:t>年</w:t>
      </w:r>
      <w:r w:rsidRPr="00F614F9">
        <w:rPr>
          <w:rFonts w:ascii="Times New Roman" w:hAnsi="Times New Roman" w:cs="Times New Roman"/>
          <w:sz w:val="18"/>
          <w:szCs w:val="18"/>
        </w:rPr>
        <w:t>12</w:t>
      </w:r>
      <w:r w:rsidRPr="00F614F9">
        <w:rPr>
          <w:rFonts w:ascii="Times New Roman" w:hAnsi="Times New Roman" w:hint="eastAsia"/>
          <w:sz w:val="18"/>
          <w:szCs w:val="18"/>
        </w:rPr>
        <w:t>月</w:t>
      </w:r>
      <w:r w:rsidRPr="00F614F9">
        <w:rPr>
          <w:rFonts w:ascii="Times New Roman" w:hAnsi="Times New Roman" w:cs="Times New Roman"/>
          <w:sz w:val="18"/>
          <w:szCs w:val="18"/>
        </w:rPr>
        <w:t>11</w:t>
      </w:r>
      <w:r w:rsidRPr="00F614F9">
        <w:rPr>
          <w:rFonts w:ascii="Times New Roman" w:hAnsi="Times New Roman" w:hint="eastAsia"/>
          <w:sz w:val="18"/>
          <w:szCs w:val="18"/>
        </w:rPr>
        <w:t>日在中国证券登记结算有限责任公司深圳分公司办理完成回购注销手续。公司独立董事对相关事项发表了独立意见。</w:t>
      </w:r>
    </w:p>
    <w:p w14:paraId="74B92F20" w14:textId="77777777" w:rsidR="00872599" w:rsidRPr="00F614F9" w:rsidRDefault="00000000" w:rsidP="002B7559">
      <w:pPr>
        <w:pStyle w:val="a3"/>
        <w:spacing w:before="0" w:beforeAutospacing="0" w:after="0" w:afterAutospacing="0" w:line="276" w:lineRule="auto"/>
        <w:ind w:firstLine="360"/>
        <w:jc w:val="both"/>
        <w:divId w:val="1458064835"/>
        <w:rPr>
          <w:rFonts w:ascii="Times New Roman" w:hAnsi="Times New Roman"/>
        </w:rPr>
      </w:pPr>
      <w:r w:rsidRPr="00F614F9">
        <w:rPr>
          <w:rFonts w:ascii="Times New Roman" w:hAnsi="Times New Roman" w:cs="Times New Roman"/>
          <w:sz w:val="18"/>
          <w:szCs w:val="18"/>
        </w:rPr>
        <w:t>2020</w:t>
      </w:r>
      <w:r w:rsidRPr="00F614F9">
        <w:rPr>
          <w:rFonts w:ascii="Times New Roman" w:hAnsi="Times New Roman" w:hint="eastAsia"/>
          <w:sz w:val="18"/>
          <w:szCs w:val="18"/>
        </w:rPr>
        <w:t>年</w:t>
      </w:r>
      <w:r w:rsidRPr="00F614F9">
        <w:rPr>
          <w:rFonts w:ascii="Times New Roman" w:hAnsi="Times New Roman" w:cs="Times New Roman"/>
          <w:sz w:val="18"/>
          <w:szCs w:val="18"/>
        </w:rPr>
        <w:t>10</w:t>
      </w:r>
      <w:r w:rsidRPr="00F614F9">
        <w:rPr>
          <w:rFonts w:ascii="Times New Roman" w:hAnsi="Times New Roman" w:hint="eastAsia"/>
          <w:sz w:val="18"/>
          <w:szCs w:val="18"/>
        </w:rPr>
        <w:t>月</w:t>
      </w:r>
      <w:r w:rsidRPr="00F614F9">
        <w:rPr>
          <w:rFonts w:ascii="Times New Roman" w:hAnsi="Times New Roman" w:cs="Times New Roman"/>
          <w:sz w:val="18"/>
          <w:szCs w:val="18"/>
        </w:rPr>
        <w:t>29</w:t>
      </w:r>
      <w:r w:rsidRPr="00F614F9">
        <w:rPr>
          <w:rFonts w:ascii="Times New Roman" w:hAnsi="Times New Roman" w:hint="eastAsia"/>
          <w:sz w:val="18"/>
          <w:szCs w:val="18"/>
        </w:rPr>
        <w:t>日，公司召开第四届董事会第二十二次会议以及第四届监事会第十八次会议，审议通过了《关于注销部分股票期权和回购注销部分已授予但尚未解锁的限制性股票的议案》。公司原激励</w:t>
      </w:r>
      <w:proofErr w:type="gramStart"/>
      <w:r w:rsidRPr="00F614F9">
        <w:rPr>
          <w:rFonts w:ascii="Times New Roman" w:hAnsi="Times New Roman" w:hint="eastAsia"/>
          <w:sz w:val="18"/>
          <w:szCs w:val="18"/>
        </w:rPr>
        <w:t>对象赵方胜</w:t>
      </w:r>
      <w:proofErr w:type="gramEnd"/>
      <w:r w:rsidRPr="00F614F9">
        <w:rPr>
          <w:rFonts w:ascii="Times New Roman" w:hAnsi="Times New Roman" w:hint="eastAsia"/>
          <w:sz w:val="18"/>
          <w:szCs w:val="18"/>
        </w:rPr>
        <w:t>、宋昱钢因离职已不符合激励条件，公司决定回购注销其二人已授予但尚未解锁的限制性股票</w:t>
      </w:r>
      <w:r w:rsidRPr="00F614F9">
        <w:rPr>
          <w:rFonts w:ascii="Times New Roman" w:hAnsi="Times New Roman" w:cs="Times New Roman"/>
          <w:sz w:val="18"/>
          <w:szCs w:val="18"/>
        </w:rPr>
        <w:t>222.04</w:t>
      </w:r>
      <w:r w:rsidRPr="00F614F9">
        <w:rPr>
          <w:rFonts w:ascii="Times New Roman" w:hAnsi="Times New Roman" w:hint="eastAsia"/>
          <w:sz w:val="18"/>
          <w:szCs w:val="18"/>
        </w:rPr>
        <w:t>万股、注销宋昱钢持有的</w:t>
      </w:r>
      <w:r w:rsidRPr="00F614F9">
        <w:rPr>
          <w:rFonts w:ascii="Times New Roman" w:hAnsi="Times New Roman" w:cs="Times New Roman"/>
          <w:sz w:val="18"/>
          <w:szCs w:val="18"/>
        </w:rPr>
        <w:t>4.16</w:t>
      </w:r>
      <w:r w:rsidRPr="00F614F9">
        <w:rPr>
          <w:rFonts w:ascii="Times New Roman" w:hAnsi="Times New Roman" w:hint="eastAsia"/>
          <w:sz w:val="18"/>
          <w:szCs w:val="18"/>
        </w:rPr>
        <w:t>万份股票期权。此议案已经公司</w:t>
      </w:r>
      <w:r w:rsidRPr="00F614F9">
        <w:rPr>
          <w:rFonts w:ascii="Times New Roman" w:hAnsi="Times New Roman" w:cs="Times New Roman"/>
          <w:sz w:val="18"/>
          <w:szCs w:val="18"/>
        </w:rPr>
        <w:t>2020</w:t>
      </w:r>
      <w:r w:rsidRPr="00F614F9">
        <w:rPr>
          <w:rFonts w:ascii="Times New Roman" w:hAnsi="Times New Roman" w:hint="eastAsia"/>
          <w:sz w:val="18"/>
          <w:szCs w:val="18"/>
        </w:rPr>
        <w:t>年第五次临时股东大会审议通过，于</w:t>
      </w:r>
      <w:r w:rsidRPr="00F614F9">
        <w:rPr>
          <w:rFonts w:ascii="Times New Roman" w:hAnsi="Times New Roman" w:cs="Times New Roman"/>
          <w:sz w:val="18"/>
          <w:szCs w:val="18"/>
        </w:rPr>
        <w:t>2020</w:t>
      </w:r>
      <w:r w:rsidRPr="00F614F9">
        <w:rPr>
          <w:rFonts w:ascii="Times New Roman" w:hAnsi="Times New Roman" w:hint="eastAsia"/>
          <w:sz w:val="18"/>
          <w:szCs w:val="18"/>
        </w:rPr>
        <w:t>年</w:t>
      </w:r>
      <w:r w:rsidRPr="00F614F9">
        <w:rPr>
          <w:rFonts w:ascii="Times New Roman" w:hAnsi="Times New Roman" w:cs="Times New Roman"/>
          <w:sz w:val="18"/>
          <w:szCs w:val="18"/>
        </w:rPr>
        <w:t>12</w:t>
      </w:r>
      <w:r w:rsidRPr="00F614F9">
        <w:rPr>
          <w:rFonts w:ascii="Times New Roman" w:hAnsi="Times New Roman" w:hint="eastAsia"/>
          <w:sz w:val="18"/>
          <w:szCs w:val="18"/>
        </w:rPr>
        <w:t>月</w:t>
      </w:r>
      <w:r w:rsidRPr="00F614F9">
        <w:rPr>
          <w:rFonts w:ascii="Times New Roman" w:hAnsi="Times New Roman" w:cs="Times New Roman"/>
          <w:sz w:val="18"/>
          <w:szCs w:val="18"/>
        </w:rPr>
        <w:t>11</w:t>
      </w:r>
      <w:r w:rsidRPr="00F614F9">
        <w:rPr>
          <w:rFonts w:ascii="Times New Roman" w:hAnsi="Times New Roman" w:hint="eastAsia"/>
          <w:sz w:val="18"/>
          <w:szCs w:val="18"/>
        </w:rPr>
        <w:t>日在中国证券登记结算有限责任公司深圳分公司办理完成回购注销手续。公司独立董事对相关事项发表了独立意见。</w:t>
      </w:r>
    </w:p>
    <w:p w14:paraId="7F51D2AF" w14:textId="77777777" w:rsidR="00872599" w:rsidRPr="00F614F9" w:rsidRDefault="00000000" w:rsidP="002B7559">
      <w:pPr>
        <w:pStyle w:val="a3"/>
        <w:spacing w:before="0" w:beforeAutospacing="0" w:after="0" w:afterAutospacing="0" w:line="276" w:lineRule="auto"/>
        <w:ind w:firstLine="360"/>
        <w:jc w:val="both"/>
        <w:divId w:val="1458064835"/>
        <w:rPr>
          <w:rFonts w:ascii="Times New Roman" w:hAnsi="Times New Roman"/>
        </w:rPr>
      </w:pPr>
      <w:r w:rsidRPr="00F614F9">
        <w:rPr>
          <w:rFonts w:ascii="Times New Roman" w:hAnsi="Times New Roman" w:cs="Times New Roman"/>
          <w:sz w:val="18"/>
          <w:szCs w:val="18"/>
        </w:rPr>
        <w:t>2021</w:t>
      </w:r>
      <w:r w:rsidRPr="00F614F9">
        <w:rPr>
          <w:rFonts w:ascii="Times New Roman" w:hAnsi="Times New Roman" w:hint="eastAsia"/>
          <w:sz w:val="18"/>
          <w:szCs w:val="18"/>
        </w:rPr>
        <w:t>年</w:t>
      </w:r>
      <w:r w:rsidRPr="00F614F9">
        <w:rPr>
          <w:rFonts w:ascii="Times New Roman" w:hAnsi="Times New Roman" w:cs="Times New Roman"/>
          <w:sz w:val="18"/>
          <w:szCs w:val="18"/>
        </w:rPr>
        <w:t>1</w:t>
      </w:r>
      <w:r w:rsidRPr="00F614F9">
        <w:rPr>
          <w:rFonts w:ascii="Times New Roman" w:hAnsi="Times New Roman" w:hint="eastAsia"/>
          <w:sz w:val="18"/>
          <w:szCs w:val="18"/>
        </w:rPr>
        <w:t>月</w:t>
      </w:r>
      <w:r w:rsidRPr="00F614F9">
        <w:rPr>
          <w:rFonts w:ascii="Times New Roman" w:hAnsi="Times New Roman" w:cs="Times New Roman"/>
          <w:sz w:val="18"/>
          <w:szCs w:val="18"/>
        </w:rPr>
        <w:t>20</w:t>
      </w:r>
      <w:r w:rsidRPr="00F614F9">
        <w:rPr>
          <w:rFonts w:ascii="Times New Roman" w:hAnsi="Times New Roman" w:hint="eastAsia"/>
          <w:sz w:val="18"/>
          <w:szCs w:val="18"/>
        </w:rPr>
        <w:t>日，公司召开第四届董事会第二十五次会议以及第四届监事会第二十次会议，审议通过了《关于</w:t>
      </w:r>
      <w:r w:rsidRPr="00F614F9">
        <w:rPr>
          <w:rFonts w:ascii="Times New Roman" w:hAnsi="Times New Roman" w:cs="Times New Roman"/>
          <w:sz w:val="18"/>
          <w:szCs w:val="18"/>
        </w:rPr>
        <w:t>2019</w:t>
      </w:r>
      <w:r w:rsidRPr="00F614F9">
        <w:rPr>
          <w:rFonts w:ascii="Times New Roman" w:hAnsi="Times New Roman" w:hint="eastAsia"/>
          <w:sz w:val="18"/>
          <w:szCs w:val="18"/>
        </w:rPr>
        <w:t>年限制性股票和股票期权激励计划第一个解锁期</w:t>
      </w:r>
      <w:r w:rsidRPr="00F614F9">
        <w:rPr>
          <w:rFonts w:ascii="Times New Roman" w:hAnsi="Times New Roman" w:cs="Times New Roman"/>
          <w:sz w:val="18"/>
          <w:szCs w:val="18"/>
        </w:rPr>
        <w:t>/</w:t>
      </w:r>
      <w:r w:rsidRPr="00F614F9">
        <w:rPr>
          <w:rFonts w:ascii="Times New Roman" w:hAnsi="Times New Roman" w:hint="eastAsia"/>
          <w:sz w:val="18"/>
          <w:szCs w:val="18"/>
        </w:rPr>
        <w:t>行权期条件成就的议案》，董事会认为</w:t>
      </w:r>
      <w:r w:rsidRPr="00F614F9">
        <w:rPr>
          <w:rFonts w:ascii="Times New Roman" w:hAnsi="Times New Roman" w:cs="Times New Roman"/>
          <w:sz w:val="18"/>
          <w:szCs w:val="18"/>
        </w:rPr>
        <w:t>2019</w:t>
      </w:r>
      <w:r w:rsidRPr="00F614F9">
        <w:rPr>
          <w:rFonts w:ascii="Times New Roman" w:hAnsi="Times New Roman" w:hint="eastAsia"/>
          <w:sz w:val="18"/>
          <w:szCs w:val="18"/>
        </w:rPr>
        <w:t>年激励计划设定的第一个解锁期</w:t>
      </w:r>
      <w:r w:rsidRPr="00F614F9">
        <w:rPr>
          <w:rFonts w:ascii="Times New Roman" w:hAnsi="Times New Roman" w:cs="Times New Roman"/>
          <w:sz w:val="18"/>
          <w:szCs w:val="18"/>
        </w:rPr>
        <w:t>/</w:t>
      </w:r>
      <w:r w:rsidRPr="00F614F9">
        <w:rPr>
          <w:rFonts w:ascii="Times New Roman" w:hAnsi="Times New Roman" w:hint="eastAsia"/>
          <w:sz w:val="18"/>
          <w:szCs w:val="18"/>
        </w:rPr>
        <w:t>行权</w:t>
      </w:r>
      <w:proofErr w:type="gramStart"/>
      <w:r w:rsidRPr="00F614F9">
        <w:rPr>
          <w:rFonts w:ascii="Times New Roman" w:hAnsi="Times New Roman" w:hint="eastAsia"/>
          <w:sz w:val="18"/>
          <w:szCs w:val="18"/>
        </w:rPr>
        <w:t>期条件</w:t>
      </w:r>
      <w:proofErr w:type="gramEnd"/>
      <w:r w:rsidRPr="00F614F9">
        <w:rPr>
          <w:rFonts w:ascii="Times New Roman" w:hAnsi="Times New Roman" w:hint="eastAsia"/>
          <w:sz w:val="18"/>
          <w:szCs w:val="18"/>
        </w:rPr>
        <w:t>已经成就，</w:t>
      </w:r>
      <w:r w:rsidRPr="00F614F9">
        <w:rPr>
          <w:rFonts w:ascii="Times New Roman" w:hAnsi="Times New Roman" w:cs="Times New Roman"/>
          <w:sz w:val="18"/>
          <w:szCs w:val="18"/>
        </w:rPr>
        <w:t>158</w:t>
      </w:r>
      <w:r w:rsidRPr="00F614F9">
        <w:rPr>
          <w:rFonts w:ascii="Times New Roman" w:hAnsi="Times New Roman" w:hint="eastAsia"/>
          <w:sz w:val="18"/>
          <w:szCs w:val="18"/>
        </w:rPr>
        <w:t>名激励</w:t>
      </w:r>
      <w:proofErr w:type="gramStart"/>
      <w:r w:rsidRPr="00F614F9">
        <w:rPr>
          <w:rFonts w:ascii="Times New Roman" w:hAnsi="Times New Roman" w:hint="eastAsia"/>
          <w:sz w:val="18"/>
          <w:szCs w:val="18"/>
        </w:rPr>
        <w:t>对象获</w:t>
      </w:r>
      <w:proofErr w:type="gramEnd"/>
      <w:r w:rsidRPr="00F614F9">
        <w:rPr>
          <w:rFonts w:ascii="Times New Roman" w:hAnsi="Times New Roman" w:hint="eastAsia"/>
          <w:sz w:val="18"/>
          <w:szCs w:val="18"/>
        </w:rPr>
        <w:t>授的</w:t>
      </w:r>
      <w:r w:rsidRPr="00F614F9">
        <w:rPr>
          <w:rFonts w:ascii="Times New Roman" w:hAnsi="Times New Roman" w:cs="Times New Roman"/>
          <w:sz w:val="18"/>
          <w:szCs w:val="18"/>
        </w:rPr>
        <w:t>567.996</w:t>
      </w:r>
      <w:r w:rsidRPr="00F614F9">
        <w:rPr>
          <w:rFonts w:ascii="Times New Roman" w:hAnsi="Times New Roman" w:hint="eastAsia"/>
          <w:sz w:val="18"/>
          <w:szCs w:val="18"/>
        </w:rPr>
        <w:t>万股限制性股票于</w:t>
      </w:r>
      <w:r w:rsidRPr="00F614F9">
        <w:rPr>
          <w:rFonts w:ascii="Times New Roman" w:hAnsi="Times New Roman" w:cs="Times New Roman"/>
          <w:sz w:val="18"/>
          <w:szCs w:val="18"/>
        </w:rPr>
        <w:t>2021</w:t>
      </w:r>
      <w:r w:rsidRPr="00F614F9">
        <w:rPr>
          <w:rFonts w:ascii="Times New Roman" w:hAnsi="Times New Roman" w:hint="eastAsia"/>
          <w:sz w:val="18"/>
          <w:szCs w:val="18"/>
        </w:rPr>
        <w:t>年</w:t>
      </w:r>
      <w:r w:rsidRPr="00F614F9">
        <w:rPr>
          <w:rFonts w:ascii="Times New Roman" w:hAnsi="Times New Roman" w:cs="Times New Roman"/>
          <w:sz w:val="18"/>
          <w:szCs w:val="18"/>
        </w:rPr>
        <w:t>2</w:t>
      </w:r>
      <w:r w:rsidRPr="00F614F9">
        <w:rPr>
          <w:rFonts w:ascii="Times New Roman" w:hAnsi="Times New Roman" w:hint="eastAsia"/>
          <w:sz w:val="18"/>
          <w:szCs w:val="18"/>
        </w:rPr>
        <w:t>月</w:t>
      </w:r>
      <w:r w:rsidRPr="00F614F9">
        <w:rPr>
          <w:rFonts w:ascii="Times New Roman" w:hAnsi="Times New Roman" w:cs="Times New Roman"/>
          <w:sz w:val="18"/>
          <w:szCs w:val="18"/>
        </w:rPr>
        <w:t>3</w:t>
      </w:r>
      <w:r w:rsidRPr="00F614F9">
        <w:rPr>
          <w:rFonts w:ascii="Times New Roman" w:hAnsi="Times New Roman" w:hint="eastAsia"/>
          <w:sz w:val="18"/>
          <w:szCs w:val="18"/>
        </w:rPr>
        <w:t>日上市流通，</w:t>
      </w:r>
      <w:r w:rsidRPr="00F614F9">
        <w:rPr>
          <w:rFonts w:ascii="Times New Roman" w:hAnsi="Times New Roman" w:cs="Times New Roman"/>
          <w:sz w:val="18"/>
          <w:szCs w:val="18"/>
        </w:rPr>
        <w:t>217</w:t>
      </w:r>
      <w:r w:rsidRPr="00F614F9">
        <w:rPr>
          <w:rFonts w:ascii="Times New Roman" w:hAnsi="Times New Roman" w:hint="eastAsia"/>
          <w:sz w:val="18"/>
          <w:szCs w:val="18"/>
        </w:rPr>
        <w:t>名激励</w:t>
      </w:r>
      <w:proofErr w:type="gramStart"/>
      <w:r w:rsidRPr="00F614F9">
        <w:rPr>
          <w:rFonts w:ascii="Times New Roman" w:hAnsi="Times New Roman" w:hint="eastAsia"/>
          <w:sz w:val="18"/>
          <w:szCs w:val="18"/>
        </w:rPr>
        <w:t>对象获</w:t>
      </w:r>
      <w:proofErr w:type="gramEnd"/>
      <w:r w:rsidRPr="00F614F9">
        <w:rPr>
          <w:rFonts w:ascii="Times New Roman" w:hAnsi="Times New Roman" w:hint="eastAsia"/>
          <w:sz w:val="18"/>
          <w:szCs w:val="18"/>
        </w:rPr>
        <w:t>授的</w:t>
      </w:r>
      <w:r w:rsidRPr="00F614F9">
        <w:rPr>
          <w:rFonts w:ascii="Times New Roman" w:hAnsi="Times New Roman" w:cs="Times New Roman"/>
          <w:sz w:val="18"/>
          <w:szCs w:val="18"/>
        </w:rPr>
        <w:t>652.964</w:t>
      </w:r>
      <w:r w:rsidRPr="00F614F9">
        <w:rPr>
          <w:rFonts w:ascii="Times New Roman" w:hAnsi="Times New Roman" w:hint="eastAsia"/>
          <w:sz w:val="18"/>
          <w:szCs w:val="18"/>
        </w:rPr>
        <w:t>万份股票期权于</w:t>
      </w:r>
      <w:r w:rsidRPr="00F614F9">
        <w:rPr>
          <w:rFonts w:ascii="Times New Roman" w:hAnsi="Times New Roman" w:cs="Times New Roman"/>
          <w:sz w:val="18"/>
          <w:szCs w:val="18"/>
        </w:rPr>
        <w:t>2021</w:t>
      </w:r>
      <w:r w:rsidRPr="00F614F9">
        <w:rPr>
          <w:rFonts w:ascii="Times New Roman" w:hAnsi="Times New Roman" w:hint="eastAsia"/>
          <w:sz w:val="18"/>
          <w:szCs w:val="18"/>
        </w:rPr>
        <w:t>年</w:t>
      </w:r>
      <w:r w:rsidRPr="00F614F9">
        <w:rPr>
          <w:rFonts w:ascii="Times New Roman" w:hAnsi="Times New Roman" w:cs="Times New Roman"/>
          <w:sz w:val="18"/>
          <w:szCs w:val="18"/>
        </w:rPr>
        <w:t>2</w:t>
      </w:r>
      <w:r w:rsidRPr="00F614F9">
        <w:rPr>
          <w:rFonts w:ascii="Times New Roman" w:hAnsi="Times New Roman" w:hint="eastAsia"/>
          <w:sz w:val="18"/>
          <w:szCs w:val="18"/>
        </w:rPr>
        <w:t>月</w:t>
      </w:r>
      <w:r w:rsidRPr="00F614F9">
        <w:rPr>
          <w:rFonts w:ascii="Times New Roman" w:hAnsi="Times New Roman" w:cs="Times New Roman"/>
          <w:sz w:val="18"/>
          <w:szCs w:val="18"/>
        </w:rPr>
        <w:t>3</w:t>
      </w:r>
      <w:r w:rsidRPr="00F614F9">
        <w:rPr>
          <w:rFonts w:ascii="Times New Roman" w:hAnsi="Times New Roman" w:hint="eastAsia"/>
          <w:sz w:val="18"/>
          <w:szCs w:val="18"/>
        </w:rPr>
        <w:t>日开始自主行权；审议通过了《关于注销部分股票期权和回购注销部分已授予但尚未解锁的限制性股票的议案》，公司原激励对象梁秀林因离职已不符合激励条件，公司决定回购注销其已授予但尚未解锁的限制性股票</w:t>
      </w:r>
      <w:r w:rsidRPr="00F614F9">
        <w:rPr>
          <w:rFonts w:ascii="Times New Roman" w:hAnsi="Times New Roman" w:cs="Times New Roman"/>
          <w:sz w:val="18"/>
          <w:szCs w:val="18"/>
        </w:rPr>
        <w:t>3.9</w:t>
      </w:r>
      <w:r w:rsidRPr="00F614F9">
        <w:rPr>
          <w:rFonts w:ascii="Times New Roman" w:hAnsi="Times New Roman" w:hint="eastAsia"/>
          <w:sz w:val="18"/>
          <w:szCs w:val="18"/>
        </w:rPr>
        <w:t>万股、注销其持有的</w:t>
      </w:r>
      <w:r w:rsidRPr="00F614F9">
        <w:rPr>
          <w:rFonts w:ascii="Times New Roman" w:hAnsi="Times New Roman" w:cs="Times New Roman"/>
          <w:sz w:val="18"/>
          <w:szCs w:val="18"/>
        </w:rPr>
        <w:t>15.6</w:t>
      </w:r>
      <w:r w:rsidRPr="00F614F9">
        <w:rPr>
          <w:rFonts w:ascii="Times New Roman" w:hAnsi="Times New Roman" w:hint="eastAsia"/>
          <w:sz w:val="18"/>
          <w:szCs w:val="18"/>
        </w:rPr>
        <w:t>万份股票期权，此议案已经公司</w:t>
      </w:r>
      <w:r w:rsidRPr="00F614F9">
        <w:rPr>
          <w:rFonts w:ascii="Times New Roman" w:hAnsi="Times New Roman" w:cs="Times New Roman"/>
          <w:sz w:val="18"/>
          <w:szCs w:val="18"/>
        </w:rPr>
        <w:t>2021</w:t>
      </w:r>
      <w:r w:rsidRPr="00F614F9">
        <w:rPr>
          <w:rFonts w:ascii="Times New Roman" w:hAnsi="Times New Roman" w:hint="eastAsia"/>
          <w:sz w:val="18"/>
          <w:szCs w:val="18"/>
        </w:rPr>
        <w:t>年第二次临时股东大会审议通过。公司独立董事对相关事项发表了独立意见。截至本公告披露日，该部分股票期权的注销手续、限制性股票的回购注销手续已办理完成。</w:t>
      </w:r>
    </w:p>
    <w:p w14:paraId="010C91B8" w14:textId="77777777" w:rsidR="00872599" w:rsidRPr="00F614F9" w:rsidRDefault="00000000" w:rsidP="002B7559">
      <w:pPr>
        <w:pStyle w:val="a3"/>
        <w:spacing w:before="0" w:beforeAutospacing="0" w:after="0" w:afterAutospacing="0" w:line="276" w:lineRule="auto"/>
        <w:ind w:firstLine="360"/>
        <w:jc w:val="both"/>
        <w:divId w:val="1458064835"/>
        <w:rPr>
          <w:rFonts w:ascii="Times New Roman" w:hAnsi="Times New Roman"/>
        </w:rPr>
      </w:pPr>
      <w:r w:rsidRPr="00F614F9">
        <w:rPr>
          <w:rFonts w:ascii="Times New Roman" w:hAnsi="Times New Roman" w:cs="Times New Roman"/>
          <w:sz w:val="18"/>
          <w:szCs w:val="18"/>
        </w:rPr>
        <w:t>2021</w:t>
      </w:r>
      <w:r w:rsidRPr="00F614F9">
        <w:rPr>
          <w:rFonts w:ascii="Times New Roman" w:hAnsi="Times New Roman" w:hint="eastAsia"/>
          <w:sz w:val="18"/>
          <w:szCs w:val="18"/>
        </w:rPr>
        <w:t>年</w:t>
      </w:r>
      <w:r w:rsidRPr="00F614F9">
        <w:rPr>
          <w:rFonts w:ascii="Times New Roman" w:hAnsi="Times New Roman" w:cs="Times New Roman"/>
          <w:sz w:val="18"/>
          <w:szCs w:val="18"/>
        </w:rPr>
        <w:t>1</w:t>
      </w:r>
      <w:r w:rsidRPr="00F614F9">
        <w:rPr>
          <w:rFonts w:ascii="Times New Roman" w:hAnsi="Times New Roman" w:hint="eastAsia"/>
          <w:sz w:val="18"/>
          <w:szCs w:val="18"/>
        </w:rPr>
        <w:t>月</w:t>
      </w:r>
      <w:r w:rsidRPr="00F614F9">
        <w:rPr>
          <w:rFonts w:ascii="Times New Roman" w:hAnsi="Times New Roman" w:cs="Times New Roman"/>
          <w:sz w:val="18"/>
          <w:szCs w:val="18"/>
        </w:rPr>
        <w:t>25</w:t>
      </w:r>
      <w:r w:rsidRPr="00F614F9">
        <w:rPr>
          <w:rFonts w:ascii="Times New Roman" w:hAnsi="Times New Roman" w:hint="eastAsia"/>
          <w:sz w:val="18"/>
          <w:szCs w:val="18"/>
        </w:rPr>
        <w:t>日，公司召开第四届董事会第二十六次会议以及第四届监事会第二十一次会议，审议通过了《关于调整</w:t>
      </w:r>
      <w:r w:rsidRPr="00F614F9">
        <w:rPr>
          <w:rFonts w:ascii="Times New Roman" w:hAnsi="Times New Roman" w:cs="Times New Roman"/>
          <w:sz w:val="18"/>
          <w:szCs w:val="18"/>
        </w:rPr>
        <w:t>2019</w:t>
      </w:r>
      <w:r w:rsidRPr="00F614F9">
        <w:rPr>
          <w:rFonts w:ascii="Times New Roman" w:hAnsi="Times New Roman" w:hint="eastAsia"/>
          <w:sz w:val="18"/>
          <w:szCs w:val="18"/>
        </w:rPr>
        <w:t>年股票期权与限制性股票激励计划股票期权行权价格的议案》。根据公司《</w:t>
      </w:r>
      <w:r w:rsidRPr="00F614F9">
        <w:rPr>
          <w:rFonts w:ascii="Times New Roman" w:hAnsi="Times New Roman" w:cs="Times New Roman"/>
          <w:sz w:val="18"/>
          <w:szCs w:val="18"/>
        </w:rPr>
        <w:t>2019</w:t>
      </w:r>
      <w:r w:rsidRPr="00F614F9">
        <w:rPr>
          <w:rFonts w:ascii="Times New Roman" w:hAnsi="Times New Roman" w:hint="eastAsia"/>
          <w:sz w:val="18"/>
          <w:szCs w:val="18"/>
        </w:rPr>
        <w:t>年股票期权与限制性股票激励计划（草案）》的规定，由于公司</w:t>
      </w:r>
      <w:r w:rsidRPr="00F614F9">
        <w:rPr>
          <w:rFonts w:ascii="Times New Roman" w:hAnsi="Times New Roman" w:cs="Times New Roman"/>
          <w:sz w:val="18"/>
          <w:szCs w:val="18"/>
        </w:rPr>
        <w:t>2019</w:t>
      </w:r>
      <w:r w:rsidRPr="00F614F9">
        <w:rPr>
          <w:rFonts w:ascii="Times New Roman" w:hAnsi="Times New Roman" w:hint="eastAsia"/>
          <w:sz w:val="18"/>
          <w:szCs w:val="18"/>
        </w:rPr>
        <w:t>年度权益分派方案的实施完成，公司</w:t>
      </w:r>
      <w:r w:rsidRPr="00F614F9">
        <w:rPr>
          <w:rFonts w:ascii="Times New Roman" w:hAnsi="Times New Roman" w:cs="Times New Roman"/>
          <w:sz w:val="18"/>
          <w:szCs w:val="18"/>
        </w:rPr>
        <w:t>2019</w:t>
      </w:r>
      <w:r w:rsidRPr="00F614F9">
        <w:rPr>
          <w:rFonts w:ascii="Times New Roman" w:hAnsi="Times New Roman" w:hint="eastAsia"/>
          <w:sz w:val="18"/>
          <w:szCs w:val="18"/>
        </w:rPr>
        <w:t>年股票期权与限制性股票激励计划股票期权的行权价格由</w:t>
      </w:r>
      <w:r w:rsidRPr="00F614F9">
        <w:rPr>
          <w:rFonts w:ascii="Times New Roman" w:hAnsi="Times New Roman" w:cs="Times New Roman"/>
          <w:sz w:val="18"/>
          <w:szCs w:val="18"/>
        </w:rPr>
        <w:t>7.4</w:t>
      </w:r>
      <w:r w:rsidRPr="00F614F9">
        <w:rPr>
          <w:rFonts w:ascii="Times New Roman" w:hAnsi="Times New Roman" w:hint="eastAsia"/>
          <w:sz w:val="18"/>
          <w:szCs w:val="18"/>
        </w:rPr>
        <w:t>元调整至</w:t>
      </w:r>
      <w:r w:rsidRPr="00F614F9">
        <w:rPr>
          <w:rFonts w:ascii="Times New Roman" w:hAnsi="Times New Roman" w:cs="Times New Roman"/>
          <w:sz w:val="18"/>
          <w:szCs w:val="18"/>
        </w:rPr>
        <w:t>7.351</w:t>
      </w:r>
      <w:r w:rsidRPr="00F614F9">
        <w:rPr>
          <w:rFonts w:ascii="Times New Roman" w:hAnsi="Times New Roman" w:hint="eastAsia"/>
          <w:sz w:val="18"/>
          <w:szCs w:val="18"/>
        </w:rPr>
        <w:t>元。公司独立董事发表了同意的独立意见。</w:t>
      </w:r>
    </w:p>
    <w:p w14:paraId="5A3EE2FC" w14:textId="77777777" w:rsidR="00872599" w:rsidRPr="00F614F9" w:rsidRDefault="00000000" w:rsidP="002B7559">
      <w:pPr>
        <w:pStyle w:val="a3"/>
        <w:spacing w:before="0" w:beforeAutospacing="0" w:after="0" w:afterAutospacing="0" w:line="276" w:lineRule="auto"/>
        <w:ind w:firstLine="360"/>
        <w:jc w:val="both"/>
        <w:divId w:val="1458064835"/>
        <w:rPr>
          <w:rFonts w:ascii="Times New Roman" w:hAnsi="Times New Roman"/>
        </w:rPr>
      </w:pPr>
      <w:r w:rsidRPr="00F614F9">
        <w:rPr>
          <w:rFonts w:ascii="Times New Roman" w:hAnsi="Times New Roman" w:cs="Times New Roman"/>
          <w:sz w:val="18"/>
          <w:szCs w:val="18"/>
        </w:rPr>
        <w:t>2021</w:t>
      </w:r>
      <w:r w:rsidRPr="00F614F9">
        <w:rPr>
          <w:rFonts w:ascii="Times New Roman" w:hAnsi="Times New Roman" w:hint="eastAsia"/>
          <w:sz w:val="18"/>
          <w:szCs w:val="18"/>
        </w:rPr>
        <w:t>年</w:t>
      </w:r>
      <w:r w:rsidRPr="00F614F9">
        <w:rPr>
          <w:rFonts w:ascii="Times New Roman" w:hAnsi="Times New Roman" w:cs="Times New Roman"/>
          <w:sz w:val="18"/>
          <w:szCs w:val="18"/>
        </w:rPr>
        <w:t>5</w:t>
      </w:r>
      <w:r w:rsidRPr="00F614F9">
        <w:rPr>
          <w:rFonts w:ascii="Times New Roman" w:hAnsi="Times New Roman" w:hint="eastAsia"/>
          <w:sz w:val="18"/>
          <w:szCs w:val="18"/>
        </w:rPr>
        <w:t>月</w:t>
      </w:r>
      <w:r w:rsidRPr="00F614F9">
        <w:rPr>
          <w:rFonts w:ascii="Times New Roman" w:hAnsi="Times New Roman" w:cs="Times New Roman"/>
          <w:sz w:val="18"/>
          <w:szCs w:val="18"/>
        </w:rPr>
        <w:t>6</w:t>
      </w:r>
      <w:r w:rsidRPr="00F614F9">
        <w:rPr>
          <w:rFonts w:ascii="Times New Roman" w:hAnsi="Times New Roman" w:hint="eastAsia"/>
          <w:sz w:val="18"/>
          <w:szCs w:val="18"/>
        </w:rPr>
        <w:t>日，公司召开第四届董事会第三十次会议以及第四届监事会第二十四次会议，审议通过了《关于调整</w:t>
      </w:r>
      <w:r w:rsidRPr="00F614F9">
        <w:rPr>
          <w:rFonts w:ascii="Times New Roman" w:hAnsi="Times New Roman" w:cs="Times New Roman"/>
          <w:sz w:val="18"/>
          <w:szCs w:val="18"/>
        </w:rPr>
        <w:t>2019</w:t>
      </w:r>
      <w:r w:rsidRPr="00F614F9">
        <w:rPr>
          <w:rFonts w:ascii="Times New Roman" w:hAnsi="Times New Roman" w:hint="eastAsia"/>
          <w:sz w:val="18"/>
          <w:szCs w:val="18"/>
        </w:rPr>
        <w:t>年股票期权与限制性股票激励计划股票期权行权价格的议案》、《关于调整</w:t>
      </w:r>
      <w:r w:rsidRPr="00F614F9">
        <w:rPr>
          <w:rFonts w:ascii="Times New Roman" w:hAnsi="Times New Roman" w:cs="Times New Roman"/>
          <w:sz w:val="18"/>
          <w:szCs w:val="18"/>
        </w:rPr>
        <w:t>2019</w:t>
      </w:r>
      <w:r w:rsidRPr="00F614F9">
        <w:rPr>
          <w:rFonts w:ascii="Times New Roman" w:hAnsi="Times New Roman" w:hint="eastAsia"/>
          <w:sz w:val="18"/>
          <w:szCs w:val="18"/>
        </w:rPr>
        <w:t>年股票期权与限制性股票激励计划限</w:t>
      </w:r>
      <w:r w:rsidRPr="00F614F9">
        <w:rPr>
          <w:rFonts w:ascii="Times New Roman" w:hAnsi="Times New Roman" w:hint="eastAsia"/>
          <w:sz w:val="18"/>
          <w:szCs w:val="18"/>
        </w:rPr>
        <w:lastRenderedPageBreak/>
        <w:t>制性股票回购价格的议案》。根据公司《</w:t>
      </w:r>
      <w:r w:rsidRPr="00F614F9">
        <w:rPr>
          <w:rFonts w:ascii="Times New Roman" w:hAnsi="Times New Roman" w:cs="Times New Roman"/>
          <w:sz w:val="18"/>
          <w:szCs w:val="18"/>
        </w:rPr>
        <w:t>2019</w:t>
      </w:r>
      <w:r w:rsidRPr="00F614F9">
        <w:rPr>
          <w:rFonts w:ascii="Times New Roman" w:hAnsi="Times New Roman" w:hint="eastAsia"/>
          <w:sz w:val="18"/>
          <w:szCs w:val="18"/>
        </w:rPr>
        <w:t>年股票期权与限制性股票激励计划（草案）》的规定，由于公司</w:t>
      </w:r>
      <w:r w:rsidRPr="00F614F9">
        <w:rPr>
          <w:rFonts w:ascii="Times New Roman" w:hAnsi="Times New Roman" w:cs="Times New Roman"/>
          <w:sz w:val="18"/>
          <w:szCs w:val="18"/>
        </w:rPr>
        <w:t>2020</w:t>
      </w:r>
      <w:r w:rsidRPr="00F614F9">
        <w:rPr>
          <w:rFonts w:ascii="Times New Roman" w:hAnsi="Times New Roman" w:hint="eastAsia"/>
          <w:sz w:val="18"/>
          <w:szCs w:val="18"/>
        </w:rPr>
        <w:t>年度权益分派方案的实施完成，公司</w:t>
      </w:r>
      <w:r w:rsidRPr="00F614F9">
        <w:rPr>
          <w:rFonts w:ascii="Times New Roman" w:hAnsi="Times New Roman" w:cs="Times New Roman"/>
          <w:sz w:val="18"/>
          <w:szCs w:val="18"/>
        </w:rPr>
        <w:t>2019</w:t>
      </w:r>
      <w:r w:rsidRPr="00F614F9">
        <w:rPr>
          <w:rFonts w:ascii="Times New Roman" w:hAnsi="Times New Roman" w:hint="eastAsia"/>
          <w:sz w:val="18"/>
          <w:szCs w:val="18"/>
        </w:rPr>
        <w:t>年股票期权与限制性股票激励计划股票期权的行权价格由</w:t>
      </w:r>
      <w:r w:rsidRPr="00F614F9">
        <w:rPr>
          <w:rFonts w:ascii="Times New Roman" w:hAnsi="Times New Roman" w:cs="Times New Roman"/>
          <w:sz w:val="18"/>
          <w:szCs w:val="18"/>
        </w:rPr>
        <w:t>7.351</w:t>
      </w:r>
      <w:r w:rsidRPr="00F614F9">
        <w:rPr>
          <w:rFonts w:ascii="Times New Roman" w:hAnsi="Times New Roman" w:hint="eastAsia"/>
          <w:sz w:val="18"/>
          <w:szCs w:val="18"/>
        </w:rPr>
        <w:t>元调整至</w:t>
      </w:r>
      <w:r w:rsidRPr="00F614F9">
        <w:rPr>
          <w:rFonts w:ascii="Times New Roman" w:hAnsi="Times New Roman" w:cs="Times New Roman"/>
          <w:sz w:val="18"/>
          <w:szCs w:val="18"/>
        </w:rPr>
        <w:t>7.169</w:t>
      </w:r>
      <w:r w:rsidRPr="00F614F9">
        <w:rPr>
          <w:rFonts w:ascii="Times New Roman" w:hAnsi="Times New Roman" w:hint="eastAsia"/>
          <w:sz w:val="18"/>
          <w:szCs w:val="18"/>
        </w:rPr>
        <w:t>元，限制性股票的回购价格由</w:t>
      </w:r>
      <w:r w:rsidRPr="00F614F9">
        <w:rPr>
          <w:rFonts w:ascii="Times New Roman" w:hAnsi="Times New Roman" w:cs="Times New Roman"/>
          <w:sz w:val="18"/>
          <w:szCs w:val="18"/>
        </w:rPr>
        <w:t>3.7</w:t>
      </w:r>
      <w:r w:rsidRPr="00F614F9">
        <w:rPr>
          <w:rFonts w:ascii="Times New Roman" w:hAnsi="Times New Roman" w:hint="eastAsia"/>
          <w:sz w:val="18"/>
          <w:szCs w:val="18"/>
        </w:rPr>
        <w:t>元调整至</w:t>
      </w:r>
      <w:r w:rsidRPr="00F614F9">
        <w:rPr>
          <w:rFonts w:ascii="Times New Roman" w:hAnsi="Times New Roman" w:cs="Times New Roman"/>
          <w:sz w:val="18"/>
          <w:szCs w:val="18"/>
        </w:rPr>
        <w:t>3.518</w:t>
      </w:r>
      <w:r w:rsidRPr="00F614F9">
        <w:rPr>
          <w:rFonts w:ascii="Times New Roman" w:hAnsi="Times New Roman" w:hint="eastAsia"/>
          <w:sz w:val="18"/>
          <w:szCs w:val="18"/>
        </w:rPr>
        <w:t>元。公司独立董事发表了同意的独立意见。</w:t>
      </w:r>
    </w:p>
    <w:p w14:paraId="3996BEA8" w14:textId="77777777" w:rsidR="00872599" w:rsidRPr="00F614F9" w:rsidRDefault="00000000" w:rsidP="002B7559">
      <w:pPr>
        <w:pStyle w:val="a3"/>
        <w:spacing w:before="0" w:beforeAutospacing="0" w:after="0" w:afterAutospacing="0" w:line="276" w:lineRule="auto"/>
        <w:ind w:firstLine="360"/>
        <w:jc w:val="both"/>
        <w:divId w:val="1458064835"/>
        <w:rPr>
          <w:rFonts w:ascii="Times New Roman" w:hAnsi="Times New Roman"/>
        </w:rPr>
      </w:pPr>
      <w:r w:rsidRPr="00F614F9">
        <w:rPr>
          <w:rFonts w:ascii="Times New Roman" w:hAnsi="Times New Roman" w:cs="Times New Roman"/>
          <w:sz w:val="18"/>
          <w:szCs w:val="18"/>
        </w:rPr>
        <w:t>2021</w:t>
      </w:r>
      <w:r w:rsidRPr="00F614F9">
        <w:rPr>
          <w:rFonts w:ascii="Times New Roman" w:hAnsi="Times New Roman" w:hint="eastAsia"/>
          <w:sz w:val="18"/>
          <w:szCs w:val="18"/>
        </w:rPr>
        <w:t>年</w:t>
      </w:r>
      <w:r w:rsidRPr="00F614F9">
        <w:rPr>
          <w:rFonts w:ascii="Times New Roman" w:hAnsi="Times New Roman" w:cs="Times New Roman"/>
          <w:sz w:val="18"/>
          <w:szCs w:val="18"/>
        </w:rPr>
        <w:t>7</w:t>
      </w:r>
      <w:r w:rsidRPr="00F614F9">
        <w:rPr>
          <w:rFonts w:ascii="Times New Roman" w:hAnsi="Times New Roman" w:hint="eastAsia"/>
          <w:sz w:val="18"/>
          <w:szCs w:val="18"/>
        </w:rPr>
        <w:t>月</w:t>
      </w:r>
      <w:r w:rsidRPr="00F614F9">
        <w:rPr>
          <w:rFonts w:ascii="Times New Roman" w:hAnsi="Times New Roman" w:cs="Times New Roman"/>
          <w:sz w:val="18"/>
          <w:szCs w:val="18"/>
        </w:rPr>
        <w:t>12</w:t>
      </w:r>
      <w:r w:rsidRPr="00F614F9">
        <w:rPr>
          <w:rFonts w:ascii="Times New Roman" w:hAnsi="Times New Roman" w:hint="eastAsia"/>
          <w:sz w:val="18"/>
          <w:szCs w:val="18"/>
        </w:rPr>
        <w:t>日，公司召开第四届董事会第三十一次会议以及第四届监事会第二十五次会议，审议通过了《关于注销部分股票期权和回购注销部分已授予但尚未解锁的限制性股票的议案》。公司原激励对象张锦林、马术峰因离职已不符合激励条件，公司决定回购注销其二人已授予但尚未解锁的限制性股票</w:t>
      </w:r>
      <w:r w:rsidRPr="00F614F9">
        <w:rPr>
          <w:rFonts w:ascii="Times New Roman" w:hAnsi="Times New Roman" w:cs="Times New Roman"/>
          <w:sz w:val="18"/>
          <w:szCs w:val="18"/>
        </w:rPr>
        <w:t>2.652</w:t>
      </w:r>
      <w:r w:rsidRPr="00F614F9">
        <w:rPr>
          <w:rFonts w:ascii="Times New Roman" w:hAnsi="Times New Roman" w:hint="eastAsia"/>
          <w:sz w:val="18"/>
          <w:szCs w:val="18"/>
        </w:rPr>
        <w:t>万股，注销张锦林、马术峰持有的</w:t>
      </w:r>
      <w:r w:rsidRPr="00F614F9">
        <w:rPr>
          <w:rFonts w:ascii="Times New Roman" w:hAnsi="Times New Roman" w:cs="Times New Roman"/>
          <w:sz w:val="18"/>
          <w:szCs w:val="18"/>
        </w:rPr>
        <w:t>10.608</w:t>
      </w:r>
      <w:r w:rsidRPr="00F614F9">
        <w:rPr>
          <w:rFonts w:ascii="Times New Roman" w:hAnsi="Times New Roman" w:hint="eastAsia"/>
          <w:sz w:val="18"/>
          <w:szCs w:val="18"/>
        </w:rPr>
        <w:t>万份股票期权。此议案已经公司</w:t>
      </w:r>
      <w:r w:rsidRPr="00F614F9">
        <w:rPr>
          <w:rFonts w:ascii="Times New Roman" w:hAnsi="Times New Roman" w:cs="Times New Roman"/>
          <w:sz w:val="18"/>
          <w:szCs w:val="18"/>
        </w:rPr>
        <w:t>2021</w:t>
      </w:r>
      <w:r w:rsidRPr="00F614F9">
        <w:rPr>
          <w:rFonts w:ascii="Times New Roman" w:hAnsi="Times New Roman" w:hint="eastAsia"/>
          <w:sz w:val="18"/>
          <w:szCs w:val="18"/>
        </w:rPr>
        <w:t>年第二次临时股东大会审议通过。公司独立董事对相关事项发表了独立意见。截至本公告披露日，该部分股票期权的注销手续、限制性股票的回购注销手续已办理完成。</w:t>
      </w:r>
    </w:p>
    <w:p w14:paraId="671D018E" w14:textId="77777777" w:rsidR="00872599" w:rsidRPr="00F614F9" w:rsidRDefault="00000000" w:rsidP="002B7559">
      <w:pPr>
        <w:pStyle w:val="a3"/>
        <w:spacing w:before="0" w:beforeAutospacing="0" w:after="0" w:afterAutospacing="0" w:line="276" w:lineRule="auto"/>
        <w:ind w:firstLine="360"/>
        <w:jc w:val="both"/>
        <w:divId w:val="1458064835"/>
        <w:rPr>
          <w:rFonts w:ascii="Times New Roman" w:hAnsi="Times New Roman"/>
        </w:rPr>
      </w:pPr>
      <w:r w:rsidRPr="00F614F9">
        <w:rPr>
          <w:rFonts w:ascii="Times New Roman" w:hAnsi="Times New Roman" w:cs="Times New Roman"/>
          <w:sz w:val="18"/>
          <w:szCs w:val="18"/>
        </w:rPr>
        <w:t>2022</w:t>
      </w:r>
      <w:r w:rsidRPr="00F614F9">
        <w:rPr>
          <w:rFonts w:ascii="Times New Roman" w:hAnsi="Times New Roman" w:hint="eastAsia"/>
          <w:sz w:val="18"/>
          <w:szCs w:val="18"/>
        </w:rPr>
        <w:t>年</w:t>
      </w:r>
      <w:r w:rsidRPr="00F614F9">
        <w:rPr>
          <w:rFonts w:ascii="Times New Roman" w:hAnsi="Times New Roman" w:cs="Times New Roman"/>
          <w:sz w:val="18"/>
          <w:szCs w:val="18"/>
        </w:rPr>
        <w:t>1</w:t>
      </w:r>
      <w:r w:rsidRPr="00F614F9">
        <w:rPr>
          <w:rFonts w:ascii="Times New Roman" w:hAnsi="Times New Roman" w:hint="eastAsia"/>
          <w:sz w:val="18"/>
          <w:szCs w:val="18"/>
        </w:rPr>
        <w:t>月</w:t>
      </w:r>
      <w:r w:rsidRPr="00F614F9">
        <w:rPr>
          <w:rFonts w:ascii="Times New Roman" w:hAnsi="Times New Roman" w:cs="Times New Roman"/>
          <w:sz w:val="18"/>
          <w:szCs w:val="18"/>
        </w:rPr>
        <w:t>7</w:t>
      </w:r>
      <w:r w:rsidRPr="00F614F9">
        <w:rPr>
          <w:rFonts w:ascii="Times New Roman" w:hAnsi="Times New Roman" w:hint="eastAsia"/>
          <w:sz w:val="18"/>
          <w:szCs w:val="18"/>
        </w:rPr>
        <w:t>日，公司召开第四届董事会第四十三次会议以及第四届监事会第三十二次会议，审议通过了《关于</w:t>
      </w:r>
      <w:r w:rsidRPr="00F614F9">
        <w:rPr>
          <w:rFonts w:ascii="Times New Roman" w:hAnsi="Times New Roman" w:cs="Times New Roman"/>
          <w:sz w:val="18"/>
          <w:szCs w:val="18"/>
        </w:rPr>
        <w:t>2019</w:t>
      </w:r>
      <w:r w:rsidRPr="00F614F9">
        <w:rPr>
          <w:rFonts w:ascii="Times New Roman" w:hAnsi="Times New Roman" w:hint="eastAsia"/>
          <w:sz w:val="18"/>
          <w:szCs w:val="18"/>
        </w:rPr>
        <w:t>年股票期权和限制性股票激励计划第二个行权期</w:t>
      </w:r>
      <w:r w:rsidRPr="00F614F9">
        <w:rPr>
          <w:rFonts w:ascii="Times New Roman" w:hAnsi="Times New Roman" w:cs="Times New Roman"/>
          <w:sz w:val="18"/>
          <w:szCs w:val="18"/>
        </w:rPr>
        <w:t>/</w:t>
      </w:r>
      <w:r w:rsidRPr="00F614F9">
        <w:rPr>
          <w:rFonts w:ascii="Times New Roman" w:hAnsi="Times New Roman" w:hint="eastAsia"/>
          <w:sz w:val="18"/>
          <w:szCs w:val="18"/>
        </w:rPr>
        <w:t>解锁期条件成就的议案》，董事会认为</w:t>
      </w:r>
      <w:r w:rsidRPr="00F614F9">
        <w:rPr>
          <w:rFonts w:ascii="Times New Roman" w:hAnsi="Times New Roman" w:cs="Times New Roman"/>
          <w:sz w:val="18"/>
          <w:szCs w:val="18"/>
        </w:rPr>
        <w:t>2019</w:t>
      </w:r>
      <w:r w:rsidRPr="00F614F9">
        <w:rPr>
          <w:rFonts w:ascii="Times New Roman" w:hAnsi="Times New Roman" w:hint="eastAsia"/>
          <w:sz w:val="18"/>
          <w:szCs w:val="18"/>
        </w:rPr>
        <w:t>年激励计划设定的第二个解锁期</w:t>
      </w:r>
      <w:r w:rsidRPr="00F614F9">
        <w:rPr>
          <w:rFonts w:ascii="Times New Roman" w:hAnsi="Times New Roman" w:cs="Times New Roman"/>
          <w:sz w:val="18"/>
          <w:szCs w:val="18"/>
        </w:rPr>
        <w:t>/</w:t>
      </w:r>
      <w:r w:rsidRPr="00F614F9">
        <w:rPr>
          <w:rFonts w:ascii="Times New Roman" w:hAnsi="Times New Roman" w:hint="eastAsia"/>
          <w:sz w:val="18"/>
          <w:szCs w:val="18"/>
        </w:rPr>
        <w:t>行权</w:t>
      </w:r>
      <w:proofErr w:type="gramStart"/>
      <w:r w:rsidRPr="00F614F9">
        <w:rPr>
          <w:rFonts w:ascii="Times New Roman" w:hAnsi="Times New Roman" w:hint="eastAsia"/>
          <w:sz w:val="18"/>
          <w:szCs w:val="18"/>
        </w:rPr>
        <w:t>期条件</w:t>
      </w:r>
      <w:proofErr w:type="gramEnd"/>
      <w:r w:rsidRPr="00F614F9">
        <w:rPr>
          <w:rFonts w:ascii="Times New Roman" w:hAnsi="Times New Roman" w:hint="eastAsia"/>
          <w:sz w:val="18"/>
          <w:szCs w:val="18"/>
        </w:rPr>
        <w:t>已经成就，</w:t>
      </w:r>
      <w:r w:rsidRPr="00F614F9">
        <w:rPr>
          <w:rFonts w:ascii="Times New Roman" w:hAnsi="Times New Roman" w:cs="Times New Roman"/>
          <w:sz w:val="18"/>
          <w:szCs w:val="18"/>
        </w:rPr>
        <w:t>151</w:t>
      </w:r>
      <w:r w:rsidRPr="00F614F9">
        <w:rPr>
          <w:rFonts w:ascii="Times New Roman" w:hAnsi="Times New Roman" w:hint="eastAsia"/>
          <w:sz w:val="18"/>
          <w:szCs w:val="18"/>
        </w:rPr>
        <w:t>名激励</w:t>
      </w:r>
      <w:proofErr w:type="gramStart"/>
      <w:r w:rsidRPr="00F614F9">
        <w:rPr>
          <w:rFonts w:ascii="Times New Roman" w:hAnsi="Times New Roman" w:hint="eastAsia"/>
          <w:sz w:val="18"/>
          <w:szCs w:val="18"/>
        </w:rPr>
        <w:t>对象获</w:t>
      </w:r>
      <w:proofErr w:type="gramEnd"/>
      <w:r w:rsidRPr="00F614F9">
        <w:rPr>
          <w:rFonts w:ascii="Times New Roman" w:hAnsi="Times New Roman" w:hint="eastAsia"/>
          <w:sz w:val="18"/>
          <w:szCs w:val="18"/>
        </w:rPr>
        <w:t>授的</w:t>
      </w:r>
      <w:r w:rsidRPr="00F614F9">
        <w:rPr>
          <w:rFonts w:ascii="Times New Roman" w:hAnsi="Times New Roman" w:cs="Times New Roman"/>
          <w:sz w:val="18"/>
          <w:szCs w:val="18"/>
        </w:rPr>
        <w:t>411.0366</w:t>
      </w:r>
      <w:r w:rsidRPr="00F614F9">
        <w:rPr>
          <w:rFonts w:ascii="Times New Roman" w:hAnsi="Times New Roman" w:hint="eastAsia"/>
          <w:sz w:val="18"/>
          <w:szCs w:val="18"/>
        </w:rPr>
        <w:t>万股限制性股票于</w:t>
      </w:r>
      <w:r w:rsidRPr="00F614F9">
        <w:rPr>
          <w:rFonts w:ascii="Times New Roman" w:hAnsi="Times New Roman" w:cs="Times New Roman"/>
          <w:sz w:val="18"/>
          <w:szCs w:val="18"/>
        </w:rPr>
        <w:t>2022</w:t>
      </w:r>
      <w:r w:rsidRPr="00F614F9">
        <w:rPr>
          <w:rFonts w:ascii="Times New Roman" w:hAnsi="Times New Roman" w:hint="eastAsia"/>
          <w:sz w:val="18"/>
          <w:szCs w:val="18"/>
        </w:rPr>
        <w:t>年</w:t>
      </w:r>
      <w:r w:rsidRPr="00F614F9">
        <w:rPr>
          <w:rFonts w:ascii="Times New Roman" w:hAnsi="Times New Roman" w:cs="Times New Roman"/>
          <w:sz w:val="18"/>
          <w:szCs w:val="18"/>
        </w:rPr>
        <w:t>2</w:t>
      </w:r>
      <w:r w:rsidRPr="00F614F9">
        <w:rPr>
          <w:rFonts w:ascii="Times New Roman" w:hAnsi="Times New Roman" w:hint="eastAsia"/>
          <w:sz w:val="18"/>
          <w:szCs w:val="18"/>
        </w:rPr>
        <w:t>月</w:t>
      </w:r>
      <w:r w:rsidRPr="00F614F9">
        <w:rPr>
          <w:rFonts w:ascii="Times New Roman" w:hAnsi="Times New Roman" w:cs="Times New Roman"/>
          <w:sz w:val="18"/>
          <w:szCs w:val="18"/>
        </w:rPr>
        <w:t>18</w:t>
      </w:r>
      <w:r w:rsidRPr="00F614F9">
        <w:rPr>
          <w:rFonts w:ascii="Times New Roman" w:hAnsi="Times New Roman" w:hint="eastAsia"/>
          <w:sz w:val="18"/>
          <w:szCs w:val="18"/>
        </w:rPr>
        <w:t>日上市流通，</w:t>
      </w:r>
      <w:r w:rsidRPr="00F614F9">
        <w:rPr>
          <w:rFonts w:ascii="Times New Roman" w:hAnsi="Times New Roman" w:cs="Times New Roman"/>
          <w:sz w:val="18"/>
          <w:szCs w:val="18"/>
        </w:rPr>
        <w:t>209</w:t>
      </w:r>
      <w:r w:rsidRPr="00F614F9">
        <w:rPr>
          <w:rFonts w:ascii="Times New Roman" w:hAnsi="Times New Roman" w:hint="eastAsia"/>
          <w:sz w:val="18"/>
          <w:szCs w:val="18"/>
        </w:rPr>
        <w:t>名激励</w:t>
      </w:r>
      <w:proofErr w:type="gramStart"/>
      <w:r w:rsidRPr="00F614F9">
        <w:rPr>
          <w:rFonts w:ascii="Times New Roman" w:hAnsi="Times New Roman" w:hint="eastAsia"/>
          <w:sz w:val="18"/>
          <w:szCs w:val="18"/>
        </w:rPr>
        <w:t>对象获</w:t>
      </w:r>
      <w:proofErr w:type="gramEnd"/>
      <w:r w:rsidRPr="00F614F9">
        <w:rPr>
          <w:rFonts w:ascii="Times New Roman" w:hAnsi="Times New Roman" w:hint="eastAsia"/>
          <w:sz w:val="18"/>
          <w:szCs w:val="18"/>
        </w:rPr>
        <w:t>授的</w:t>
      </w:r>
      <w:r w:rsidRPr="00F614F9">
        <w:rPr>
          <w:rFonts w:ascii="Times New Roman" w:hAnsi="Times New Roman" w:cs="Times New Roman"/>
          <w:sz w:val="18"/>
          <w:szCs w:val="18"/>
        </w:rPr>
        <w:t>469.2714</w:t>
      </w:r>
      <w:r w:rsidRPr="00F614F9">
        <w:rPr>
          <w:rFonts w:ascii="Times New Roman" w:hAnsi="Times New Roman" w:hint="eastAsia"/>
          <w:sz w:val="18"/>
          <w:szCs w:val="18"/>
        </w:rPr>
        <w:t>万份股票期权于</w:t>
      </w:r>
      <w:r w:rsidRPr="00F614F9">
        <w:rPr>
          <w:rFonts w:ascii="Times New Roman" w:hAnsi="Times New Roman" w:cs="Times New Roman"/>
          <w:sz w:val="18"/>
          <w:szCs w:val="18"/>
        </w:rPr>
        <w:t>2022</w:t>
      </w:r>
      <w:r w:rsidRPr="00F614F9">
        <w:rPr>
          <w:rFonts w:ascii="Times New Roman" w:hAnsi="Times New Roman" w:hint="eastAsia"/>
          <w:sz w:val="18"/>
          <w:szCs w:val="18"/>
        </w:rPr>
        <w:t>年</w:t>
      </w:r>
      <w:r w:rsidRPr="00F614F9">
        <w:rPr>
          <w:rFonts w:ascii="Times New Roman" w:hAnsi="Times New Roman" w:cs="Times New Roman"/>
          <w:sz w:val="18"/>
          <w:szCs w:val="18"/>
        </w:rPr>
        <w:t>2</w:t>
      </w:r>
      <w:r w:rsidRPr="00F614F9">
        <w:rPr>
          <w:rFonts w:ascii="Times New Roman" w:hAnsi="Times New Roman" w:hint="eastAsia"/>
          <w:sz w:val="18"/>
          <w:szCs w:val="18"/>
        </w:rPr>
        <w:t>月</w:t>
      </w:r>
      <w:r w:rsidRPr="00F614F9">
        <w:rPr>
          <w:rFonts w:ascii="Times New Roman" w:hAnsi="Times New Roman" w:cs="Times New Roman"/>
          <w:sz w:val="18"/>
          <w:szCs w:val="18"/>
        </w:rPr>
        <w:t>18</w:t>
      </w:r>
      <w:r w:rsidRPr="00F614F9">
        <w:rPr>
          <w:rFonts w:ascii="Times New Roman" w:hAnsi="Times New Roman" w:hint="eastAsia"/>
          <w:sz w:val="18"/>
          <w:szCs w:val="18"/>
        </w:rPr>
        <w:t>日开始自主行权；审议通过了《关于注销部分股票期权和回购注销部分已授予但尚未解锁的限制性股票的议案》。鉴于激励对象王华东、谢滨伟、赵廷君、李海涛已离职，已不再具备激励对象资格。鉴于激励对象</w:t>
      </w:r>
      <w:proofErr w:type="gramStart"/>
      <w:r w:rsidRPr="00F614F9">
        <w:rPr>
          <w:rFonts w:ascii="Times New Roman" w:hAnsi="Times New Roman" w:hint="eastAsia"/>
          <w:sz w:val="18"/>
          <w:szCs w:val="18"/>
        </w:rPr>
        <w:t>陶镜伍</w:t>
      </w:r>
      <w:proofErr w:type="gramEnd"/>
      <w:r w:rsidRPr="00F614F9">
        <w:rPr>
          <w:rFonts w:ascii="Times New Roman" w:hAnsi="Times New Roman" w:hint="eastAsia"/>
          <w:sz w:val="18"/>
          <w:szCs w:val="18"/>
        </w:rPr>
        <w:t>、王琳的</w:t>
      </w:r>
      <w:r w:rsidRPr="00F614F9">
        <w:rPr>
          <w:rFonts w:ascii="Times New Roman" w:hAnsi="Times New Roman" w:cs="Times New Roman"/>
          <w:sz w:val="18"/>
          <w:szCs w:val="18"/>
        </w:rPr>
        <w:t>2020</w:t>
      </w:r>
      <w:r w:rsidRPr="00F614F9">
        <w:rPr>
          <w:rFonts w:ascii="Times New Roman" w:hAnsi="Times New Roman" w:hint="eastAsia"/>
          <w:sz w:val="18"/>
          <w:szCs w:val="18"/>
        </w:rPr>
        <w:t>年度个人绩效评价结果为不合格，个人可解除限售比例为</w:t>
      </w:r>
      <w:r w:rsidRPr="00F614F9">
        <w:rPr>
          <w:rFonts w:ascii="Times New Roman" w:hAnsi="Times New Roman" w:cs="Times New Roman"/>
          <w:sz w:val="18"/>
          <w:szCs w:val="18"/>
        </w:rPr>
        <w:t>0%</w:t>
      </w:r>
      <w:r w:rsidRPr="00F614F9">
        <w:rPr>
          <w:rFonts w:ascii="Times New Roman" w:hAnsi="Times New Roman" w:hint="eastAsia"/>
          <w:sz w:val="18"/>
          <w:szCs w:val="18"/>
        </w:rPr>
        <w:t>，个人可行权比例为</w:t>
      </w:r>
      <w:r w:rsidRPr="00F614F9">
        <w:rPr>
          <w:rFonts w:ascii="Times New Roman" w:hAnsi="Times New Roman" w:cs="Times New Roman"/>
          <w:sz w:val="18"/>
          <w:szCs w:val="18"/>
        </w:rPr>
        <w:t>0%</w:t>
      </w:r>
      <w:r w:rsidRPr="00F614F9">
        <w:rPr>
          <w:rFonts w:ascii="Times New Roman" w:hAnsi="Times New Roman" w:hint="eastAsia"/>
          <w:sz w:val="18"/>
          <w:szCs w:val="18"/>
        </w:rPr>
        <w:t>。鉴于激励对象于永光的</w:t>
      </w:r>
      <w:r w:rsidRPr="00F614F9">
        <w:rPr>
          <w:rFonts w:ascii="Times New Roman" w:hAnsi="Times New Roman" w:cs="Times New Roman"/>
          <w:sz w:val="18"/>
          <w:szCs w:val="18"/>
        </w:rPr>
        <w:t>2020</w:t>
      </w:r>
      <w:r w:rsidRPr="00F614F9">
        <w:rPr>
          <w:rFonts w:ascii="Times New Roman" w:hAnsi="Times New Roman" w:hint="eastAsia"/>
          <w:sz w:val="18"/>
          <w:szCs w:val="18"/>
        </w:rPr>
        <w:t>年度个人绩效评价结果为合格，个人可解除限售比例为</w:t>
      </w:r>
      <w:r w:rsidRPr="00F614F9">
        <w:rPr>
          <w:rFonts w:ascii="Times New Roman" w:hAnsi="Times New Roman" w:cs="Times New Roman"/>
          <w:sz w:val="18"/>
          <w:szCs w:val="18"/>
        </w:rPr>
        <w:t>80%</w:t>
      </w:r>
      <w:r w:rsidRPr="00F614F9">
        <w:rPr>
          <w:rFonts w:ascii="Times New Roman" w:hAnsi="Times New Roman" w:hint="eastAsia"/>
          <w:sz w:val="18"/>
          <w:szCs w:val="18"/>
        </w:rPr>
        <w:t>，个人可行权比例为</w:t>
      </w:r>
      <w:r w:rsidRPr="00F614F9">
        <w:rPr>
          <w:rFonts w:ascii="Times New Roman" w:hAnsi="Times New Roman" w:cs="Times New Roman"/>
          <w:sz w:val="18"/>
          <w:szCs w:val="18"/>
        </w:rPr>
        <w:t>80%</w:t>
      </w:r>
      <w:r w:rsidRPr="00F614F9">
        <w:rPr>
          <w:rFonts w:ascii="Times New Roman" w:hAnsi="Times New Roman" w:hint="eastAsia"/>
          <w:sz w:val="18"/>
          <w:szCs w:val="18"/>
        </w:rPr>
        <w:t>。公司决定回购注销其已授予但尚未解锁的限制性股票</w:t>
      </w:r>
      <w:r w:rsidRPr="00F614F9">
        <w:rPr>
          <w:rFonts w:ascii="Times New Roman" w:hAnsi="Times New Roman" w:cs="Times New Roman"/>
          <w:sz w:val="18"/>
          <w:szCs w:val="18"/>
        </w:rPr>
        <w:t>15.1164</w:t>
      </w:r>
      <w:r w:rsidRPr="00F614F9">
        <w:rPr>
          <w:rFonts w:ascii="Times New Roman" w:hAnsi="Times New Roman" w:hint="eastAsia"/>
          <w:sz w:val="18"/>
          <w:szCs w:val="18"/>
        </w:rPr>
        <w:t>万股，注销其持有的</w:t>
      </w:r>
      <w:r w:rsidRPr="00F614F9">
        <w:rPr>
          <w:rFonts w:ascii="Times New Roman" w:hAnsi="Times New Roman" w:cs="Times New Roman"/>
          <w:sz w:val="18"/>
          <w:szCs w:val="18"/>
        </w:rPr>
        <w:t>22.6356</w:t>
      </w:r>
      <w:r w:rsidRPr="00F614F9">
        <w:rPr>
          <w:rFonts w:ascii="Times New Roman" w:hAnsi="Times New Roman" w:hint="eastAsia"/>
          <w:sz w:val="18"/>
          <w:szCs w:val="18"/>
        </w:rPr>
        <w:t>万份股票期权。此议案已经公司</w:t>
      </w:r>
      <w:r w:rsidRPr="00F614F9">
        <w:rPr>
          <w:rFonts w:ascii="Times New Roman" w:hAnsi="Times New Roman" w:cs="Times New Roman"/>
          <w:sz w:val="18"/>
          <w:szCs w:val="18"/>
        </w:rPr>
        <w:t>2022</w:t>
      </w:r>
      <w:r w:rsidRPr="00F614F9">
        <w:rPr>
          <w:rFonts w:ascii="Times New Roman" w:hAnsi="Times New Roman" w:hint="eastAsia"/>
          <w:sz w:val="18"/>
          <w:szCs w:val="18"/>
        </w:rPr>
        <w:t>年第一次临时股东大会审议通过。公司独立董事对相关事项发表了独立意见。截至本公告披露日，该部分股票期权的注销手续、限制性股票的回购注销手续已办理完成。</w:t>
      </w:r>
    </w:p>
    <w:p w14:paraId="5ED18C36" w14:textId="77777777" w:rsidR="00872599" w:rsidRPr="00F614F9" w:rsidRDefault="00000000" w:rsidP="002B7559">
      <w:pPr>
        <w:pStyle w:val="a3"/>
        <w:spacing w:before="0" w:beforeAutospacing="0" w:after="0" w:afterAutospacing="0" w:line="276" w:lineRule="auto"/>
        <w:ind w:firstLine="360"/>
        <w:jc w:val="both"/>
        <w:divId w:val="1458064835"/>
        <w:rPr>
          <w:rFonts w:ascii="Times New Roman" w:hAnsi="Times New Roman"/>
        </w:rPr>
      </w:pPr>
      <w:r w:rsidRPr="00F614F9">
        <w:rPr>
          <w:rFonts w:ascii="Times New Roman" w:hAnsi="Times New Roman" w:cs="Times New Roman"/>
          <w:sz w:val="18"/>
          <w:szCs w:val="18"/>
        </w:rPr>
        <w:t>2022</w:t>
      </w:r>
      <w:r w:rsidRPr="00F614F9">
        <w:rPr>
          <w:rFonts w:ascii="Times New Roman" w:hAnsi="Times New Roman" w:hint="eastAsia"/>
          <w:sz w:val="18"/>
          <w:szCs w:val="18"/>
        </w:rPr>
        <w:t>年</w:t>
      </w:r>
      <w:r w:rsidRPr="00F614F9">
        <w:rPr>
          <w:rFonts w:ascii="Times New Roman" w:hAnsi="Times New Roman" w:cs="Times New Roman"/>
          <w:sz w:val="18"/>
          <w:szCs w:val="18"/>
        </w:rPr>
        <w:t>5</w:t>
      </w:r>
      <w:r w:rsidRPr="00F614F9">
        <w:rPr>
          <w:rFonts w:ascii="Times New Roman" w:hAnsi="Times New Roman" w:hint="eastAsia"/>
          <w:sz w:val="18"/>
          <w:szCs w:val="18"/>
        </w:rPr>
        <w:t>月</w:t>
      </w:r>
      <w:r w:rsidRPr="00F614F9">
        <w:rPr>
          <w:rFonts w:ascii="Times New Roman" w:hAnsi="Times New Roman" w:cs="Times New Roman"/>
          <w:sz w:val="18"/>
          <w:szCs w:val="18"/>
        </w:rPr>
        <w:t>30</w:t>
      </w:r>
      <w:r w:rsidRPr="00F614F9">
        <w:rPr>
          <w:rFonts w:ascii="Times New Roman" w:hAnsi="Times New Roman" w:hint="eastAsia"/>
          <w:sz w:val="18"/>
          <w:szCs w:val="18"/>
        </w:rPr>
        <w:t>日，公司召开第五届董事会第三次会议以及第五届监事会第三次会议，审议通过了《关于注销部分股票期权和回购注销部分已授予但尚未解锁的限制性股票的议案》。鉴于公司</w:t>
      </w:r>
      <w:r w:rsidRPr="00F614F9">
        <w:rPr>
          <w:rFonts w:ascii="Times New Roman" w:hAnsi="Times New Roman" w:cs="Times New Roman"/>
          <w:sz w:val="18"/>
          <w:szCs w:val="18"/>
        </w:rPr>
        <w:t>2021</w:t>
      </w:r>
      <w:r w:rsidRPr="00F614F9">
        <w:rPr>
          <w:rFonts w:ascii="Times New Roman" w:hAnsi="Times New Roman" w:hint="eastAsia"/>
          <w:sz w:val="18"/>
          <w:szCs w:val="18"/>
        </w:rPr>
        <w:t>年度营业收入及利润总额均未达成公司层面业绩考核目标，公司决定回购注销激励对象已授予但尚未解锁的限制性股票</w:t>
      </w:r>
      <w:r w:rsidRPr="00F614F9">
        <w:rPr>
          <w:rFonts w:ascii="Times New Roman" w:hAnsi="Times New Roman" w:cs="Times New Roman"/>
          <w:sz w:val="18"/>
          <w:szCs w:val="18"/>
        </w:rPr>
        <w:t>423.1890</w:t>
      </w:r>
      <w:r w:rsidRPr="00F614F9">
        <w:rPr>
          <w:rFonts w:ascii="Times New Roman" w:hAnsi="Times New Roman" w:hint="eastAsia"/>
          <w:sz w:val="18"/>
          <w:szCs w:val="18"/>
        </w:rPr>
        <w:t>万股，注销激励对象</w:t>
      </w:r>
      <w:proofErr w:type="gramStart"/>
      <w:r w:rsidRPr="00F614F9">
        <w:rPr>
          <w:rFonts w:ascii="Times New Roman" w:hAnsi="Times New Roman" w:hint="eastAsia"/>
          <w:sz w:val="18"/>
          <w:szCs w:val="18"/>
        </w:rPr>
        <w:t>已获授但尚未</w:t>
      </w:r>
      <w:proofErr w:type="gramEnd"/>
      <w:r w:rsidRPr="00F614F9">
        <w:rPr>
          <w:rFonts w:ascii="Times New Roman" w:hAnsi="Times New Roman" w:hint="eastAsia"/>
          <w:sz w:val="18"/>
          <w:szCs w:val="18"/>
        </w:rPr>
        <w:t>行权的</w:t>
      </w:r>
      <w:r w:rsidRPr="00F614F9">
        <w:rPr>
          <w:rFonts w:ascii="Times New Roman" w:hAnsi="Times New Roman" w:cs="Times New Roman"/>
          <w:sz w:val="18"/>
          <w:szCs w:val="18"/>
        </w:rPr>
        <w:t>469.5210</w:t>
      </w:r>
      <w:r w:rsidRPr="00F614F9">
        <w:rPr>
          <w:rFonts w:ascii="Times New Roman" w:hAnsi="Times New Roman" w:hint="eastAsia"/>
          <w:sz w:val="18"/>
          <w:szCs w:val="18"/>
        </w:rPr>
        <w:t>万份股票期权。此议案已经公司</w:t>
      </w:r>
      <w:r w:rsidRPr="00F614F9">
        <w:rPr>
          <w:rFonts w:ascii="Times New Roman" w:hAnsi="Times New Roman" w:cs="Times New Roman"/>
          <w:sz w:val="18"/>
          <w:szCs w:val="18"/>
        </w:rPr>
        <w:t>2022</w:t>
      </w:r>
      <w:r w:rsidRPr="00F614F9">
        <w:rPr>
          <w:rFonts w:ascii="Times New Roman" w:hAnsi="Times New Roman" w:hint="eastAsia"/>
          <w:sz w:val="18"/>
          <w:szCs w:val="18"/>
        </w:rPr>
        <w:t>年第三次临时股东大会审议通过。公司独立董事对相关事项发表了独立意见。截至本公告披露日，该部分股票期权的注销手续、限制性股票的回购注销手续已办理完成。</w:t>
      </w:r>
    </w:p>
    <w:p w14:paraId="27FCD57A" w14:textId="77777777" w:rsidR="00872599" w:rsidRPr="00F614F9" w:rsidRDefault="00000000" w:rsidP="002B7559">
      <w:pPr>
        <w:pStyle w:val="a3"/>
        <w:spacing w:before="0" w:beforeAutospacing="0" w:after="0" w:afterAutospacing="0" w:line="276" w:lineRule="auto"/>
        <w:jc w:val="both"/>
        <w:divId w:val="1458064835"/>
        <w:rPr>
          <w:rFonts w:ascii="Times New Roman" w:eastAsia="等线" w:hAnsi="Times New Roman"/>
          <w:sz w:val="21"/>
          <w:szCs w:val="21"/>
        </w:rPr>
      </w:pPr>
      <w:r w:rsidRPr="00F614F9">
        <w:rPr>
          <w:rFonts w:ascii="Times New Roman" w:hAnsi="Times New Roman" w:hint="eastAsia"/>
          <w:sz w:val="18"/>
          <w:szCs w:val="18"/>
        </w:rPr>
        <w:t>  2023</w:t>
      </w:r>
      <w:r w:rsidRPr="00F614F9">
        <w:rPr>
          <w:rFonts w:ascii="Times New Roman" w:hAnsi="Times New Roman" w:hint="eastAsia"/>
          <w:sz w:val="18"/>
          <w:szCs w:val="18"/>
        </w:rPr>
        <w:t>年</w:t>
      </w:r>
      <w:r w:rsidRPr="00F614F9">
        <w:rPr>
          <w:rFonts w:ascii="Times New Roman" w:hAnsi="Times New Roman" w:hint="eastAsia"/>
          <w:sz w:val="18"/>
          <w:szCs w:val="18"/>
        </w:rPr>
        <w:t>4</w:t>
      </w:r>
      <w:r w:rsidRPr="00F614F9">
        <w:rPr>
          <w:rFonts w:ascii="Times New Roman" w:hAnsi="Times New Roman" w:hint="eastAsia"/>
          <w:sz w:val="18"/>
          <w:szCs w:val="18"/>
        </w:rPr>
        <w:t>月</w:t>
      </w:r>
      <w:r w:rsidRPr="00F614F9">
        <w:rPr>
          <w:rFonts w:ascii="Times New Roman" w:hAnsi="Times New Roman" w:hint="eastAsia"/>
          <w:sz w:val="18"/>
          <w:szCs w:val="18"/>
        </w:rPr>
        <w:t>28</w:t>
      </w:r>
      <w:r w:rsidRPr="00F614F9">
        <w:rPr>
          <w:rFonts w:ascii="Times New Roman" w:hAnsi="Times New Roman" w:hint="eastAsia"/>
          <w:sz w:val="18"/>
          <w:szCs w:val="18"/>
        </w:rPr>
        <w:t>日，公司召开第五届董事会第十一次会议以及第五届监事会第九次会议，审议通过了《关于注销部分股票期权的议案》。同意对未达到行权条件而不能申请行权股票期权</w:t>
      </w:r>
      <w:r w:rsidRPr="00F614F9">
        <w:rPr>
          <w:rFonts w:ascii="Times New Roman" w:hAnsi="Times New Roman" w:hint="eastAsia"/>
          <w:sz w:val="18"/>
          <w:szCs w:val="18"/>
        </w:rPr>
        <w:t>74,100</w:t>
      </w:r>
      <w:r w:rsidRPr="00F614F9">
        <w:rPr>
          <w:rFonts w:ascii="Times New Roman" w:hAnsi="Times New Roman" w:hint="eastAsia"/>
          <w:sz w:val="18"/>
          <w:szCs w:val="18"/>
        </w:rPr>
        <w:t>份以及行权期满尚未行权的股票期权</w:t>
      </w:r>
      <w:r w:rsidRPr="00F614F9">
        <w:rPr>
          <w:rFonts w:ascii="Times New Roman" w:hAnsi="Times New Roman" w:hint="eastAsia"/>
          <w:sz w:val="18"/>
          <w:szCs w:val="18"/>
        </w:rPr>
        <w:t>2</w:t>
      </w:r>
      <w:r w:rsidRPr="00F614F9">
        <w:rPr>
          <w:rFonts w:ascii="Times New Roman" w:hAnsi="Times New Roman" w:hint="eastAsia"/>
          <w:sz w:val="18"/>
          <w:szCs w:val="18"/>
        </w:rPr>
        <w:t>份进行注销，合计</w:t>
      </w:r>
      <w:r w:rsidRPr="00F614F9">
        <w:rPr>
          <w:rFonts w:ascii="Times New Roman" w:hAnsi="Times New Roman" w:hint="eastAsia"/>
          <w:sz w:val="18"/>
          <w:szCs w:val="18"/>
        </w:rPr>
        <w:t>74,102</w:t>
      </w:r>
      <w:r w:rsidRPr="00F614F9">
        <w:rPr>
          <w:rFonts w:ascii="Times New Roman" w:hAnsi="Times New Roman" w:hint="eastAsia"/>
          <w:sz w:val="18"/>
          <w:szCs w:val="18"/>
        </w:rPr>
        <w:t>份股票期权。</w:t>
      </w:r>
      <w:r w:rsidRPr="00F614F9">
        <w:rPr>
          <w:rFonts w:ascii="Times New Roman" w:hAnsi="Times New Roman" w:hint="eastAsia"/>
          <w:sz w:val="18"/>
          <w:szCs w:val="18"/>
        </w:rPr>
        <w:t>2023</w:t>
      </w:r>
      <w:r w:rsidRPr="00F614F9">
        <w:rPr>
          <w:rFonts w:ascii="Times New Roman" w:hAnsi="Times New Roman" w:hint="eastAsia"/>
          <w:sz w:val="18"/>
          <w:szCs w:val="18"/>
        </w:rPr>
        <w:t>年</w:t>
      </w:r>
      <w:r w:rsidRPr="00F614F9">
        <w:rPr>
          <w:rFonts w:ascii="Times New Roman" w:hAnsi="Times New Roman" w:hint="eastAsia"/>
          <w:sz w:val="18"/>
          <w:szCs w:val="18"/>
        </w:rPr>
        <w:t>5</w:t>
      </w:r>
      <w:r w:rsidRPr="00F614F9">
        <w:rPr>
          <w:rFonts w:ascii="Times New Roman" w:hAnsi="Times New Roman" w:hint="eastAsia"/>
          <w:sz w:val="18"/>
          <w:szCs w:val="18"/>
        </w:rPr>
        <w:t>月</w:t>
      </w:r>
      <w:r w:rsidRPr="00F614F9">
        <w:rPr>
          <w:rFonts w:ascii="Times New Roman" w:hAnsi="Times New Roman" w:hint="eastAsia"/>
          <w:sz w:val="18"/>
          <w:szCs w:val="18"/>
        </w:rPr>
        <w:t>10</w:t>
      </w:r>
      <w:r w:rsidRPr="00F614F9">
        <w:rPr>
          <w:rFonts w:ascii="Times New Roman" w:hAnsi="Times New Roman" w:hint="eastAsia"/>
          <w:sz w:val="18"/>
          <w:szCs w:val="18"/>
        </w:rPr>
        <w:t>日，经中国证券登记结算有限责任公司深圳分公司审核确认，公司上述股票期权的注销手续已办理完成。本次注销完成后，公司</w:t>
      </w:r>
      <w:r w:rsidRPr="00F614F9">
        <w:rPr>
          <w:rFonts w:ascii="Times New Roman" w:hAnsi="Times New Roman" w:hint="eastAsia"/>
          <w:sz w:val="18"/>
          <w:szCs w:val="18"/>
        </w:rPr>
        <w:t>2019</w:t>
      </w:r>
      <w:r w:rsidRPr="00F614F9">
        <w:rPr>
          <w:rFonts w:ascii="Times New Roman" w:hAnsi="Times New Roman" w:hint="eastAsia"/>
          <w:sz w:val="18"/>
          <w:szCs w:val="18"/>
        </w:rPr>
        <w:t>年股票期权与限制性股票激励计划结束。</w:t>
      </w:r>
    </w:p>
    <w:p w14:paraId="2996655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公司董事、高级管理人员获得的股权激励情况</w:t>
      </w:r>
    </w:p>
    <w:p w14:paraId="09BA810B"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52F52C95"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高级管理人员的考评机制及激励情况</w:t>
      </w:r>
    </w:p>
    <w:p w14:paraId="22BC22B4" w14:textId="77777777" w:rsidR="00872599" w:rsidRPr="00F614F9" w:rsidRDefault="00000000">
      <w:pPr>
        <w:pStyle w:val="a3"/>
        <w:spacing w:before="0" w:beforeAutospacing="0" w:after="0" w:afterAutospacing="0"/>
        <w:jc w:val="both"/>
        <w:divId w:val="1444375152"/>
        <w:rPr>
          <w:rFonts w:ascii="Times New Roman" w:eastAsia="等线" w:hAnsi="Times New Roman"/>
          <w:sz w:val="21"/>
          <w:szCs w:val="21"/>
        </w:rPr>
      </w:pPr>
      <w:r w:rsidRPr="00F614F9">
        <w:rPr>
          <w:rFonts w:ascii="Times New Roman" w:hAnsi="Times New Roman" w:hint="eastAsia"/>
          <w:sz w:val="18"/>
          <w:szCs w:val="18"/>
        </w:rPr>
        <w:t xml:space="preserve">  </w:t>
      </w:r>
      <w:r w:rsidRPr="00F614F9">
        <w:rPr>
          <w:rFonts w:ascii="Times New Roman" w:hAnsi="Times New Roman" w:hint="eastAsia"/>
          <w:sz w:val="18"/>
          <w:szCs w:val="18"/>
        </w:rPr>
        <w:t>为了促进高级管理人员更好地履行职责，公司对高级管理人员实行薪酬与经营目标相结合的考评机制。报告期内，公司根据年度经营目标确定各高级管理人员的年度</w:t>
      </w:r>
      <w:r w:rsidRPr="00F614F9">
        <w:rPr>
          <w:rFonts w:ascii="Times New Roman" w:hAnsi="Times New Roman" w:hint="eastAsia"/>
          <w:sz w:val="18"/>
          <w:szCs w:val="18"/>
        </w:rPr>
        <w:t>/</w:t>
      </w:r>
      <w:r w:rsidRPr="00F614F9">
        <w:rPr>
          <w:rFonts w:ascii="Times New Roman" w:hAnsi="Times New Roman" w:hint="eastAsia"/>
          <w:sz w:val="18"/>
          <w:szCs w:val="18"/>
        </w:rPr>
        <w:t>季度</w:t>
      </w:r>
      <w:r w:rsidRPr="00F614F9">
        <w:rPr>
          <w:rFonts w:ascii="Times New Roman" w:hAnsi="Times New Roman" w:hint="eastAsia"/>
          <w:sz w:val="18"/>
          <w:szCs w:val="18"/>
        </w:rPr>
        <w:t>/</w:t>
      </w:r>
      <w:r w:rsidRPr="00F614F9">
        <w:rPr>
          <w:rFonts w:ascii="Times New Roman" w:hAnsi="Times New Roman" w:hint="eastAsia"/>
          <w:sz w:val="18"/>
          <w:szCs w:val="18"/>
        </w:rPr>
        <w:t>月度经营业绩考核指和超额利润激励，并根据经营业绩指标完成情况对高级管理人员进行考评，由董事会薪酬与考核委员会根据经营目标完成情况进行最终考评。</w:t>
      </w:r>
    </w:p>
    <w:p w14:paraId="268C0D50" w14:textId="77777777" w:rsidR="001D26E7" w:rsidRPr="00F614F9" w:rsidRDefault="00000000">
      <w:pPr>
        <w:pStyle w:val="3"/>
        <w:spacing w:line="280" w:lineRule="exact"/>
        <w:jc w:val="left"/>
        <w:rPr>
          <w:rFonts w:ascii="Times New Roman" w:hAnsi="Times New Roman" w:cs="宋体"/>
          <w:b/>
          <w:bCs/>
        </w:rPr>
      </w:pPr>
      <w:bookmarkStart w:id="114" w:name="_Toc988970"/>
      <w:r w:rsidRPr="00F614F9">
        <w:rPr>
          <w:rFonts w:ascii="Times New Roman" w:hAnsi="Times New Roman" w:cs="宋体"/>
          <w:b/>
          <w:bCs/>
        </w:rPr>
        <w:t>2</w:t>
      </w:r>
      <w:r w:rsidRPr="00F614F9">
        <w:rPr>
          <w:rFonts w:ascii="Times New Roman" w:hAnsi="Times New Roman" w:cs="宋体"/>
          <w:b/>
          <w:bCs/>
        </w:rPr>
        <w:t>、员工持股计划的实施情况</w:t>
      </w:r>
      <w:bookmarkEnd w:id="114"/>
    </w:p>
    <w:p w14:paraId="65E77932"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7C2169C6" w14:textId="77777777" w:rsidR="001D26E7" w:rsidRPr="00F614F9" w:rsidRDefault="00000000">
      <w:pPr>
        <w:pStyle w:val="3"/>
        <w:spacing w:line="280" w:lineRule="exact"/>
        <w:jc w:val="left"/>
        <w:rPr>
          <w:rFonts w:ascii="Times New Roman" w:hAnsi="Times New Roman" w:cs="宋体"/>
          <w:b/>
          <w:bCs/>
        </w:rPr>
      </w:pPr>
      <w:bookmarkStart w:id="115" w:name="_Toc988971"/>
      <w:r w:rsidRPr="00F614F9">
        <w:rPr>
          <w:rFonts w:ascii="Times New Roman" w:hAnsi="Times New Roman" w:cs="宋体"/>
          <w:b/>
          <w:bCs/>
        </w:rPr>
        <w:lastRenderedPageBreak/>
        <w:t>3</w:t>
      </w:r>
      <w:r w:rsidRPr="00F614F9">
        <w:rPr>
          <w:rFonts w:ascii="Times New Roman" w:hAnsi="Times New Roman" w:cs="宋体"/>
          <w:b/>
          <w:bCs/>
        </w:rPr>
        <w:t>、其他员工激励措施</w:t>
      </w:r>
      <w:bookmarkEnd w:id="115"/>
    </w:p>
    <w:p w14:paraId="28E3BF60"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43195D3"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16" w:name="_Toc988972"/>
      <w:bookmarkStart w:id="117" w:name="_Toc164024780"/>
      <w:r w:rsidRPr="00F614F9">
        <w:rPr>
          <w:rFonts w:ascii="Times New Roman" w:eastAsia="宋体" w:hAnsi="Times New Roman" w:cs="宋体"/>
          <w:b/>
          <w:bCs/>
          <w:sz w:val="24"/>
          <w:szCs w:val="24"/>
        </w:rPr>
        <w:t>十二、报告期内的内部控制制度建设及实施情况</w:t>
      </w:r>
      <w:bookmarkEnd w:id="116"/>
      <w:bookmarkEnd w:id="117"/>
    </w:p>
    <w:p w14:paraId="3D4D9239" w14:textId="77777777" w:rsidR="001D26E7" w:rsidRPr="00F614F9" w:rsidRDefault="00000000">
      <w:pPr>
        <w:pStyle w:val="3"/>
        <w:spacing w:line="280" w:lineRule="exact"/>
        <w:jc w:val="left"/>
        <w:rPr>
          <w:rFonts w:ascii="Times New Roman" w:hAnsi="Times New Roman" w:cs="宋体"/>
          <w:b/>
          <w:bCs/>
        </w:rPr>
      </w:pPr>
      <w:bookmarkStart w:id="118" w:name="_Toc988973"/>
      <w:r w:rsidRPr="00F614F9">
        <w:rPr>
          <w:rFonts w:ascii="Times New Roman" w:hAnsi="Times New Roman" w:cs="宋体"/>
          <w:b/>
          <w:bCs/>
        </w:rPr>
        <w:t>1</w:t>
      </w:r>
      <w:r w:rsidRPr="00F614F9">
        <w:rPr>
          <w:rFonts w:ascii="Times New Roman" w:hAnsi="Times New Roman" w:cs="宋体"/>
          <w:b/>
          <w:bCs/>
        </w:rPr>
        <w:t>、内部控制建设及实施情况</w:t>
      </w:r>
      <w:bookmarkEnd w:id="118"/>
    </w:p>
    <w:p w14:paraId="63EF74FD" w14:textId="77777777" w:rsidR="00872599" w:rsidRPr="00F614F9" w:rsidRDefault="00000000" w:rsidP="002B7559">
      <w:pPr>
        <w:pStyle w:val="a3"/>
        <w:spacing w:line="276" w:lineRule="auto"/>
        <w:ind w:firstLine="360"/>
        <w:divId w:val="2107576485"/>
        <w:rPr>
          <w:rFonts w:ascii="Times New Roman" w:hAnsi="Times New Roman"/>
        </w:rPr>
      </w:pPr>
      <w:r w:rsidRPr="00F614F9">
        <w:rPr>
          <w:rFonts w:ascii="Times New Roman" w:hAnsi="Times New Roman" w:hint="eastAsia"/>
          <w:sz w:val="18"/>
          <w:szCs w:val="18"/>
        </w:rPr>
        <w:t>报告期内，公司按照《公司法》《证券法》《企业内部控制基本规范》《深圳证券交易所股票上市规则》《上市公司自律监管指引第</w:t>
      </w:r>
      <w:r w:rsidRPr="00F614F9">
        <w:rPr>
          <w:rFonts w:ascii="Times New Roman" w:hAnsi="Times New Roman" w:hint="eastAsia"/>
          <w:sz w:val="18"/>
          <w:szCs w:val="18"/>
        </w:rPr>
        <w:t>1</w:t>
      </w:r>
      <w:r w:rsidRPr="00F614F9">
        <w:rPr>
          <w:rFonts w:ascii="Times New Roman" w:hAnsi="Times New Roman" w:hint="eastAsia"/>
          <w:sz w:val="18"/>
          <w:szCs w:val="18"/>
        </w:rPr>
        <w:t>号——主板上市公司规范运作》和其他相关法律法规的要求，对内部控制体系进行适时的更新和完善，建立了一套科学、合理的内部控制体系。公司各部门认真落实和执行各项内控管理制度，不存在重大遗漏。公司通过内部控制体系的运行、分析与评价，有效防范了经营管理中的风险，促进了内部控制目标的实现。</w:t>
      </w:r>
    </w:p>
    <w:p w14:paraId="7467F768" w14:textId="77777777" w:rsidR="001D26E7" w:rsidRPr="00F614F9" w:rsidRDefault="00000000">
      <w:pPr>
        <w:pStyle w:val="3"/>
        <w:spacing w:line="280" w:lineRule="exact"/>
        <w:jc w:val="left"/>
        <w:rPr>
          <w:rFonts w:ascii="Times New Roman" w:hAnsi="Times New Roman" w:cs="宋体"/>
          <w:b/>
          <w:bCs/>
        </w:rPr>
      </w:pPr>
      <w:bookmarkStart w:id="119" w:name="_Toc988974"/>
      <w:r w:rsidRPr="00F614F9">
        <w:rPr>
          <w:rFonts w:ascii="Times New Roman" w:hAnsi="Times New Roman" w:cs="宋体"/>
          <w:b/>
          <w:bCs/>
        </w:rPr>
        <w:t>2</w:t>
      </w:r>
      <w:r w:rsidRPr="00F614F9">
        <w:rPr>
          <w:rFonts w:ascii="Times New Roman" w:hAnsi="Times New Roman" w:cs="宋体"/>
          <w:b/>
          <w:bCs/>
        </w:rPr>
        <w:t>、报告期内发现的内部控制重大缺陷的具体情况</w:t>
      </w:r>
      <w:bookmarkEnd w:id="119"/>
    </w:p>
    <w:p w14:paraId="538B4764"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否</w:t>
      </w:r>
    </w:p>
    <w:p w14:paraId="213EB5D9"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20" w:name="_Toc988975"/>
      <w:bookmarkStart w:id="121" w:name="_Toc164024781"/>
      <w:r w:rsidRPr="00F614F9">
        <w:rPr>
          <w:rFonts w:ascii="Times New Roman" w:eastAsia="宋体" w:hAnsi="Times New Roman" w:cs="宋体"/>
          <w:b/>
          <w:bCs/>
          <w:sz w:val="24"/>
          <w:szCs w:val="24"/>
        </w:rPr>
        <w:t>十三、公司报告期内对子公司的管理控制情况</w:t>
      </w:r>
      <w:bookmarkEnd w:id="120"/>
      <w:bookmarkEnd w:id="121"/>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1D26E7" w:rsidRPr="00F614F9" w14:paraId="77EB6B93"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DD31C9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6FD007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整合计划</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307717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整合进展</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F99418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整合中遇到的问题</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57349E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已采取的解决措施</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2E6304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解决进展</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3D6F11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后续解决计划</w:t>
            </w:r>
          </w:p>
        </w:tc>
      </w:tr>
      <w:tr w:rsidR="001D26E7" w:rsidRPr="00F614F9" w14:paraId="3554D916"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D8AD90C"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14:paraId="72B55189"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14:paraId="3105ED1B"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14:paraId="4B65F3DC"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14:paraId="21490A9A"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14:paraId="0A287AF5"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14:paraId="4E01C7A5"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r>
    </w:tbl>
    <w:p w14:paraId="1318FA29"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22" w:name="_Toc988976"/>
      <w:bookmarkStart w:id="123" w:name="_Toc164024782"/>
      <w:r w:rsidRPr="00F614F9">
        <w:rPr>
          <w:rFonts w:ascii="Times New Roman" w:eastAsia="宋体" w:hAnsi="Times New Roman" w:cs="宋体"/>
          <w:b/>
          <w:bCs/>
          <w:sz w:val="24"/>
          <w:szCs w:val="24"/>
        </w:rPr>
        <w:t>十四、内部控制评价报告或内部控制审计报告</w:t>
      </w:r>
      <w:bookmarkEnd w:id="122"/>
      <w:bookmarkEnd w:id="123"/>
    </w:p>
    <w:p w14:paraId="4041B037" w14:textId="77777777" w:rsidR="001D26E7" w:rsidRPr="00F614F9" w:rsidRDefault="00000000">
      <w:pPr>
        <w:pStyle w:val="3"/>
        <w:spacing w:line="280" w:lineRule="exact"/>
        <w:jc w:val="left"/>
        <w:rPr>
          <w:rFonts w:ascii="Times New Roman" w:hAnsi="Times New Roman" w:cs="宋体"/>
          <w:b/>
          <w:bCs/>
        </w:rPr>
      </w:pPr>
      <w:bookmarkStart w:id="124" w:name="_Toc988977"/>
      <w:r w:rsidRPr="00F614F9">
        <w:rPr>
          <w:rFonts w:ascii="Times New Roman" w:hAnsi="Times New Roman" w:cs="宋体"/>
          <w:b/>
          <w:bCs/>
        </w:rPr>
        <w:t>1</w:t>
      </w:r>
      <w:r w:rsidRPr="00F614F9">
        <w:rPr>
          <w:rFonts w:ascii="Times New Roman" w:hAnsi="Times New Roman" w:cs="宋体"/>
          <w:b/>
          <w:bCs/>
        </w:rPr>
        <w:t>、内控评价报告</w:t>
      </w:r>
      <w:bookmarkEnd w:id="124"/>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461D374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12061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内部控制评价报告全文披露日期</w:t>
            </w:r>
          </w:p>
        </w:tc>
        <w:tc>
          <w:tcPr>
            <w:tcW w:w="6426" w:type="dxa"/>
            <w:gridSpan w:val="2"/>
            <w:tcBorders>
              <w:top w:val="single" w:sz="2" w:space="0" w:color="auto"/>
              <w:left w:val="single" w:sz="2" w:space="0" w:color="auto"/>
              <w:bottom w:val="single" w:sz="2" w:space="0" w:color="auto"/>
              <w:right w:val="single" w:sz="2" w:space="0" w:color="auto"/>
            </w:tcBorders>
            <w:vAlign w:val="center"/>
          </w:tcPr>
          <w:p w14:paraId="5580B7E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16</w:t>
            </w:r>
            <w:r w:rsidRPr="00F614F9">
              <w:rPr>
                <w:rFonts w:ascii="Times New Roman" w:eastAsia="宋体" w:hAnsi="Times New Roman" w:cs="宋体"/>
                <w:sz w:val="18"/>
                <w:szCs w:val="18"/>
              </w:rPr>
              <w:t>日</w:t>
            </w:r>
          </w:p>
        </w:tc>
      </w:tr>
      <w:tr w:rsidR="001D26E7" w:rsidRPr="00F614F9" w14:paraId="0457679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DE3E0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内部控制评价报告全文披露索引</w:t>
            </w:r>
          </w:p>
        </w:tc>
        <w:tc>
          <w:tcPr>
            <w:tcW w:w="6426" w:type="dxa"/>
            <w:gridSpan w:val="2"/>
            <w:tcBorders>
              <w:top w:val="single" w:sz="2" w:space="0" w:color="auto"/>
              <w:left w:val="single" w:sz="2" w:space="0" w:color="auto"/>
              <w:bottom w:val="single" w:sz="2" w:space="0" w:color="auto"/>
              <w:right w:val="single" w:sz="2" w:space="0" w:color="auto"/>
            </w:tcBorders>
            <w:vAlign w:val="center"/>
          </w:tcPr>
          <w:p w14:paraId="0DFED5A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具体内容详见公司</w:t>
            </w: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16</w:t>
            </w:r>
            <w:r w:rsidRPr="00F614F9">
              <w:rPr>
                <w:rFonts w:ascii="Times New Roman" w:eastAsia="宋体" w:hAnsi="Times New Roman" w:cs="宋体"/>
                <w:sz w:val="18"/>
                <w:szCs w:val="18"/>
              </w:rPr>
              <w:t>日在巨潮资讯网（</w:t>
            </w:r>
            <w:r w:rsidRPr="00F614F9">
              <w:rPr>
                <w:rFonts w:ascii="Times New Roman" w:eastAsia="宋体" w:hAnsi="Times New Roman" w:cs="宋体"/>
                <w:sz w:val="18"/>
                <w:szCs w:val="18"/>
              </w:rPr>
              <w:t>www.cninfo.com.cn</w:t>
            </w:r>
            <w:r w:rsidRPr="00F614F9">
              <w:rPr>
                <w:rFonts w:ascii="Times New Roman" w:eastAsia="宋体" w:hAnsi="Times New Roman" w:cs="宋体"/>
                <w:sz w:val="18"/>
                <w:szCs w:val="18"/>
              </w:rPr>
              <w:t>）披露的《山东龙大美食股份有限公司内部控制自我评价报告》</w:t>
            </w:r>
          </w:p>
        </w:tc>
      </w:tr>
      <w:tr w:rsidR="001D26E7" w:rsidRPr="00F614F9" w14:paraId="38A43A2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2D283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纳入评价范围单位资产总额占公司合并财务报表资产总额的比例</w:t>
            </w:r>
          </w:p>
        </w:tc>
        <w:tc>
          <w:tcPr>
            <w:tcW w:w="6426" w:type="dxa"/>
            <w:gridSpan w:val="2"/>
            <w:tcBorders>
              <w:top w:val="single" w:sz="2" w:space="0" w:color="auto"/>
              <w:left w:val="single" w:sz="2" w:space="0" w:color="auto"/>
              <w:bottom w:val="single" w:sz="2" w:space="0" w:color="auto"/>
              <w:right w:val="single" w:sz="2" w:space="0" w:color="auto"/>
            </w:tcBorders>
            <w:vAlign w:val="center"/>
          </w:tcPr>
          <w:p w14:paraId="676C166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r>
      <w:tr w:rsidR="001D26E7" w:rsidRPr="00F614F9" w14:paraId="5B495C6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57774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纳入评价范围单位营业收入占公司合并财务报表营业收入的比例</w:t>
            </w:r>
          </w:p>
        </w:tc>
        <w:tc>
          <w:tcPr>
            <w:tcW w:w="6426" w:type="dxa"/>
            <w:gridSpan w:val="2"/>
            <w:tcBorders>
              <w:top w:val="single" w:sz="2" w:space="0" w:color="auto"/>
              <w:left w:val="single" w:sz="2" w:space="0" w:color="auto"/>
              <w:bottom w:val="single" w:sz="2" w:space="0" w:color="auto"/>
              <w:right w:val="single" w:sz="2" w:space="0" w:color="auto"/>
            </w:tcBorders>
            <w:vAlign w:val="center"/>
          </w:tcPr>
          <w:p w14:paraId="2987D6D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r>
      <w:tr w:rsidR="001D26E7" w:rsidRPr="00F614F9" w14:paraId="24BAA87B" w14:textId="77777777">
        <w:trPr>
          <w:trHeight w:val="240"/>
        </w:trPr>
        <w:tc>
          <w:tcPr>
            <w:tcW w:w="963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86AD00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缺陷认定标准</w:t>
            </w:r>
          </w:p>
        </w:tc>
      </w:tr>
      <w:tr w:rsidR="001D26E7" w:rsidRPr="00F614F9" w14:paraId="10B988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DE42A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类别</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B02E4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财务报告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EC2E5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非财务报告</w:t>
            </w:r>
          </w:p>
        </w:tc>
      </w:tr>
      <w:tr w:rsidR="001D26E7" w:rsidRPr="00F614F9" w14:paraId="229C05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BE52D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定性标准</w:t>
            </w:r>
          </w:p>
        </w:tc>
        <w:tc>
          <w:tcPr>
            <w:tcW w:w="3213" w:type="dxa"/>
            <w:tcBorders>
              <w:top w:val="single" w:sz="2" w:space="0" w:color="auto"/>
              <w:left w:val="single" w:sz="2" w:space="0" w:color="auto"/>
              <w:bottom w:val="single" w:sz="2" w:space="0" w:color="auto"/>
              <w:right w:val="single" w:sz="2" w:space="0" w:color="auto"/>
            </w:tcBorders>
            <w:vAlign w:val="center"/>
          </w:tcPr>
          <w:p w14:paraId="787C8F5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重大缺陷：董事、监事和高级管理人员舞弊；公司更正已经公布的财务报告；注册会计师发现财务报告存在重大错报，而内部控制在运行过程中未能发现该错报；公司审计委员会对内部控制的监督无效。</w:t>
            </w:r>
            <w:r w:rsidRPr="00F614F9">
              <w:rPr>
                <w:rFonts w:ascii="Times New Roman" w:eastAsia="宋体" w:hAnsi="Times New Roman" w:cs="宋体"/>
                <w:sz w:val="18"/>
                <w:szCs w:val="18"/>
              </w:rPr>
              <w:t xml:space="preserve"> </w:t>
            </w:r>
          </w:p>
          <w:p w14:paraId="5D94E8C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重要缺陷：未依照公认会计准则选择和应用会计政策；未建立反舞弊程序和控制措施；对非常规或特殊交易的财务处理没有建立相应的控制机制或没有实施且没有相应的补偿性控制；对于期末财务报告过程的控制存在一项或多项缺陷且不能合理保证编制的</w:t>
            </w:r>
            <w:r w:rsidRPr="00F614F9">
              <w:rPr>
                <w:rFonts w:ascii="Times New Roman" w:eastAsia="宋体" w:hAnsi="Times New Roman" w:cs="宋体"/>
                <w:sz w:val="18"/>
                <w:szCs w:val="18"/>
              </w:rPr>
              <w:lastRenderedPageBreak/>
              <w:t>财务报表达到真实、准确的目标。</w:t>
            </w:r>
            <w:r w:rsidRPr="00F614F9">
              <w:rPr>
                <w:rFonts w:ascii="Times New Roman" w:eastAsia="宋体" w:hAnsi="Times New Roman" w:cs="宋体"/>
                <w:sz w:val="18"/>
                <w:szCs w:val="18"/>
              </w:rPr>
              <w:t xml:space="preserve"> </w:t>
            </w:r>
          </w:p>
          <w:p w14:paraId="34B22BA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一般缺陷：未构成重大、重要缺陷标准的其他内部控制缺陷。</w:t>
            </w:r>
          </w:p>
        </w:tc>
        <w:tc>
          <w:tcPr>
            <w:tcW w:w="3213" w:type="dxa"/>
            <w:tcBorders>
              <w:top w:val="single" w:sz="2" w:space="0" w:color="auto"/>
              <w:left w:val="single" w:sz="2" w:space="0" w:color="auto"/>
              <w:bottom w:val="single" w:sz="2" w:space="0" w:color="auto"/>
              <w:right w:val="single" w:sz="2" w:space="0" w:color="auto"/>
            </w:tcBorders>
            <w:vAlign w:val="center"/>
          </w:tcPr>
          <w:p w14:paraId="3240681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重大缺陷：公司缺乏科学决策程序；严重违反国家法律、法规；重要管理人员或技术人员严重流失；媒体负面新闻频现；重要业务缺乏制度控制或制度系统性失效；内部控制评价的结果特别是重大缺陷未得到整改。</w:t>
            </w:r>
          </w:p>
          <w:p w14:paraId="6BE6722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重要缺陷：决策程序导致出现一般性失误；关键岗位业务人员流失严重；重要业务制度或系统存在缺陷；内部控制评价发现的重要缺陷未得到整改。</w:t>
            </w:r>
          </w:p>
          <w:p w14:paraId="02B631A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一般缺陷：决策程序效率不高；一般业务制度或系统存在缺陷；一般岗位</w:t>
            </w:r>
            <w:r w:rsidRPr="00F614F9">
              <w:rPr>
                <w:rFonts w:ascii="Times New Roman" w:eastAsia="宋体" w:hAnsi="Times New Roman" w:cs="宋体"/>
                <w:sz w:val="18"/>
                <w:szCs w:val="18"/>
              </w:rPr>
              <w:lastRenderedPageBreak/>
              <w:t>人员流失严重；内部控制评价发现的一般缺陷未得到整改。</w:t>
            </w:r>
          </w:p>
        </w:tc>
      </w:tr>
      <w:tr w:rsidR="001D26E7" w:rsidRPr="00F614F9" w14:paraId="5E4576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798ED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定量标准</w:t>
            </w:r>
          </w:p>
        </w:tc>
        <w:tc>
          <w:tcPr>
            <w:tcW w:w="3213" w:type="dxa"/>
            <w:tcBorders>
              <w:top w:val="single" w:sz="2" w:space="0" w:color="auto"/>
              <w:left w:val="single" w:sz="2" w:space="0" w:color="auto"/>
              <w:bottom w:val="single" w:sz="2" w:space="0" w:color="auto"/>
              <w:right w:val="single" w:sz="2" w:space="0" w:color="auto"/>
            </w:tcBorders>
            <w:vAlign w:val="center"/>
          </w:tcPr>
          <w:p w14:paraId="1069F93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重大缺陷：营业收入潜在错报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营业收入总额的</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，利润总额潜在错报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利润总额的</w:t>
            </w:r>
            <w:r w:rsidRPr="00F614F9">
              <w:rPr>
                <w:rFonts w:ascii="Times New Roman" w:eastAsia="宋体" w:hAnsi="Times New Roman" w:cs="宋体"/>
                <w:sz w:val="18"/>
                <w:szCs w:val="18"/>
              </w:rPr>
              <w:t>5%</w:t>
            </w:r>
            <w:r w:rsidRPr="00F614F9">
              <w:rPr>
                <w:rFonts w:ascii="Times New Roman" w:eastAsia="宋体" w:hAnsi="Times New Roman" w:cs="宋体"/>
                <w:sz w:val="18"/>
                <w:szCs w:val="18"/>
              </w:rPr>
              <w:t>，资产总额潜在错报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资产总额的</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，所有者权益潜在错报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所有者权益总额的</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w:t>
            </w:r>
          </w:p>
          <w:p w14:paraId="4C8B944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重要缺陷：营业收入总额的</w:t>
            </w:r>
            <w:r w:rsidRPr="00F614F9">
              <w:rPr>
                <w:rFonts w:ascii="Times New Roman" w:eastAsia="宋体" w:hAnsi="Times New Roman" w:cs="宋体"/>
                <w:sz w:val="18"/>
                <w:szCs w:val="18"/>
              </w:rPr>
              <w:t>0.5%&gt;</w:t>
            </w:r>
            <w:r w:rsidRPr="00F614F9">
              <w:rPr>
                <w:rFonts w:ascii="Times New Roman" w:eastAsia="宋体" w:hAnsi="Times New Roman" w:cs="宋体"/>
                <w:sz w:val="18"/>
                <w:szCs w:val="18"/>
              </w:rPr>
              <w:t>营业收入潜在错报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营业收入总额的</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，利润总额的</w:t>
            </w:r>
            <w:r w:rsidRPr="00F614F9">
              <w:rPr>
                <w:rFonts w:ascii="Times New Roman" w:eastAsia="宋体" w:hAnsi="Times New Roman" w:cs="宋体"/>
                <w:sz w:val="18"/>
                <w:szCs w:val="18"/>
              </w:rPr>
              <w:t>5%&gt;</w:t>
            </w:r>
            <w:r w:rsidRPr="00F614F9">
              <w:rPr>
                <w:rFonts w:ascii="Times New Roman" w:eastAsia="宋体" w:hAnsi="Times New Roman" w:cs="宋体"/>
                <w:sz w:val="18"/>
                <w:szCs w:val="18"/>
              </w:rPr>
              <w:t>利润总额潜在错报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利润总额的</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，资产总额的</w:t>
            </w:r>
            <w:r w:rsidRPr="00F614F9">
              <w:rPr>
                <w:rFonts w:ascii="Times New Roman" w:eastAsia="宋体" w:hAnsi="Times New Roman" w:cs="宋体"/>
                <w:sz w:val="18"/>
                <w:szCs w:val="18"/>
              </w:rPr>
              <w:t>0.5%&gt;</w:t>
            </w:r>
            <w:r w:rsidRPr="00F614F9">
              <w:rPr>
                <w:rFonts w:ascii="Times New Roman" w:eastAsia="宋体" w:hAnsi="Times New Roman" w:cs="宋体"/>
                <w:sz w:val="18"/>
                <w:szCs w:val="18"/>
              </w:rPr>
              <w:t>资产总额潜在错报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资产总额的</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，所有者权益总额的</w:t>
            </w:r>
            <w:r w:rsidRPr="00F614F9">
              <w:rPr>
                <w:rFonts w:ascii="Times New Roman" w:eastAsia="宋体" w:hAnsi="Times New Roman" w:cs="宋体"/>
                <w:sz w:val="18"/>
                <w:szCs w:val="18"/>
              </w:rPr>
              <w:t>0.5%&gt;</w:t>
            </w:r>
            <w:r w:rsidRPr="00F614F9">
              <w:rPr>
                <w:rFonts w:ascii="Times New Roman" w:eastAsia="宋体" w:hAnsi="Times New Roman" w:cs="宋体"/>
                <w:sz w:val="18"/>
                <w:szCs w:val="18"/>
              </w:rPr>
              <w:t>所有者权益潜在错报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所有者权益总额的</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w:t>
            </w:r>
          </w:p>
          <w:p w14:paraId="21C3DF4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一般缺陷：营业收入潜在错报</w:t>
            </w:r>
            <w:r w:rsidRPr="00F614F9">
              <w:rPr>
                <w:rFonts w:ascii="Times New Roman" w:eastAsia="宋体" w:hAnsi="Times New Roman" w:cs="宋体"/>
                <w:sz w:val="18"/>
                <w:szCs w:val="18"/>
              </w:rPr>
              <w:t>&lt;</w:t>
            </w:r>
            <w:r w:rsidRPr="00F614F9">
              <w:rPr>
                <w:rFonts w:ascii="Times New Roman" w:eastAsia="宋体" w:hAnsi="Times New Roman" w:cs="宋体"/>
                <w:sz w:val="18"/>
                <w:szCs w:val="18"/>
              </w:rPr>
              <w:t>营业收入总额的</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，利润总额潜在错报</w:t>
            </w:r>
            <w:r w:rsidRPr="00F614F9">
              <w:rPr>
                <w:rFonts w:ascii="Times New Roman" w:eastAsia="宋体" w:hAnsi="Times New Roman" w:cs="宋体"/>
                <w:sz w:val="18"/>
                <w:szCs w:val="18"/>
              </w:rPr>
              <w:t>&lt;</w:t>
            </w:r>
            <w:r w:rsidRPr="00F614F9">
              <w:rPr>
                <w:rFonts w:ascii="Times New Roman" w:eastAsia="宋体" w:hAnsi="Times New Roman" w:cs="宋体"/>
                <w:sz w:val="18"/>
                <w:szCs w:val="18"/>
              </w:rPr>
              <w:t>利润总额的</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，资产总额潜在错报</w:t>
            </w:r>
            <w:r w:rsidRPr="00F614F9">
              <w:rPr>
                <w:rFonts w:ascii="Times New Roman" w:eastAsia="宋体" w:hAnsi="Times New Roman" w:cs="宋体"/>
                <w:sz w:val="18"/>
                <w:szCs w:val="18"/>
              </w:rPr>
              <w:t>&lt;</w:t>
            </w:r>
            <w:r w:rsidRPr="00F614F9">
              <w:rPr>
                <w:rFonts w:ascii="Times New Roman" w:eastAsia="宋体" w:hAnsi="Times New Roman" w:cs="宋体"/>
                <w:sz w:val="18"/>
                <w:szCs w:val="18"/>
              </w:rPr>
              <w:t>资产总额的</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，所有者权益潜在错报</w:t>
            </w:r>
            <w:r w:rsidRPr="00F614F9">
              <w:rPr>
                <w:rFonts w:ascii="Times New Roman" w:eastAsia="宋体" w:hAnsi="Times New Roman" w:cs="宋体"/>
                <w:sz w:val="18"/>
                <w:szCs w:val="18"/>
              </w:rPr>
              <w:t>&lt;</w:t>
            </w:r>
            <w:r w:rsidRPr="00F614F9">
              <w:rPr>
                <w:rFonts w:ascii="Times New Roman" w:eastAsia="宋体" w:hAnsi="Times New Roman" w:cs="宋体"/>
                <w:sz w:val="18"/>
                <w:szCs w:val="18"/>
              </w:rPr>
              <w:t>所有者权益总额的</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w:t>
            </w:r>
          </w:p>
        </w:tc>
        <w:tc>
          <w:tcPr>
            <w:tcW w:w="3213" w:type="dxa"/>
            <w:tcBorders>
              <w:top w:val="single" w:sz="2" w:space="0" w:color="auto"/>
              <w:left w:val="single" w:sz="2" w:space="0" w:color="auto"/>
              <w:bottom w:val="single" w:sz="2" w:space="0" w:color="auto"/>
              <w:right w:val="single" w:sz="2" w:space="0" w:color="auto"/>
            </w:tcBorders>
            <w:vAlign w:val="center"/>
          </w:tcPr>
          <w:p w14:paraId="72587F5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重大缺陷：营业收入潜在错报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营业收入总额的</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，利润总额潜在错报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利润总额的</w:t>
            </w:r>
            <w:r w:rsidRPr="00F614F9">
              <w:rPr>
                <w:rFonts w:ascii="Times New Roman" w:eastAsia="宋体" w:hAnsi="Times New Roman" w:cs="宋体"/>
                <w:sz w:val="18"/>
                <w:szCs w:val="18"/>
              </w:rPr>
              <w:t>5%</w:t>
            </w:r>
            <w:r w:rsidRPr="00F614F9">
              <w:rPr>
                <w:rFonts w:ascii="Times New Roman" w:eastAsia="宋体" w:hAnsi="Times New Roman" w:cs="宋体"/>
                <w:sz w:val="18"/>
                <w:szCs w:val="18"/>
              </w:rPr>
              <w:t>，资产总额潜在错报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资产总额的</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，所有者权益潜在错报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所有者权益总额的</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w:t>
            </w:r>
          </w:p>
          <w:p w14:paraId="481994A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重要缺陷：营业收入总额的</w:t>
            </w:r>
            <w:r w:rsidRPr="00F614F9">
              <w:rPr>
                <w:rFonts w:ascii="Times New Roman" w:eastAsia="宋体" w:hAnsi="Times New Roman" w:cs="宋体"/>
                <w:sz w:val="18"/>
                <w:szCs w:val="18"/>
              </w:rPr>
              <w:t>0.5%&gt;</w:t>
            </w:r>
            <w:r w:rsidRPr="00F614F9">
              <w:rPr>
                <w:rFonts w:ascii="Times New Roman" w:eastAsia="宋体" w:hAnsi="Times New Roman" w:cs="宋体"/>
                <w:sz w:val="18"/>
                <w:szCs w:val="18"/>
              </w:rPr>
              <w:t>营业收入潜在错报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营业收入总额的</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，利润总额的</w:t>
            </w:r>
            <w:r w:rsidRPr="00F614F9">
              <w:rPr>
                <w:rFonts w:ascii="Times New Roman" w:eastAsia="宋体" w:hAnsi="Times New Roman" w:cs="宋体"/>
                <w:sz w:val="18"/>
                <w:szCs w:val="18"/>
              </w:rPr>
              <w:t>5%&gt;</w:t>
            </w:r>
            <w:r w:rsidRPr="00F614F9">
              <w:rPr>
                <w:rFonts w:ascii="Times New Roman" w:eastAsia="宋体" w:hAnsi="Times New Roman" w:cs="宋体"/>
                <w:sz w:val="18"/>
                <w:szCs w:val="18"/>
              </w:rPr>
              <w:t>利润总额潜在错报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利润总额的</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，资产总额的</w:t>
            </w:r>
            <w:r w:rsidRPr="00F614F9">
              <w:rPr>
                <w:rFonts w:ascii="Times New Roman" w:eastAsia="宋体" w:hAnsi="Times New Roman" w:cs="宋体"/>
                <w:sz w:val="18"/>
                <w:szCs w:val="18"/>
              </w:rPr>
              <w:t>0.5%&gt;</w:t>
            </w:r>
            <w:r w:rsidRPr="00F614F9">
              <w:rPr>
                <w:rFonts w:ascii="Times New Roman" w:eastAsia="宋体" w:hAnsi="Times New Roman" w:cs="宋体"/>
                <w:sz w:val="18"/>
                <w:szCs w:val="18"/>
              </w:rPr>
              <w:t>资产总额潜在错报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资产总额的</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，所有者权益总额的</w:t>
            </w:r>
            <w:r w:rsidRPr="00F614F9">
              <w:rPr>
                <w:rFonts w:ascii="Times New Roman" w:eastAsia="宋体" w:hAnsi="Times New Roman" w:cs="宋体"/>
                <w:sz w:val="18"/>
                <w:szCs w:val="18"/>
              </w:rPr>
              <w:t>0.5%&gt;</w:t>
            </w:r>
            <w:r w:rsidRPr="00F614F9">
              <w:rPr>
                <w:rFonts w:ascii="Times New Roman" w:eastAsia="宋体" w:hAnsi="Times New Roman" w:cs="宋体"/>
                <w:sz w:val="18"/>
                <w:szCs w:val="18"/>
              </w:rPr>
              <w:t>所有者权益潜在错报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所有者权益总额的</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w:t>
            </w:r>
          </w:p>
          <w:p w14:paraId="1867B98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一般缺陷：营业收入潜在错报</w:t>
            </w:r>
            <w:r w:rsidRPr="00F614F9">
              <w:rPr>
                <w:rFonts w:ascii="Times New Roman" w:eastAsia="宋体" w:hAnsi="Times New Roman" w:cs="宋体"/>
                <w:sz w:val="18"/>
                <w:szCs w:val="18"/>
              </w:rPr>
              <w:t>&lt;</w:t>
            </w:r>
            <w:r w:rsidRPr="00F614F9">
              <w:rPr>
                <w:rFonts w:ascii="Times New Roman" w:eastAsia="宋体" w:hAnsi="Times New Roman" w:cs="宋体"/>
                <w:sz w:val="18"/>
                <w:szCs w:val="18"/>
              </w:rPr>
              <w:t>营业收入总额的</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，利润总额潜在错报</w:t>
            </w:r>
            <w:r w:rsidRPr="00F614F9">
              <w:rPr>
                <w:rFonts w:ascii="Times New Roman" w:eastAsia="宋体" w:hAnsi="Times New Roman" w:cs="宋体"/>
                <w:sz w:val="18"/>
                <w:szCs w:val="18"/>
              </w:rPr>
              <w:t>&lt;</w:t>
            </w:r>
            <w:r w:rsidRPr="00F614F9">
              <w:rPr>
                <w:rFonts w:ascii="Times New Roman" w:eastAsia="宋体" w:hAnsi="Times New Roman" w:cs="宋体"/>
                <w:sz w:val="18"/>
                <w:szCs w:val="18"/>
              </w:rPr>
              <w:t>利润总额的</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，资产总额潜在错报</w:t>
            </w:r>
            <w:r w:rsidRPr="00F614F9">
              <w:rPr>
                <w:rFonts w:ascii="Times New Roman" w:eastAsia="宋体" w:hAnsi="Times New Roman" w:cs="宋体"/>
                <w:sz w:val="18"/>
                <w:szCs w:val="18"/>
              </w:rPr>
              <w:t>&lt;</w:t>
            </w:r>
            <w:r w:rsidRPr="00F614F9">
              <w:rPr>
                <w:rFonts w:ascii="Times New Roman" w:eastAsia="宋体" w:hAnsi="Times New Roman" w:cs="宋体"/>
                <w:sz w:val="18"/>
                <w:szCs w:val="18"/>
              </w:rPr>
              <w:t>资产总额的</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，所有者权益潜在错报</w:t>
            </w:r>
            <w:r w:rsidRPr="00F614F9">
              <w:rPr>
                <w:rFonts w:ascii="Times New Roman" w:eastAsia="宋体" w:hAnsi="Times New Roman" w:cs="宋体"/>
                <w:sz w:val="18"/>
                <w:szCs w:val="18"/>
              </w:rPr>
              <w:t>&lt;</w:t>
            </w:r>
            <w:r w:rsidRPr="00F614F9">
              <w:rPr>
                <w:rFonts w:ascii="Times New Roman" w:eastAsia="宋体" w:hAnsi="Times New Roman" w:cs="宋体"/>
                <w:sz w:val="18"/>
                <w:szCs w:val="18"/>
              </w:rPr>
              <w:t>所有者权益总额的</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w:t>
            </w:r>
          </w:p>
        </w:tc>
      </w:tr>
      <w:tr w:rsidR="001D26E7" w:rsidRPr="00F614F9" w14:paraId="76E4A5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DE87D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财务报告重大缺陷数量（</w:t>
            </w:r>
            <w:proofErr w:type="gramStart"/>
            <w:r w:rsidRPr="00F614F9">
              <w:rPr>
                <w:rFonts w:ascii="Times New Roman" w:eastAsia="宋体" w:hAnsi="Times New Roman" w:cs="宋体"/>
                <w:sz w:val="18"/>
                <w:szCs w:val="18"/>
              </w:rPr>
              <w:t>个</w:t>
            </w:r>
            <w:proofErr w:type="gramEnd"/>
            <w:r w:rsidRPr="00F614F9">
              <w:rPr>
                <w:rFonts w:ascii="Times New Roman" w:eastAsia="宋体" w:hAnsi="Times New Roman" w:cs="宋体"/>
                <w:sz w:val="18"/>
                <w:szCs w:val="18"/>
              </w:rPr>
              <w:t>）</w:t>
            </w:r>
          </w:p>
        </w:tc>
        <w:tc>
          <w:tcPr>
            <w:tcW w:w="6426" w:type="dxa"/>
            <w:gridSpan w:val="2"/>
            <w:tcBorders>
              <w:top w:val="single" w:sz="2" w:space="0" w:color="auto"/>
              <w:left w:val="single" w:sz="2" w:space="0" w:color="auto"/>
              <w:bottom w:val="single" w:sz="2" w:space="0" w:color="auto"/>
              <w:right w:val="single" w:sz="2" w:space="0" w:color="auto"/>
            </w:tcBorders>
            <w:vAlign w:val="center"/>
          </w:tcPr>
          <w:p w14:paraId="590D864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38493A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B41EC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非财务报告重大缺陷数量（</w:t>
            </w:r>
            <w:proofErr w:type="gramStart"/>
            <w:r w:rsidRPr="00F614F9">
              <w:rPr>
                <w:rFonts w:ascii="Times New Roman" w:eastAsia="宋体" w:hAnsi="Times New Roman" w:cs="宋体"/>
                <w:sz w:val="18"/>
                <w:szCs w:val="18"/>
              </w:rPr>
              <w:t>个</w:t>
            </w:r>
            <w:proofErr w:type="gramEnd"/>
            <w:r w:rsidRPr="00F614F9">
              <w:rPr>
                <w:rFonts w:ascii="Times New Roman" w:eastAsia="宋体" w:hAnsi="Times New Roman" w:cs="宋体"/>
                <w:sz w:val="18"/>
                <w:szCs w:val="18"/>
              </w:rPr>
              <w:t>）</w:t>
            </w:r>
          </w:p>
        </w:tc>
        <w:tc>
          <w:tcPr>
            <w:tcW w:w="6426" w:type="dxa"/>
            <w:gridSpan w:val="2"/>
            <w:tcBorders>
              <w:top w:val="single" w:sz="2" w:space="0" w:color="auto"/>
              <w:left w:val="single" w:sz="2" w:space="0" w:color="auto"/>
              <w:bottom w:val="single" w:sz="2" w:space="0" w:color="auto"/>
              <w:right w:val="single" w:sz="2" w:space="0" w:color="auto"/>
            </w:tcBorders>
            <w:vAlign w:val="center"/>
          </w:tcPr>
          <w:p w14:paraId="650CD4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272585A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67B7F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财务报告重要缺陷数量（</w:t>
            </w:r>
            <w:proofErr w:type="gramStart"/>
            <w:r w:rsidRPr="00F614F9">
              <w:rPr>
                <w:rFonts w:ascii="Times New Roman" w:eastAsia="宋体" w:hAnsi="Times New Roman" w:cs="宋体"/>
                <w:sz w:val="18"/>
                <w:szCs w:val="18"/>
              </w:rPr>
              <w:t>个</w:t>
            </w:r>
            <w:proofErr w:type="gramEnd"/>
            <w:r w:rsidRPr="00F614F9">
              <w:rPr>
                <w:rFonts w:ascii="Times New Roman" w:eastAsia="宋体" w:hAnsi="Times New Roman" w:cs="宋体"/>
                <w:sz w:val="18"/>
                <w:szCs w:val="18"/>
              </w:rPr>
              <w:t>）</w:t>
            </w:r>
          </w:p>
        </w:tc>
        <w:tc>
          <w:tcPr>
            <w:tcW w:w="6426" w:type="dxa"/>
            <w:gridSpan w:val="2"/>
            <w:tcBorders>
              <w:top w:val="single" w:sz="2" w:space="0" w:color="auto"/>
              <w:left w:val="single" w:sz="2" w:space="0" w:color="auto"/>
              <w:bottom w:val="single" w:sz="2" w:space="0" w:color="auto"/>
              <w:right w:val="single" w:sz="2" w:space="0" w:color="auto"/>
            </w:tcBorders>
            <w:vAlign w:val="center"/>
          </w:tcPr>
          <w:p w14:paraId="6209A5A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1C5A0A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8482F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非财务报告重要缺陷数量（</w:t>
            </w:r>
            <w:proofErr w:type="gramStart"/>
            <w:r w:rsidRPr="00F614F9">
              <w:rPr>
                <w:rFonts w:ascii="Times New Roman" w:eastAsia="宋体" w:hAnsi="Times New Roman" w:cs="宋体"/>
                <w:sz w:val="18"/>
                <w:szCs w:val="18"/>
              </w:rPr>
              <w:t>个</w:t>
            </w:r>
            <w:proofErr w:type="gramEnd"/>
            <w:r w:rsidRPr="00F614F9">
              <w:rPr>
                <w:rFonts w:ascii="Times New Roman" w:eastAsia="宋体" w:hAnsi="Times New Roman" w:cs="宋体"/>
                <w:sz w:val="18"/>
                <w:szCs w:val="18"/>
              </w:rPr>
              <w:t>）</w:t>
            </w:r>
          </w:p>
        </w:tc>
        <w:tc>
          <w:tcPr>
            <w:tcW w:w="6426" w:type="dxa"/>
            <w:gridSpan w:val="2"/>
            <w:tcBorders>
              <w:top w:val="single" w:sz="2" w:space="0" w:color="auto"/>
              <w:left w:val="single" w:sz="2" w:space="0" w:color="auto"/>
              <w:bottom w:val="single" w:sz="2" w:space="0" w:color="auto"/>
              <w:right w:val="single" w:sz="2" w:space="0" w:color="auto"/>
            </w:tcBorders>
            <w:vAlign w:val="center"/>
          </w:tcPr>
          <w:p w14:paraId="27A2671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bl>
    <w:p w14:paraId="45551AE5" w14:textId="77777777" w:rsidR="001D26E7" w:rsidRPr="00F614F9" w:rsidRDefault="00000000">
      <w:pPr>
        <w:pStyle w:val="3"/>
        <w:spacing w:line="280" w:lineRule="exact"/>
        <w:jc w:val="left"/>
        <w:rPr>
          <w:rFonts w:ascii="Times New Roman" w:hAnsi="Times New Roman" w:cs="宋体"/>
          <w:b/>
          <w:bCs/>
        </w:rPr>
      </w:pPr>
      <w:bookmarkStart w:id="125" w:name="_Toc988978"/>
      <w:r w:rsidRPr="00F614F9">
        <w:rPr>
          <w:rFonts w:ascii="Times New Roman" w:hAnsi="Times New Roman" w:cs="宋体"/>
          <w:b/>
          <w:bCs/>
        </w:rPr>
        <w:t>2</w:t>
      </w:r>
      <w:r w:rsidRPr="00F614F9">
        <w:rPr>
          <w:rFonts w:ascii="Times New Roman" w:hAnsi="Times New Roman" w:cs="宋体"/>
          <w:b/>
          <w:bCs/>
        </w:rPr>
        <w:t>、内部控制审计报告</w:t>
      </w:r>
      <w:bookmarkEnd w:id="125"/>
    </w:p>
    <w:p w14:paraId="6CF5AD70"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822"/>
        <w:gridCol w:w="4823"/>
      </w:tblGrid>
      <w:tr w:rsidR="0098145A" w14:paraId="5ED05649" w14:textId="77777777" w:rsidTr="0098145A">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14:paraId="280B9142" w14:textId="77777777" w:rsidR="0098145A" w:rsidRDefault="0098145A">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内部控制审计报告中的审议意见段</w:t>
            </w:r>
          </w:p>
        </w:tc>
      </w:tr>
      <w:tr w:rsidR="0098145A" w14:paraId="65E661EE" w14:textId="77777777" w:rsidTr="0098145A">
        <w:trPr>
          <w:trHeight w:val="240"/>
        </w:trPr>
        <w:tc>
          <w:tcPr>
            <w:tcW w:w="9639" w:type="dxa"/>
            <w:gridSpan w:val="2"/>
            <w:tcBorders>
              <w:top w:val="single" w:sz="2" w:space="0" w:color="auto"/>
              <w:left w:val="single" w:sz="2" w:space="0" w:color="auto"/>
              <w:bottom w:val="single" w:sz="2" w:space="0" w:color="auto"/>
              <w:right w:val="single" w:sz="2" w:space="0" w:color="auto"/>
            </w:tcBorders>
            <w:vAlign w:val="center"/>
            <w:hideMark/>
          </w:tcPr>
          <w:p w14:paraId="798B0908" w14:textId="77777777" w:rsidR="0098145A" w:rsidRDefault="0098145A" w:rsidP="0098145A">
            <w:pPr>
              <w:spacing w:line="240" w:lineRule="exact"/>
              <w:ind w:firstLineChars="200" w:firstLine="360"/>
              <w:rPr>
                <w:rFonts w:ascii="宋体" w:eastAsia="宋体" w:hAnsi="宋体" w:cs="宋体"/>
                <w:sz w:val="18"/>
                <w:szCs w:val="18"/>
              </w:rPr>
            </w:pPr>
            <w:r>
              <w:rPr>
                <w:rFonts w:ascii="宋体" w:eastAsia="宋体" w:hAnsi="宋体" w:cs="宋体" w:hint="eastAsia"/>
                <w:sz w:val="18"/>
                <w:szCs w:val="18"/>
              </w:rPr>
              <w:t>我们认为，龙大美食于2023年12月31日按照《企业内部控制基本规范》和相关规定在所有重大方面保持了有效的财务报告内部控制。</w:t>
            </w:r>
          </w:p>
        </w:tc>
      </w:tr>
      <w:tr w:rsidR="0098145A" w14:paraId="4EA12205" w14:textId="77777777" w:rsidTr="0098145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hideMark/>
          </w:tcPr>
          <w:p w14:paraId="5247C233" w14:textId="77777777" w:rsidR="0098145A" w:rsidRDefault="0098145A">
            <w:pPr>
              <w:spacing w:before="40" w:after="40" w:line="240" w:lineRule="exact"/>
              <w:rPr>
                <w:rFonts w:ascii="宋体" w:eastAsia="宋体" w:hAnsi="宋体" w:cs="宋体"/>
                <w:sz w:val="18"/>
                <w:szCs w:val="18"/>
              </w:rPr>
            </w:pPr>
            <w:r>
              <w:rPr>
                <w:rFonts w:ascii="宋体" w:eastAsia="宋体" w:hAnsi="宋体" w:cs="宋体" w:hint="eastAsia"/>
                <w:sz w:val="18"/>
                <w:szCs w:val="18"/>
              </w:rPr>
              <w:t>内控审计报告披露情况</w:t>
            </w:r>
          </w:p>
        </w:tc>
        <w:tc>
          <w:tcPr>
            <w:tcW w:w="4820" w:type="dxa"/>
            <w:tcBorders>
              <w:top w:val="single" w:sz="2" w:space="0" w:color="auto"/>
              <w:left w:val="single" w:sz="2" w:space="0" w:color="auto"/>
              <w:bottom w:val="single" w:sz="2" w:space="0" w:color="auto"/>
              <w:right w:val="single" w:sz="2" w:space="0" w:color="auto"/>
            </w:tcBorders>
            <w:vAlign w:val="center"/>
            <w:hideMark/>
          </w:tcPr>
          <w:p w14:paraId="25F1F718" w14:textId="77777777" w:rsidR="0098145A" w:rsidRDefault="0098145A">
            <w:pPr>
              <w:spacing w:line="240" w:lineRule="exact"/>
              <w:rPr>
                <w:rFonts w:ascii="宋体" w:eastAsia="宋体" w:hAnsi="宋体" w:cs="宋体"/>
                <w:sz w:val="18"/>
                <w:szCs w:val="18"/>
              </w:rPr>
            </w:pPr>
            <w:r>
              <w:rPr>
                <w:rFonts w:ascii="宋体" w:eastAsia="宋体" w:hAnsi="宋体" w:cs="宋体" w:hint="eastAsia"/>
                <w:sz w:val="18"/>
                <w:szCs w:val="18"/>
              </w:rPr>
              <w:t>披露</w:t>
            </w:r>
          </w:p>
        </w:tc>
      </w:tr>
      <w:tr w:rsidR="0098145A" w14:paraId="0FDF982C" w14:textId="77777777" w:rsidTr="0098145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hideMark/>
          </w:tcPr>
          <w:p w14:paraId="16A2EC8A" w14:textId="77777777" w:rsidR="0098145A" w:rsidRDefault="0098145A">
            <w:pPr>
              <w:spacing w:before="40" w:after="40" w:line="240" w:lineRule="exact"/>
              <w:rPr>
                <w:rFonts w:ascii="宋体" w:eastAsia="宋体" w:hAnsi="宋体" w:cs="宋体"/>
                <w:sz w:val="18"/>
                <w:szCs w:val="18"/>
              </w:rPr>
            </w:pPr>
            <w:r>
              <w:rPr>
                <w:rFonts w:ascii="宋体" w:eastAsia="宋体" w:hAnsi="宋体" w:cs="宋体" w:hint="eastAsia"/>
                <w:sz w:val="18"/>
                <w:szCs w:val="18"/>
              </w:rPr>
              <w:t>内部控制审计报告全文披露日期</w:t>
            </w:r>
          </w:p>
        </w:tc>
        <w:tc>
          <w:tcPr>
            <w:tcW w:w="4820" w:type="dxa"/>
            <w:tcBorders>
              <w:top w:val="single" w:sz="2" w:space="0" w:color="auto"/>
              <w:left w:val="single" w:sz="2" w:space="0" w:color="auto"/>
              <w:bottom w:val="single" w:sz="2" w:space="0" w:color="auto"/>
              <w:right w:val="single" w:sz="2" w:space="0" w:color="auto"/>
            </w:tcBorders>
            <w:vAlign w:val="center"/>
            <w:hideMark/>
          </w:tcPr>
          <w:p w14:paraId="035931FE" w14:textId="77777777" w:rsidR="0098145A" w:rsidRDefault="0098145A">
            <w:pPr>
              <w:spacing w:line="240" w:lineRule="exact"/>
              <w:rPr>
                <w:rFonts w:ascii="宋体" w:eastAsia="宋体" w:hAnsi="宋体" w:cs="宋体"/>
                <w:sz w:val="18"/>
                <w:szCs w:val="18"/>
              </w:rPr>
            </w:pPr>
            <w:r>
              <w:rPr>
                <w:rFonts w:ascii="宋体" w:eastAsia="宋体" w:hAnsi="宋体" w:cs="宋体" w:hint="eastAsia"/>
                <w:sz w:val="18"/>
                <w:szCs w:val="18"/>
              </w:rPr>
              <w:t>2024年04月16日</w:t>
            </w:r>
          </w:p>
        </w:tc>
      </w:tr>
      <w:tr w:rsidR="0098145A" w14:paraId="6364136C" w14:textId="77777777" w:rsidTr="0098145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hideMark/>
          </w:tcPr>
          <w:p w14:paraId="0FDD7A9F" w14:textId="77777777" w:rsidR="0098145A" w:rsidRDefault="0098145A">
            <w:pPr>
              <w:spacing w:before="40" w:after="40" w:line="240" w:lineRule="exact"/>
              <w:rPr>
                <w:rFonts w:ascii="宋体" w:eastAsia="宋体" w:hAnsi="宋体" w:cs="宋体"/>
                <w:sz w:val="18"/>
                <w:szCs w:val="18"/>
              </w:rPr>
            </w:pPr>
            <w:r>
              <w:rPr>
                <w:rFonts w:ascii="宋体" w:eastAsia="宋体" w:hAnsi="宋体" w:cs="宋体" w:hint="eastAsia"/>
                <w:sz w:val="18"/>
                <w:szCs w:val="18"/>
              </w:rPr>
              <w:t>内部控制审计报告全文披露索引</w:t>
            </w:r>
          </w:p>
        </w:tc>
        <w:tc>
          <w:tcPr>
            <w:tcW w:w="4820" w:type="dxa"/>
            <w:tcBorders>
              <w:top w:val="single" w:sz="2" w:space="0" w:color="auto"/>
              <w:left w:val="single" w:sz="2" w:space="0" w:color="auto"/>
              <w:bottom w:val="single" w:sz="2" w:space="0" w:color="auto"/>
              <w:right w:val="single" w:sz="2" w:space="0" w:color="auto"/>
            </w:tcBorders>
            <w:vAlign w:val="center"/>
            <w:hideMark/>
          </w:tcPr>
          <w:p w14:paraId="3EB5E6CD" w14:textId="77777777" w:rsidR="0098145A" w:rsidRDefault="0098145A">
            <w:pPr>
              <w:spacing w:line="240" w:lineRule="exact"/>
              <w:rPr>
                <w:rFonts w:ascii="宋体" w:eastAsia="宋体" w:hAnsi="宋体" w:cs="宋体"/>
                <w:sz w:val="18"/>
                <w:szCs w:val="18"/>
              </w:rPr>
            </w:pPr>
            <w:r>
              <w:rPr>
                <w:rFonts w:ascii="宋体" w:eastAsia="宋体" w:hAnsi="宋体" w:cs="宋体" w:hint="eastAsia"/>
                <w:sz w:val="18"/>
                <w:szCs w:val="18"/>
              </w:rPr>
              <w:t>具体内容详见公司2024年4月16日在巨潮资讯网（www.cninfo.com.cn）披露的《2023年度内部控制审计报告》</w:t>
            </w:r>
          </w:p>
        </w:tc>
      </w:tr>
      <w:tr w:rsidR="0098145A" w14:paraId="2B0A7A4A" w14:textId="77777777" w:rsidTr="0098145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hideMark/>
          </w:tcPr>
          <w:p w14:paraId="114A04FB" w14:textId="77777777" w:rsidR="0098145A" w:rsidRDefault="0098145A">
            <w:pPr>
              <w:spacing w:before="40" w:after="40" w:line="240" w:lineRule="exact"/>
              <w:rPr>
                <w:rFonts w:ascii="宋体" w:eastAsia="宋体" w:hAnsi="宋体" w:cs="宋体"/>
                <w:sz w:val="18"/>
                <w:szCs w:val="18"/>
              </w:rPr>
            </w:pPr>
            <w:r>
              <w:rPr>
                <w:rFonts w:ascii="宋体" w:eastAsia="宋体" w:hAnsi="宋体" w:cs="宋体" w:hint="eastAsia"/>
                <w:sz w:val="18"/>
                <w:szCs w:val="18"/>
              </w:rPr>
              <w:t>内控审计报告意见类型</w:t>
            </w:r>
          </w:p>
        </w:tc>
        <w:tc>
          <w:tcPr>
            <w:tcW w:w="4820" w:type="dxa"/>
            <w:tcBorders>
              <w:top w:val="single" w:sz="2" w:space="0" w:color="auto"/>
              <w:left w:val="single" w:sz="2" w:space="0" w:color="auto"/>
              <w:bottom w:val="single" w:sz="2" w:space="0" w:color="auto"/>
              <w:right w:val="single" w:sz="2" w:space="0" w:color="auto"/>
            </w:tcBorders>
            <w:vAlign w:val="center"/>
            <w:hideMark/>
          </w:tcPr>
          <w:p w14:paraId="5FADD67E" w14:textId="77777777" w:rsidR="0098145A" w:rsidRDefault="0098145A">
            <w:pPr>
              <w:spacing w:line="240" w:lineRule="exact"/>
              <w:rPr>
                <w:rFonts w:ascii="宋体" w:eastAsia="宋体" w:hAnsi="宋体" w:cs="宋体"/>
                <w:sz w:val="18"/>
                <w:szCs w:val="18"/>
              </w:rPr>
            </w:pPr>
            <w:r>
              <w:rPr>
                <w:rFonts w:ascii="宋体" w:eastAsia="宋体" w:hAnsi="宋体" w:cs="宋体" w:hint="eastAsia"/>
                <w:sz w:val="18"/>
                <w:szCs w:val="18"/>
              </w:rPr>
              <w:t>标准无保留意见</w:t>
            </w:r>
          </w:p>
        </w:tc>
      </w:tr>
      <w:tr w:rsidR="0098145A" w14:paraId="127A157F" w14:textId="77777777" w:rsidTr="0098145A">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hideMark/>
          </w:tcPr>
          <w:p w14:paraId="4C022C8B" w14:textId="77777777" w:rsidR="0098145A" w:rsidRDefault="0098145A">
            <w:pPr>
              <w:spacing w:before="40" w:after="40" w:line="240" w:lineRule="exact"/>
              <w:rPr>
                <w:rFonts w:ascii="宋体" w:eastAsia="宋体" w:hAnsi="宋体" w:cs="宋体"/>
                <w:sz w:val="18"/>
                <w:szCs w:val="18"/>
              </w:rPr>
            </w:pPr>
            <w:r>
              <w:rPr>
                <w:rFonts w:ascii="宋体" w:eastAsia="宋体" w:hAnsi="宋体" w:cs="宋体" w:hint="eastAsia"/>
                <w:sz w:val="18"/>
                <w:szCs w:val="18"/>
              </w:rPr>
              <w:t>非财务报告是否存在重大缺陷</w:t>
            </w:r>
          </w:p>
        </w:tc>
        <w:tc>
          <w:tcPr>
            <w:tcW w:w="4820" w:type="dxa"/>
            <w:tcBorders>
              <w:top w:val="single" w:sz="2" w:space="0" w:color="auto"/>
              <w:left w:val="single" w:sz="2" w:space="0" w:color="auto"/>
              <w:bottom w:val="single" w:sz="2" w:space="0" w:color="auto"/>
              <w:right w:val="single" w:sz="2" w:space="0" w:color="auto"/>
            </w:tcBorders>
            <w:vAlign w:val="center"/>
            <w:hideMark/>
          </w:tcPr>
          <w:p w14:paraId="0A73AB2A" w14:textId="77777777" w:rsidR="0098145A" w:rsidRDefault="0098145A">
            <w:pPr>
              <w:spacing w:line="240" w:lineRule="exact"/>
              <w:rPr>
                <w:rFonts w:ascii="宋体" w:eastAsia="宋体" w:hAnsi="宋体" w:cs="宋体"/>
                <w:sz w:val="18"/>
                <w:szCs w:val="18"/>
              </w:rPr>
            </w:pPr>
            <w:r>
              <w:rPr>
                <w:rFonts w:ascii="宋体" w:eastAsia="宋体" w:hAnsi="宋体" w:cs="宋体" w:hint="eastAsia"/>
                <w:sz w:val="18"/>
                <w:szCs w:val="18"/>
              </w:rPr>
              <w:t>否</w:t>
            </w:r>
          </w:p>
        </w:tc>
      </w:tr>
    </w:tbl>
    <w:p w14:paraId="70975531"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会计师事务所是否出具非标准意见的内部控制审计报告</w:t>
      </w:r>
    </w:p>
    <w:p w14:paraId="78AC3182"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否</w:t>
      </w:r>
    </w:p>
    <w:p w14:paraId="00F43A0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会计师事务所出具的内部控制审计报告与董事会的自我评价报告意见是否一致</w:t>
      </w:r>
    </w:p>
    <w:p w14:paraId="34638E8A"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否</w:t>
      </w:r>
    </w:p>
    <w:p w14:paraId="6A60161A"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26" w:name="_Toc988979"/>
      <w:bookmarkStart w:id="127" w:name="_Toc164024783"/>
      <w:r w:rsidRPr="00F614F9">
        <w:rPr>
          <w:rFonts w:ascii="Times New Roman" w:eastAsia="宋体" w:hAnsi="Times New Roman" w:cs="宋体"/>
          <w:b/>
          <w:bCs/>
          <w:sz w:val="24"/>
          <w:szCs w:val="24"/>
        </w:rPr>
        <w:t>十五、上市公司治理专项行动自查问题整改情况</w:t>
      </w:r>
      <w:bookmarkEnd w:id="126"/>
      <w:bookmarkEnd w:id="127"/>
    </w:p>
    <w:p w14:paraId="033CE437" w14:textId="77777777" w:rsidR="00872599" w:rsidRPr="00F614F9" w:rsidRDefault="00000000">
      <w:pPr>
        <w:pStyle w:val="a3"/>
        <w:divId w:val="102963910"/>
        <w:rPr>
          <w:rFonts w:ascii="Times New Roman" w:hAnsi="Times New Roman"/>
          <w:sz w:val="18"/>
          <w:szCs w:val="18"/>
        </w:rPr>
      </w:pPr>
      <w:r w:rsidRPr="00F614F9">
        <w:rPr>
          <w:rFonts w:ascii="Times New Roman" w:hAnsi="Times New Roman" w:hint="eastAsia"/>
          <w:sz w:val="18"/>
          <w:szCs w:val="18"/>
        </w:rPr>
        <w:t>不适用</w:t>
      </w:r>
    </w:p>
    <w:p w14:paraId="520BB80B" w14:textId="77777777" w:rsidR="001D26E7" w:rsidRPr="00F614F9" w:rsidRDefault="00000000">
      <w:pPr>
        <w:rPr>
          <w:rFonts w:ascii="Times New Roman" w:hAnsi="Times New Roman"/>
        </w:rPr>
      </w:pPr>
      <w:r w:rsidRPr="00F614F9">
        <w:rPr>
          <w:rFonts w:ascii="Times New Roman" w:hAnsi="Times New Roman"/>
        </w:rPr>
        <w:br w:type="page"/>
      </w:r>
    </w:p>
    <w:p w14:paraId="26A06254" w14:textId="77777777" w:rsidR="001D26E7" w:rsidRPr="00F614F9" w:rsidRDefault="00000000">
      <w:pPr>
        <w:pStyle w:val="headingh1"/>
        <w:spacing w:before="340" w:after="330" w:line="773" w:lineRule="exact"/>
        <w:jc w:val="center"/>
        <w:rPr>
          <w:rFonts w:ascii="Times New Roman" w:eastAsia="宋体" w:hAnsi="Times New Roman" w:cs="宋体"/>
          <w:b/>
          <w:bCs/>
          <w:sz w:val="32"/>
          <w:szCs w:val="32"/>
        </w:rPr>
      </w:pPr>
      <w:bookmarkStart w:id="128" w:name="_Toc164024784"/>
      <w:r w:rsidRPr="00F614F9">
        <w:rPr>
          <w:rFonts w:ascii="Times New Roman" w:eastAsia="宋体" w:hAnsi="Times New Roman" w:cs="宋体"/>
          <w:b/>
          <w:bCs/>
          <w:sz w:val="32"/>
          <w:szCs w:val="32"/>
        </w:rPr>
        <w:lastRenderedPageBreak/>
        <w:t>第五节</w:t>
      </w:r>
      <w:r w:rsidRPr="00F614F9">
        <w:rPr>
          <w:rFonts w:ascii="Times New Roman" w:eastAsia="宋体" w:hAnsi="Times New Roman" w:cs="宋体"/>
          <w:b/>
          <w:bCs/>
          <w:sz w:val="32"/>
          <w:szCs w:val="32"/>
        </w:rPr>
        <w:t xml:space="preserve"> </w:t>
      </w:r>
      <w:r w:rsidRPr="00F614F9">
        <w:rPr>
          <w:rFonts w:ascii="Times New Roman" w:eastAsia="宋体" w:hAnsi="Times New Roman" w:cs="宋体"/>
          <w:b/>
          <w:bCs/>
          <w:sz w:val="32"/>
          <w:szCs w:val="32"/>
        </w:rPr>
        <w:t>环境和社会责任</w:t>
      </w:r>
      <w:bookmarkEnd w:id="128"/>
    </w:p>
    <w:p w14:paraId="71E9034F"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29" w:name="_Toc988981"/>
      <w:bookmarkStart w:id="130" w:name="_Toc164024785"/>
      <w:r w:rsidRPr="00F614F9">
        <w:rPr>
          <w:rFonts w:ascii="Times New Roman" w:eastAsia="宋体" w:hAnsi="Times New Roman" w:cs="宋体"/>
          <w:b/>
          <w:bCs/>
          <w:sz w:val="24"/>
          <w:szCs w:val="24"/>
        </w:rPr>
        <w:t>一、重大环保问题</w:t>
      </w:r>
      <w:bookmarkEnd w:id="129"/>
      <w:bookmarkEnd w:id="130"/>
    </w:p>
    <w:p w14:paraId="1330E2E4"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上市公司及其子公司是否属于环境保护部门公布的重点排污单位</w:t>
      </w:r>
    </w:p>
    <w:p w14:paraId="557CFB9A"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否</w:t>
      </w:r>
    </w:p>
    <w:p w14:paraId="36CD1451"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环境保护相关政策和行业标准</w:t>
      </w:r>
    </w:p>
    <w:p w14:paraId="74914B4D" w14:textId="77777777" w:rsidR="00872599" w:rsidRPr="00F614F9" w:rsidRDefault="00000000">
      <w:pPr>
        <w:pStyle w:val="a3"/>
        <w:spacing w:before="40" w:beforeAutospacing="0" w:after="40" w:afterAutospacing="0" w:line="400" w:lineRule="atLeast"/>
        <w:ind w:left="40" w:right="40"/>
        <w:divId w:val="888153417"/>
        <w:rPr>
          <w:rFonts w:ascii="Times New Roman" w:hAnsi="Times New Roman"/>
        </w:rPr>
      </w:pPr>
      <w:r w:rsidRPr="00F614F9">
        <w:rPr>
          <w:rFonts w:ascii="Times New Roman" w:hAnsi="Times New Roman" w:hint="eastAsia"/>
          <w:sz w:val="18"/>
          <w:szCs w:val="18"/>
        </w:rPr>
        <w:t xml:space="preserve">  </w:t>
      </w:r>
      <w:r w:rsidRPr="00F614F9">
        <w:rPr>
          <w:rFonts w:ascii="Times New Roman" w:hAnsi="Times New Roman" w:hint="eastAsia"/>
          <w:sz w:val="18"/>
          <w:szCs w:val="18"/>
        </w:rPr>
        <w:t>《中华人民共和国环境保护法》《中华人民共和国水污染防治法》《中华人民共和国大气污染物防治法》《肉类加工工业污染物排放标准》《山东省水污染物综合排放标准》《污水排入城市下水道水质标准》。</w:t>
      </w:r>
    </w:p>
    <w:p w14:paraId="0502CE0D"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环境保护行政许可情况</w:t>
      </w:r>
    </w:p>
    <w:tbl>
      <w:tblPr>
        <w:tblW w:w="9649" w:type="dxa"/>
        <w:tblCellMar>
          <w:left w:w="0" w:type="dxa"/>
          <w:right w:w="0" w:type="dxa"/>
        </w:tblCellMar>
        <w:tblLook w:val="04A0" w:firstRow="1" w:lastRow="0" w:firstColumn="1" w:lastColumn="0" w:noHBand="0" w:noVBand="1"/>
      </w:tblPr>
      <w:tblGrid>
        <w:gridCol w:w="2704"/>
        <w:gridCol w:w="2693"/>
        <w:gridCol w:w="2268"/>
        <w:gridCol w:w="1984"/>
      </w:tblGrid>
      <w:tr w:rsidR="00872599" w:rsidRPr="00F614F9" w14:paraId="183A3C96" w14:textId="77777777" w:rsidTr="002B7559">
        <w:trPr>
          <w:divId w:val="267854562"/>
          <w:trHeight w:val="20"/>
        </w:trPr>
        <w:tc>
          <w:tcPr>
            <w:tcW w:w="2704" w:type="dxa"/>
            <w:tcBorders>
              <w:top w:val="single" w:sz="8" w:space="0" w:color="auto"/>
              <w:left w:val="single" w:sz="8" w:space="0" w:color="auto"/>
              <w:bottom w:val="single" w:sz="8" w:space="0" w:color="auto"/>
              <w:right w:val="single" w:sz="8" w:space="0" w:color="auto"/>
            </w:tcBorders>
            <w:shd w:val="clear" w:color="auto" w:fill="D9D9D9"/>
            <w:tcMar>
              <w:top w:w="10" w:type="dxa"/>
              <w:left w:w="10" w:type="dxa"/>
              <w:bottom w:w="10" w:type="dxa"/>
              <w:right w:w="10" w:type="dxa"/>
            </w:tcMar>
            <w:hideMark/>
          </w:tcPr>
          <w:p w14:paraId="57A76C9D" w14:textId="77777777" w:rsidR="00872599" w:rsidRPr="00F614F9" w:rsidRDefault="00000000" w:rsidP="002B7559">
            <w:pPr>
              <w:jc w:val="center"/>
              <w:rPr>
                <w:rFonts w:ascii="Times New Roman" w:eastAsia="宋体" w:hAnsi="Times New Roman" w:cs="Times New Roman"/>
                <w:sz w:val="18"/>
                <w:szCs w:val="18"/>
              </w:rPr>
            </w:pPr>
            <w:r w:rsidRPr="00F614F9">
              <w:rPr>
                <w:rFonts w:ascii="Times New Roman" w:eastAsia="宋体" w:hAnsi="Times New Roman" w:cs="Times New Roman"/>
                <w:sz w:val="18"/>
                <w:szCs w:val="18"/>
              </w:rPr>
              <w:t>项目名称</w:t>
            </w:r>
          </w:p>
        </w:tc>
        <w:tc>
          <w:tcPr>
            <w:tcW w:w="2693" w:type="dxa"/>
            <w:tcBorders>
              <w:top w:val="single" w:sz="8" w:space="0" w:color="auto"/>
              <w:left w:val="nil"/>
              <w:bottom w:val="single" w:sz="8" w:space="0" w:color="auto"/>
              <w:right w:val="single" w:sz="8" w:space="0" w:color="auto"/>
            </w:tcBorders>
            <w:shd w:val="clear" w:color="auto" w:fill="D9D9D9"/>
            <w:tcMar>
              <w:top w:w="10" w:type="dxa"/>
              <w:left w:w="10" w:type="dxa"/>
              <w:bottom w:w="10" w:type="dxa"/>
              <w:right w:w="10" w:type="dxa"/>
            </w:tcMar>
            <w:hideMark/>
          </w:tcPr>
          <w:p w14:paraId="4CFE9D19" w14:textId="77777777" w:rsidR="00872599" w:rsidRPr="00F614F9" w:rsidRDefault="00000000" w:rsidP="002B7559">
            <w:pPr>
              <w:jc w:val="center"/>
              <w:rPr>
                <w:rFonts w:ascii="Times New Roman" w:eastAsia="宋体" w:hAnsi="Times New Roman" w:cs="Times New Roman"/>
                <w:sz w:val="18"/>
                <w:szCs w:val="18"/>
              </w:rPr>
            </w:pPr>
            <w:r w:rsidRPr="00F614F9">
              <w:rPr>
                <w:rFonts w:ascii="Times New Roman" w:eastAsia="宋体" w:hAnsi="Times New Roman" w:cs="Times New Roman"/>
                <w:sz w:val="18"/>
                <w:szCs w:val="18"/>
              </w:rPr>
              <w:t>排污许可证证书编号</w:t>
            </w:r>
          </w:p>
        </w:tc>
        <w:tc>
          <w:tcPr>
            <w:tcW w:w="2268" w:type="dxa"/>
            <w:tcBorders>
              <w:top w:val="single" w:sz="8" w:space="0" w:color="auto"/>
              <w:left w:val="nil"/>
              <w:bottom w:val="single" w:sz="8" w:space="0" w:color="auto"/>
              <w:right w:val="single" w:sz="8" w:space="0" w:color="auto"/>
            </w:tcBorders>
            <w:shd w:val="clear" w:color="auto" w:fill="D9D9D9"/>
            <w:tcMar>
              <w:top w:w="10" w:type="dxa"/>
              <w:left w:w="10" w:type="dxa"/>
              <w:bottom w:w="10" w:type="dxa"/>
              <w:right w:w="10" w:type="dxa"/>
            </w:tcMar>
            <w:hideMark/>
          </w:tcPr>
          <w:p w14:paraId="5EDDAEA8" w14:textId="77777777" w:rsidR="00872599" w:rsidRPr="00F614F9" w:rsidRDefault="00000000" w:rsidP="002B7559">
            <w:pPr>
              <w:jc w:val="center"/>
              <w:rPr>
                <w:rFonts w:ascii="Times New Roman" w:eastAsia="宋体" w:hAnsi="Times New Roman" w:cs="Times New Roman"/>
                <w:sz w:val="18"/>
                <w:szCs w:val="18"/>
              </w:rPr>
            </w:pPr>
            <w:r w:rsidRPr="00F614F9">
              <w:rPr>
                <w:rFonts w:ascii="Times New Roman" w:eastAsia="宋体" w:hAnsi="Times New Roman" w:cs="Times New Roman"/>
                <w:sz w:val="18"/>
                <w:szCs w:val="18"/>
              </w:rPr>
              <w:t>发证日期</w:t>
            </w:r>
          </w:p>
        </w:tc>
        <w:tc>
          <w:tcPr>
            <w:tcW w:w="1984" w:type="dxa"/>
            <w:tcBorders>
              <w:top w:val="single" w:sz="8" w:space="0" w:color="auto"/>
              <w:left w:val="nil"/>
              <w:bottom w:val="single" w:sz="8" w:space="0" w:color="auto"/>
              <w:right w:val="single" w:sz="8" w:space="0" w:color="auto"/>
            </w:tcBorders>
            <w:shd w:val="clear" w:color="auto" w:fill="D9D9D9"/>
            <w:tcMar>
              <w:top w:w="10" w:type="dxa"/>
              <w:left w:w="10" w:type="dxa"/>
              <w:bottom w:w="10" w:type="dxa"/>
              <w:right w:w="10" w:type="dxa"/>
            </w:tcMar>
            <w:hideMark/>
          </w:tcPr>
          <w:p w14:paraId="7982566B" w14:textId="77777777" w:rsidR="00872599" w:rsidRPr="00F614F9" w:rsidRDefault="00000000" w:rsidP="002B7559">
            <w:pPr>
              <w:jc w:val="center"/>
              <w:rPr>
                <w:rFonts w:ascii="Times New Roman" w:eastAsia="宋体" w:hAnsi="Times New Roman" w:cs="Times New Roman"/>
                <w:sz w:val="18"/>
                <w:szCs w:val="18"/>
              </w:rPr>
            </w:pPr>
            <w:r w:rsidRPr="00F614F9">
              <w:rPr>
                <w:rFonts w:ascii="Times New Roman" w:eastAsia="宋体" w:hAnsi="Times New Roman" w:cs="Times New Roman"/>
                <w:sz w:val="18"/>
                <w:szCs w:val="18"/>
              </w:rPr>
              <w:t>有效期</w:t>
            </w:r>
          </w:p>
        </w:tc>
      </w:tr>
      <w:tr w:rsidR="00872599" w:rsidRPr="00F614F9" w14:paraId="2822D602" w14:textId="77777777" w:rsidTr="002B7559">
        <w:trPr>
          <w:divId w:val="267854562"/>
          <w:trHeight w:val="20"/>
        </w:trPr>
        <w:tc>
          <w:tcPr>
            <w:tcW w:w="2704"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14:paraId="0D3307C2" w14:textId="77777777" w:rsidR="00872599" w:rsidRPr="00F614F9" w:rsidRDefault="00000000" w:rsidP="002B7559">
            <w:pPr>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山东龙大肉食品股份有限公司生猪屠宰、加工项目</w:t>
            </w:r>
          </w:p>
        </w:tc>
        <w:tc>
          <w:tcPr>
            <w:tcW w:w="2693" w:type="dxa"/>
            <w:tcBorders>
              <w:top w:val="nil"/>
              <w:left w:val="nil"/>
              <w:bottom w:val="single" w:sz="8" w:space="0" w:color="auto"/>
              <w:right w:val="single" w:sz="8" w:space="0" w:color="auto"/>
            </w:tcBorders>
            <w:tcMar>
              <w:top w:w="10" w:type="dxa"/>
              <w:left w:w="10" w:type="dxa"/>
              <w:bottom w:w="10" w:type="dxa"/>
              <w:right w:w="10" w:type="dxa"/>
            </w:tcMar>
            <w:vAlign w:val="center"/>
            <w:hideMark/>
          </w:tcPr>
          <w:p w14:paraId="79BD58F7" w14:textId="77777777" w:rsidR="00872599" w:rsidRPr="00F614F9" w:rsidRDefault="00000000" w:rsidP="002B7559">
            <w:pPr>
              <w:jc w:val="center"/>
              <w:rPr>
                <w:rFonts w:ascii="Times New Roman" w:eastAsia="宋体" w:hAnsi="Times New Roman" w:cs="Times New Roman"/>
                <w:sz w:val="18"/>
                <w:szCs w:val="18"/>
              </w:rPr>
            </w:pPr>
            <w:r w:rsidRPr="00F614F9">
              <w:rPr>
                <w:rFonts w:ascii="Times New Roman" w:eastAsia="宋体" w:hAnsi="Times New Roman" w:cs="Times New Roman"/>
                <w:sz w:val="18"/>
                <w:szCs w:val="18"/>
              </w:rPr>
              <w:t>913700007591559056001Z</w:t>
            </w:r>
          </w:p>
        </w:tc>
        <w:tc>
          <w:tcPr>
            <w:tcW w:w="226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14:paraId="700B0479" w14:textId="77777777" w:rsidR="00872599" w:rsidRPr="00F614F9" w:rsidRDefault="00000000" w:rsidP="002B7559">
            <w:pPr>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2023</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8</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11</w:t>
            </w:r>
            <w:r w:rsidRPr="00F614F9">
              <w:rPr>
                <w:rFonts w:ascii="Times New Roman" w:eastAsia="宋体" w:hAnsi="Times New Roman" w:cs="Times New Roman"/>
                <w:sz w:val="18"/>
                <w:szCs w:val="18"/>
              </w:rPr>
              <w:t>日</w:t>
            </w:r>
          </w:p>
        </w:tc>
        <w:tc>
          <w:tcPr>
            <w:tcW w:w="198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14:paraId="71B782D3" w14:textId="77777777" w:rsidR="00872599" w:rsidRPr="00F614F9" w:rsidRDefault="00000000" w:rsidP="002B7559">
            <w:pPr>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2023</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8</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11</w:t>
            </w:r>
            <w:r w:rsidRPr="00F614F9">
              <w:rPr>
                <w:rFonts w:ascii="Times New Roman" w:eastAsia="宋体" w:hAnsi="Times New Roman" w:cs="Times New Roman"/>
                <w:sz w:val="18"/>
                <w:szCs w:val="18"/>
              </w:rPr>
              <w:t>日至</w:t>
            </w:r>
            <w:r w:rsidRPr="00F614F9">
              <w:rPr>
                <w:rFonts w:ascii="Times New Roman" w:eastAsia="宋体" w:hAnsi="Times New Roman" w:cs="Times New Roman"/>
                <w:sz w:val="18"/>
                <w:szCs w:val="18"/>
              </w:rPr>
              <w:t>2028</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8</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10</w:t>
            </w:r>
            <w:r w:rsidRPr="00F614F9">
              <w:rPr>
                <w:rFonts w:ascii="Times New Roman" w:eastAsia="宋体" w:hAnsi="Times New Roman" w:cs="Times New Roman"/>
                <w:sz w:val="18"/>
                <w:szCs w:val="18"/>
              </w:rPr>
              <w:t>日</w:t>
            </w:r>
          </w:p>
        </w:tc>
      </w:tr>
      <w:tr w:rsidR="00872599" w:rsidRPr="00F614F9" w14:paraId="642C74AC" w14:textId="77777777" w:rsidTr="002B7559">
        <w:trPr>
          <w:divId w:val="267854562"/>
          <w:trHeight w:val="20"/>
        </w:trPr>
        <w:tc>
          <w:tcPr>
            <w:tcW w:w="2704"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14:paraId="5B78E038" w14:textId="77777777" w:rsidR="00872599" w:rsidRPr="00F614F9" w:rsidRDefault="00000000" w:rsidP="002B7559">
            <w:pPr>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潍坊振</w:t>
            </w:r>
            <w:proofErr w:type="gramStart"/>
            <w:r w:rsidRPr="00F614F9">
              <w:rPr>
                <w:rFonts w:ascii="Times New Roman" w:eastAsia="宋体" w:hAnsi="Times New Roman" w:cs="Times New Roman"/>
                <w:sz w:val="18"/>
                <w:szCs w:val="18"/>
              </w:rPr>
              <w:t>祥</w:t>
            </w:r>
            <w:proofErr w:type="gramEnd"/>
            <w:r w:rsidRPr="00F614F9">
              <w:rPr>
                <w:rFonts w:ascii="Times New Roman" w:eastAsia="宋体" w:hAnsi="Times New Roman" w:cs="Times New Roman"/>
                <w:sz w:val="18"/>
                <w:szCs w:val="18"/>
              </w:rPr>
              <w:t>食品有限公司</w:t>
            </w:r>
            <w:r w:rsidRPr="00F614F9">
              <w:rPr>
                <w:rFonts w:ascii="Times New Roman" w:eastAsia="宋体" w:hAnsi="Times New Roman" w:cs="Times New Roman"/>
                <w:sz w:val="18"/>
                <w:szCs w:val="18"/>
              </w:rPr>
              <w:t>300</w:t>
            </w:r>
            <w:r w:rsidRPr="00F614F9">
              <w:rPr>
                <w:rFonts w:ascii="Times New Roman" w:eastAsia="宋体" w:hAnsi="Times New Roman" w:cs="Times New Roman"/>
                <w:sz w:val="18"/>
                <w:szCs w:val="18"/>
              </w:rPr>
              <w:t>万头</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年生猪屠宰及肉制品深加工项目</w:t>
            </w:r>
          </w:p>
        </w:tc>
        <w:tc>
          <w:tcPr>
            <w:tcW w:w="2693" w:type="dxa"/>
            <w:tcBorders>
              <w:top w:val="nil"/>
              <w:left w:val="nil"/>
              <w:bottom w:val="single" w:sz="8" w:space="0" w:color="auto"/>
              <w:right w:val="single" w:sz="8" w:space="0" w:color="auto"/>
            </w:tcBorders>
            <w:tcMar>
              <w:top w:w="10" w:type="dxa"/>
              <w:left w:w="10" w:type="dxa"/>
              <w:bottom w:w="10" w:type="dxa"/>
              <w:right w:w="10" w:type="dxa"/>
            </w:tcMar>
            <w:vAlign w:val="center"/>
            <w:hideMark/>
          </w:tcPr>
          <w:p w14:paraId="473EA7D9" w14:textId="77777777" w:rsidR="00872599" w:rsidRPr="00F614F9" w:rsidRDefault="00000000" w:rsidP="002B7559">
            <w:pPr>
              <w:jc w:val="center"/>
              <w:rPr>
                <w:rFonts w:ascii="Times New Roman" w:eastAsia="宋体" w:hAnsi="Times New Roman" w:cs="Times New Roman"/>
                <w:sz w:val="18"/>
                <w:szCs w:val="18"/>
              </w:rPr>
            </w:pPr>
            <w:r w:rsidRPr="00F614F9">
              <w:rPr>
                <w:rFonts w:ascii="Times New Roman" w:eastAsia="宋体" w:hAnsi="Times New Roman" w:cs="Times New Roman"/>
                <w:sz w:val="18"/>
                <w:szCs w:val="18"/>
              </w:rPr>
              <w:t>91370784706376157W001Z</w:t>
            </w:r>
          </w:p>
        </w:tc>
        <w:tc>
          <w:tcPr>
            <w:tcW w:w="226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14:paraId="49BA1210" w14:textId="77777777" w:rsidR="00872599" w:rsidRPr="00F614F9" w:rsidRDefault="00000000" w:rsidP="002B7559">
            <w:pPr>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2021</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12</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23</w:t>
            </w:r>
            <w:r w:rsidRPr="00F614F9">
              <w:rPr>
                <w:rFonts w:ascii="Times New Roman" w:eastAsia="宋体" w:hAnsi="Times New Roman" w:cs="Times New Roman"/>
                <w:sz w:val="18"/>
                <w:szCs w:val="18"/>
              </w:rPr>
              <w:t>日</w:t>
            </w:r>
          </w:p>
        </w:tc>
        <w:tc>
          <w:tcPr>
            <w:tcW w:w="198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14:paraId="0253CEAD" w14:textId="77777777" w:rsidR="00872599" w:rsidRPr="00F614F9" w:rsidRDefault="00000000" w:rsidP="002B7559">
            <w:pPr>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2022</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01</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01</w:t>
            </w:r>
            <w:r w:rsidRPr="00F614F9">
              <w:rPr>
                <w:rFonts w:ascii="Times New Roman" w:eastAsia="宋体" w:hAnsi="Times New Roman" w:cs="Times New Roman"/>
                <w:sz w:val="18"/>
                <w:szCs w:val="18"/>
              </w:rPr>
              <w:t>日至</w:t>
            </w:r>
            <w:r w:rsidRPr="00F614F9">
              <w:rPr>
                <w:rFonts w:ascii="Times New Roman" w:eastAsia="宋体" w:hAnsi="Times New Roman" w:cs="Times New Roman"/>
                <w:sz w:val="18"/>
                <w:szCs w:val="18"/>
              </w:rPr>
              <w:t>2026</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12</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31</w:t>
            </w:r>
            <w:r w:rsidRPr="00F614F9">
              <w:rPr>
                <w:rFonts w:ascii="Times New Roman" w:eastAsia="宋体" w:hAnsi="Times New Roman" w:cs="Times New Roman"/>
                <w:sz w:val="18"/>
                <w:szCs w:val="18"/>
              </w:rPr>
              <w:t>日</w:t>
            </w:r>
          </w:p>
        </w:tc>
      </w:tr>
      <w:tr w:rsidR="00872599" w:rsidRPr="00F614F9" w14:paraId="7C8EE226" w14:textId="77777777" w:rsidTr="002B7559">
        <w:trPr>
          <w:divId w:val="267854562"/>
          <w:trHeight w:val="20"/>
        </w:trPr>
        <w:tc>
          <w:tcPr>
            <w:tcW w:w="2704"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14:paraId="1884E2AD" w14:textId="77777777" w:rsidR="00872599" w:rsidRPr="00F614F9" w:rsidRDefault="00000000" w:rsidP="002B7559">
            <w:pPr>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河南龙大牧原肉食品有限公司年屠宰</w:t>
            </w:r>
            <w:r w:rsidRPr="00F614F9">
              <w:rPr>
                <w:rFonts w:ascii="Times New Roman" w:eastAsia="宋体" w:hAnsi="Times New Roman" w:cs="Times New Roman"/>
                <w:sz w:val="18"/>
                <w:szCs w:val="18"/>
              </w:rPr>
              <w:t>80</w:t>
            </w:r>
            <w:r w:rsidRPr="00F614F9">
              <w:rPr>
                <w:rFonts w:ascii="Times New Roman" w:eastAsia="宋体" w:hAnsi="Times New Roman" w:cs="Times New Roman"/>
                <w:sz w:val="18"/>
                <w:szCs w:val="18"/>
              </w:rPr>
              <w:t>万头肉食品加工项目</w:t>
            </w:r>
          </w:p>
        </w:tc>
        <w:tc>
          <w:tcPr>
            <w:tcW w:w="2693" w:type="dxa"/>
            <w:tcBorders>
              <w:top w:val="nil"/>
              <w:left w:val="nil"/>
              <w:bottom w:val="single" w:sz="8" w:space="0" w:color="auto"/>
              <w:right w:val="single" w:sz="8" w:space="0" w:color="auto"/>
            </w:tcBorders>
            <w:tcMar>
              <w:top w:w="10" w:type="dxa"/>
              <w:left w:w="10" w:type="dxa"/>
              <w:bottom w:w="10" w:type="dxa"/>
              <w:right w:w="10" w:type="dxa"/>
            </w:tcMar>
            <w:vAlign w:val="center"/>
            <w:hideMark/>
          </w:tcPr>
          <w:p w14:paraId="3CF8B873" w14:textId="77777777" w:rsidR="00872599" w:rsidRPr="00F614F9" w:rsidRDefault="00000000" w:rsidP="002B7559">
            <w:pPr>
              <w:jc w:val="center"/>
              <w:rPr>
                <w:rFonts w:ascii="Times New Roman" w:eastAsia="宋体" w:hAnsi="Times New Roman" w:cs="Times New Roman"/>
                <w:sz w:val="18"/>
                <w:szCs w:val="18"/>
              </w:rPr>
            </w:pPr>
            <w:r w:rsidRPr="00F614F9">
              <w:rPr>
                <w:rFonts w:ascii="Times New Roman" w:eastAsia="宋体" w:hAnsi="Times New Roman" w:cs="Times New Roman"/>
                <w:sz w:val="18"/>
                <w:szCs w:val="18"/>
              </w:rPr>
              <w:t>91411325675379661H001P</w:t>
            </w:r>
          </w:p>
        </w:tc>
        <w:tc>
          <w:tcPr>
            <w:tcW w:w="226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14:paraId="2CC8F70F" w14:textId="77777777" w:rsidR="00872599" w:rsidRPr="00F614F9" w:rsidRDefault="00000000" w:rsidP="002B7559">
            <w:pPr>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2021</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7</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20</w:t>
            </w:r>
            <w:r w:rsidRPr="00F614F9">
              <w:rPr>
                <w:rFonts w:ascii="Times New Roman" w:eastAsia="宋体" w:hAnsi="Times New Roman" w:cs="Times New Roman"/>
                <w:sz w:val="18"/>
                <w:szCs w:val="18"/>
              </w:rPr>
              <w:t>日</w:t>
            </w:r>
          </w:p>
        </w:tc>
        <w:tc>
          <w:tcPr>
            <w:tcW w:w="198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14:paraId="34BAC7C7" w14:textId="77777777" w:rsidR="00872599" w:rsidRPr="00F614F9" w:rsidRDefault="00000000" w:rsidP="002B7559">
            <w:pPr>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2021</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9</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29</w:t>
            </w:r>
            <w:r w:rsidRPr="00F614F9">
              <w:rPr>
                <w:rFonts w:ascii="Times New Roman" w:eastAsia="宋体" w:hAnsi="Times New Roman" w:cs="Times New Roman"/>
                <w:sz w:val="18"/>
                <w:szCs w:val="18"/>
              </w:rPr>
              <w:t>日至</w:t>
            </w:r>
            <w:r w:rsidRPr="00F614F9">
              <w:rPr>
                <w:rFonts w:ascii="Times New Roman" w:eastAsia="宋体" w:hAnsi="Times New Roman" w:cs="Times New Roman"/>
                <w:sz w:val="18"/>
                <w:szCs w:val="18"/>
              </w:rPr>
              <w:t>2026</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9</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28</w:t>
            </w:r>
            <w:r w:rsidRPr="00F614F9">
              <w:rPr>
                <w:rFonts w:ascii="Times New Roman" w:eastAsia="宋体" w:hAnsi="Times New Roman" w:cs="Times New Roman"/>
                <w:sz w:val="18"/>
                <w:szCs w:val="18"/>
              </w:rPr>
              <w:t>日</w:t>
            </w:r>
          </w:p>
        </w:tc>
      </w:tr>
      <w:tr w:rsidR="00872599" w:rsidRPr="00F614F9" w14:paraId="1D0F2A16" w14:textId="77777777" w:rsidTr="002B7559">
        <w:trPr>
          <w:divId w:val="267854562"/>
          <w:trHeight w:val="20"/>
        </w:trPr>
        <w:tc>
          <w:tcPr>
            <w:tcW w:w="2704"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14:paraId="1086C93D" w14:textId="77777777" w:rsidR="00872599" w:rsidRPr="00F614F9" w:rsidRDefault="00000000" w:rsidP="002B7559">
            <w:pPr>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聊城龙大肉食品有限公司</w:t>
            </w:r>
            <w:r w:rsidRPr="00F614F9">
              <w:rPr>
                <w:rFonts w:ascii="Times New Roman" w:eastAsia="宋体" w:hAnsi="Times New Roman" w:cs="Times New Roman"/>
                <w:sz w:val="18"/>
                <w:szCs w:val="18"/>
              </w:rPr>
              <w:t>30</w:t>
            </w:r>
            <w:r w:rsidRPr="00F614F9">
              <w:rPr>
                <w:rFonts w:ascii="Times New Roman" w:eastAsia="宋体" w:hAnsi="Times New Roman" w:cs="Times New Roman"/>
                <w:sz w:val="18"/>
                <w:szCs w:val="18"/>
              </w:rPr>
              <w:t>万头</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年生猪屠宰深加工项目</w:t>
            </w:r>
          </w:p>
        </w:tc>
        <w:tc>
          <w:tcPr>
            <w:tcW w:w="2693" w:type="dxa"/>
            <w:tcBorders>
              <w:top w:val="nil"/>
              <w:left w:val="nil"/>
              <w:bottom w:val="single" w:sz="8" w:space="0" w:color="auto"/>
              <w:right w:val="single" w:sz="8" w:space="0" w:color="auto"/>
            </w:tcBorders>
            <w:tcMar>
              <w:top w:w="10" w:type="dxa"/>
              <w:left w:w="10" w:type="dxa"/>
              <w:bottom w:w="10" w:type="dxa"/>
              <w:right w:w="10" w:type="dxa"/>
            </w:tcMar>
            <w:vAlign w:val="center"/>
            <w:hideMark/>
          </w:tcPr>
          <w:p w14:paraId="1DE2DF56" w14:textId="77777777" w:rsidR="00872599" w:rsidRPr="00F614F9" w:rsidRDefault="00000000" w:rsidP="002B7559">
            <w:pPr>
              <w:jc w:val="center"/>
              <w:rPr>
                <w:rFonts w:ascii="Times New Roman" w:eastAsia="宋体" w:hAnsi="Times New Roman" w:cs="Times New Roman"/>
                <w:sz w:val="18"/>
                <w:szCs w:val="18"/>
              </w:rPr>
            </w:pPr>
            <w:r w:rsidRPr="00F614F9">
              <w:rPr>
                <w:rFonts w:ascii="Times New Roman" w:eastAsia="宋体" w:hAnsi="Times New Roman" w:cs="Times New Roman"/>
                <w:sz w:val="18"/>
                <w:szCs w:val="18"/>
              </w:rPr>
              <w:t>91371500685918964W001Z</w:t>
            </w:r>
          </w:p>
        </w:tc>
        <w:tc>
          <w:tcPr>
            <w:tcW w:w="226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14:paraId="239EA63C" w14:textId="77777777" w:rsidR="00872599" w:rsidRPr="00F614F9" w:rsidRDefault="00000000" w:rsidP="002B7559">
            <w:pPr>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2024</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01</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30</w:t>
            </w:r>
            <w:r w:rsidRPr="00F614F9">
              <w:rPr>
                <w:rFonts w:ascii="Times New Roman" w:eastAsia="宋体" w:hAnsi="Times New Roman" w:cs="Times New Roman"/>
                <w:sz w:val="18"/>
                <w:szCs w:val="18"/>
              </w:rPr>
              <w:t>日</w:t>
            </w:r>
          </w:p>
        </w:tc>
        <w:tc>
          <w:tcPr>
            <w:tcW w:w="198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14:paraId="185C03EC" w14:textId="77777777" w:rsidR="00872599" w:rsidRPr="00F614F9" w:rsidRDefault="00000000" w:rsidP="002B7559">
            <w:pPr>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2024</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01</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30</w:t>
            </w:r>
            <w:r w:rsidRPr="00F614F9">
              <w:rPr>
                <w:rFonts w:ascii="Times New Roman" w:eastAsia="宋体" w:hAnsi="Times New Roman" w:cs="Times New Roman"/>
                <w:sz w:val="18"/>
                <w:szCs w:val="18"/>
              </w:rPr>
              <w:t>日至</w:t>
            </w:r>
            <w:r w:rsidRPr="00F614F9">
              <w:rPr>
                <w:rFonts w:ascii="Times New Roman" w:eastAsia="宋体" w:hAnsi="Times New Roman" w:cs="Times New Roman"/>
                <w:sz w:val="18"/>
                <w:szCs w:val="18"/>
              </w:rPr>
              <w:t>2029</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01</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29</w:t>
            </w:r>
            <w:r w:rsidRPr="00F614F9">
              <w:rPr>
                <w:rFonts w:ascii="Times New Roman" w:eastAsia="宋体" w:hAnsi="Times New Roman" w:cs="Times New Roman"/>
                <w:sz w:val="18"/>
                <w:szCs w:val="18"/>
              </w:rPr>
              <w:t>日</w:t>
            </w:r>
          </w:p>
        </w:tc>
      </w:tr>
      <w:tr w:rsidR="00872599" w:rsidRPr="00F614F9" w14:paraId="440E9961" w14:textId="77777777" w:rsidTr="002B7559">
        <w:trPr>
          <w:divId w:val="267854562"/>
          <w:trHeight w:val="20"/>
        </w:trPr>
        <w:tc>
          <w:tcPr>
            <w:tcW w:w="2704"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14:paraId="69CE4E0E" w14:textId="77777777" w:rsidR="00872599" w:rsidRPr="00F614F9" w:rsidRDefault="00000000" w:rsidP="002B7559">
            <w:pPr>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蓬莱富龙肉食品有限公司</w:t>
            </w:r>
          </w:p>
          <w:p w14:paraId="2A95548A" w14:textId="77777777" w:rsidR="00872599" w:rsidRPr="00F614F9" w:rsidRDefault="00000000" w:rsidP="002B7559">
            <w:pPr>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16</w:t>
            </w:r>
            <w:r w:rsidRPr="00F614F9">
              <w:rPr>
                <w:rFonts w:ascii="Times New Roman" w:eastAsia="宋体" w:hAnsi="Times New Roman" w:cs="Times New Roman"/>
                <w:sz w:val="18"/>
                <w:szCs w:val="18"/>
              </w:rPr>
              <w:t>万头</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年生猪屠宰项目</w:t>
            </w:r>
          </w:p>
        </w:tc>
        <w:tc>
          <w:tcPr>
            <w:tcW w:w="2693" w:type="dxa"/>
            <w:tcBorders>
              <w:top w:val="nil"/>
              <w:left w:val="nil"/>
              <w:bottom w:val="single" w:sz="8" w:space="0" w:color="auto"/>
              <w:right w:val="single" w:sz="8" w:space="0" w:color="auto"/>
            </w:tcBorders>
            <w:tcMar>
              <w:top w:w="10" w:type="dxa"/>
              <w:left w:w="10" w:type="dxa"/>
              <w:bottom w:w="10" w:type="dxa"/>
              <w:right w:w="10" w:type="dxa"/>
            </w:tcMar>
            <w:vAlign w:val="center"/>
            <w:hideMark/>
          </w:tcPr>
          <w:p w14:paraId="3DD909B9" w14:textId="77777777" w:rsidR="00872599" w:rsidRPr="00F614F9" w:rsidRDefault="00000000" w:rsidP="002B7559">
            <w:pPr>
              <w:jc w:val="center"/>
              <w:rPr>
                <w:rFonts w:ascii="Times New Roman" w:eastAsia="宋体" w:hAnsi="Times New Roman" w:cs="Times New Roman"/>
                <w:sz w:val="18"/>
                <w:szCs w:val="18"/>
              </w:rPr>
            </w:pPr>
            <w:r w:rsidRPr="00F614F9">
              <w:rPr>
                <w:rFonts w:ascii="Times New Roman" w:eastAsia="宋体" w:hAnsi="Times New Roman" w:cs="Times New Roman"/>
                <w:sz w:val="18"/>
                <w:szCs w:val="18"/>
              </w:rPr>
              <w:t>913706843445858902001Y</w:t>
            </w:r>
          </w:p>
        </w:tc>
        <w:tc>
          <w:tcPr>
            <w:tcW w:w="226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14:paraId="4A56E502" w14:textId="77777777" w:rsidR="00872599" w:rsidRPr="00F614F9" w:rsidRDefault="00000000" w:rsidP="002B7559">
            <w:pPr>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2021</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12</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31</w:t>
            </w:r>
            <w:r w:rsidRPr="00F614F9">
              <w:rPr>
                <w:rFonts w:ascii="Times New Roman" w:eastAsia="宋体" w:hAnsi="Times New Roman" w:cs="Times New Roman"/>
                <w:sz w:val="18"/>
                <w:szCs w:val="18"/>
              </w:rPr>
              <w:t>日</w:t>
            </w:r>
          </w:p>
        </w:tc>
        <w:tc>
          <w:tcPr>
            <w:tcW w:w="198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14:paraId="029C5FA9" w14:textId="77777777" w:rsidR="00872599" w:rsidRPr="00F614F9" w:rsidRDefault="00000000" w:rsidP="002B7559">
            <w:pPr>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2022</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01</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01</w:t>
            </w:r>
            <w:r w:rsidRPr="00F614F9">
              <w:rPr>
                <w:rFonts w:ascii="Times New Roman" w:eastAsia="宋体" w:hAnsi="Times New Roman" w:cs="Times New Roman"/>
                <w:sz w:val="18"/>
                <w:szCs w:val="18"/>
              </w:rPr>
              <w:t>日</w:t>
            </w:r>
            <w:r w:rsidRPr="00F614F9">
              <w:rPr>
                <w:rFonts w:ascii="Times New Roman" w:eastAsia="宋体" w:hAnsi="Times New Roman" w:cs="Times New Roman"/>
                <w:sz w:val="18"/>
                <w:szCs w:val="18"/>
              </w:rPr>
              <w:t xml:space="preserve"> </w:t>
            </w:r>
            <w:r w:rsidRPr="00F614F9">
              <w:rPr>
                <w:rFonts w:ascii="Times New Roman" w:eastAsia="宋体" w:hAnsi="Times New Roman" w:cs="Times New Roman"/>
                <w:sz w:val="18"/>
                <w:szCs w:val="18"/>
              </w:rPr>
              <w:t>至</w:t>
            </w:r>
            <w:r w:rsidRPr="00F614F9">
              <w:rPr>
                <w:rFonts w:ascii="Times New Roman" w:eastAsia="宋体" w:hAnsi="Times New Roman" w:cs="Times New Roman"/>
                <w:sz w:val="18"/>
                <w:szCs w:val="18"/>
              </w:rPr>
              <w:t>2026</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12</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31</w:t>
            </w:r>
            <w:r w:rsidRPr="00F614F9">
              <w:rPr>
                <w:rFonts w:ascii="Times New Roman" w:eastAsia="宋体" w:hAnsi="Times New Roman" w:cs="Times New Roman"/>
                <w:sz w:val="18"/>
                <w:szCs w:val="18"/>
              </w:rPr>
              <w:t>日</w:t>
            </w:r>
          </w:p>
        </w:tc>
      </w:tr>
      <w:tr w:rsidR="00872599" w:rsidRPr="00F614F9" w14:paraId="4E1E0E3A" w14:textId="77777777" w:rsidTr="002B7559">
        <w:trPr>
          <w:divId w:val="267854562"/>
          <w:trHeight w:val="20"/>
        </w:trPr>
        <w:tc>
          <w:tcPr>
            <w:tcW w:w="2704"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14:paraId="7F1F06E9" w14:textId="77777777" w:rsidR="00872599" w:rsidRPr="00F614F9" w:rsidRDefault="00000000" w:rsidP="002B7559">
            <w:pPr>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黑龙江龙大肉食品有限公司</w:t>
            </w:r>
          </w:p>
        </w:tc>
        <w:tc>
          <w:tcPr>
            <w:tcW w:w="2693" w:type="dxa"/>
            <w:tcBorders>
              <w:top w:val="nil"/>
              <w:left w:val="nil"/>
              <w:bottom w:val="single" w:sz="8" w:space="0" w:color="auto"/>
              <w:right w:val="single" w:sz="8" w:space="0" w:color="auto"/>
            </w:tcBorders>
            <w:tcMar>
              <w:top w:w="10" w:type="dxa"/>
              <w:left w:w="10" w:type="dxa"/>
              <w:bottom w:w="10" w:type="dxa"/>
              <w:right w:w="10" w:type="dxa"/>
            </w:tcMar>
            <w:vAlign w:val="center"/>
            <w:hideMark/>
          </w:tcPr>
          <w:p w14:paraId="64592655" w14:textId="77777777" w:rsidR="00872599" w:rsidRPr="00F614F9" w:rsidRDefault="00000000" w:rsidP="002B7559">
            <w:pPr>
              <w:jc w:val="center"/>
              <w:rPr>
                <w:rFonts w:ascii="Times New Roman" w:eastAsia="宋体" w:hAnsi="Times New Roman" w:cs="Times New Roman"/>
                <w:sz w:val="18"/>
                <w:szCs w:val="18"/>
              </w:rPr>
            </w:pPr>
            <w:r w:rsidRPr="00F614F9">
              <w:rPr>
                <w:rFonts w:ascii="Times New Roman" w:eastAsia="宋体" w:hAnsi="Times New Roman" w:cs="Times New Roman"/>
                <w:sz w:val="18"/>
                <w:szCs w:val="18"/>
              </w:rPr>
              <w:t>91231281MA1CD7KR8C001R</w:t>
            </w:r>
          </w:p>
        </w:tc>
        <w:tc>
          <w:tcPr>
            <w:tcW w:w="226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14:paraId="4B20774D" w14:textId="77777777" w:rsidR="00872599" w:rsidRPr="00F614F9" w:rsidRDefault="00000000" w:rsidP="002B7559">
            <w:pPr>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2022</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4</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2</w:t>
            </w:r>
            <w:r w:rsidRPr="00F614F9">
              <w:rPr>
                <w:rFonts w:ascii="Times New Roman" w:eastAsia="宋体" w:hAnsi="Times New Roman" w:cs="Times New Roman"/>
                <w:sz w:val="18"/>
                <w:szCs w:val="18"/>
              </w:rPr>
              <w:t>日</w:t>
            </w:r>
          </w:p>
        </w:tc>
        <w:tc>
          <w:tcPr>
            <w:tcW w:w="198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14:paraId="378D9872" w14:textId="77777777" w:rsidR="00872599" w:rsidRPr="00F614F9" w:rsidRDefault="00000000" w:rsidP="002B7559">
            <w:pPr>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2022</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4</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2</w:t>
            </w:r>
            <w:r w:rsidRPr="00F614F9">
              <w:rPr>
                <w:rFonts w:ascii="Times New Roman" w:eastAsia="宋体" w:hAnsi="Times New Roman" w:cs="Times New Roman"/>
                <w:sz w:val="18"/>
                <w:szCs w:val="18"/>
              </w:rPr>
              <w:t>日</w:t>
            </w:r>
            <w:r w:rsidRPr="00F614F9">
              <w:rPr>
                <w:rFonts w:ascii="Times New Roman" w:eastAsia="宋体" w:hAnsi="Times New Roman" w:cs="Times New Roman"/>
                <w:sz w:val="18"/>
                <w:szCs w:val="18"/>
              </w:rPr>
              <w:t>2027</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4</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1</w:t>
            </w:r>
            <w:r w:rsidRPr="00F614F9">
              <w:rPr>
                <w:rFonts w:ascii="Times New Roman" w:eastAsia="宋体" w:hAnsi="Times New Roman" w:cs="Times New Roman"/>
                <w:sz w:val="18"/>
                <w:szCs w:val="18"/>
              </w:rPr>
              <w:t>日</w:t>
            </w:r>
          </w:p>
        </w:tc>
      </w:tr>
      <w:tr w:rsidR="00872599" w:rsidRPr="00F614F9" w14:paraId="7C232751" w14:textId="77777777" w:rsidTr="002B7559">
        <w:trPr>
          <w:divId w:val="267854562"/>
          <w:trHeight w:val="20"/>
        </w:trPr>
        <w:tc>
          <w:tcPr>
            <w:tcW w:w="2704"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14:paraId="7214A57A" w14:textId="77777777" w:rsidR="00872599" w:rsidRPr="00F614F9" w:rsidRDefault="00000000" w:rsidP="002B7559">
            <w:pPr>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巴中龙大肉食品有限公司</w:t>
            </w:r>
          </w:p>
        </w:tc>
        <w:tc>
          <w:tcPr>
            <w:tcW w:w="2693" w:type="dxa"/>
            <w:tcBorders>
              <w:top w:val="nil"/>
              <w:left w:val="nil"/>
              <w:bottom w:val="single" w:sz="8" w:space="0" w:color="auto"/>
              <w:right w:val="single" w:sz="8" w:space="0" w:color="auto"/>
            </w:tcBorders>
            <w:tcMar>
              <w:top w:w="10" w:type="dxa"/>
              <w:left w:w="10" w:type="dxa"/>
              <w:bottom w:w="10" w:type="dxa"/>
              <w:right w:w="10" w:type="dxa"/>
            </w:tcMar>
            <w:vAlign w:val="center"/>
            <w:hideMark/>
          </w:tcPr>
          <w:p w14:paraId="1D1D346E" w14:textId="77777777" w:rsidR="00872599" w:rsidRPr="00F614F9" w:rsidRDefault="00000000" w:rsidP="002B7559">
            <w:pPr>
              <w:jc w:val="center"/>
              <w:rPr>
                <w:rFonts w:ascii="Times New Roman" w:eastAsia="宋体" w:hAnsi="Times New Roman" w:cs="Times New Roman"/>
                <w:sz w:val="18"/>
                <w:szCs w:val="18"/>
              </w:rPr>
            </w:pPr>
            <w:r w:rsidRPr="00F614F9">
              <w:rPr>
                <w:rFonts w:ascii="Times New Roman" w:eastAsia="宋体" w:hAnsi="Times New Roman" w:cs="Times New Roman"/>
                <w:sz w:val="18"/>
                <w:szCs w:val="18"/>
              </w:rPr>
              <w:t>91511903MA7FCEQ45J001V</w:t>
            </w:r>
          </w:p>
        </w:tc>
        <w:tc>
          <w:tcPr>
            <w:tcW w:w="226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14:paraId="04712439" w14:textId="77777777" w:rsidR="00872599" w:rsidRPr="00F614F9" w:rsidRDefault="00000000" w:rsidP="002B7559">
            <w:pPr>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2023</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10</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17</w:t>
            </w:r>
            <w:r w:rsidRPr="00F614F9">
              <w:rPr>
                <w:rFonts w:ascii="Times New Roman" w:eastAsia="宋体" w:hAnsi="Times New Roman" w:cs="Times New Roman"/>
                <w:sz w:val="18"/>
                <w:szCs w:val="18"/>
              </w:rPr>
              <w:t>日</w:t>
            </w:r>
          </w:p>
        </w:tc>
        <w:tc>
          <w:tcPr>
            <w:tcW w:w="198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14:paraId="03876465" w14:textId="77777777" w:rsidR="00872599" w:rsidRPr="00F614F9" w:rsidRDefault="00000000" w:rsidP="002B7559">
            <w:pPr>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2023</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10</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17</w:t>
            </w:r>
            <w:r w:rsidRPr="00F614F9">
              <w:rPr>
                <w:rFonts w:ascii="Times New Roman" w:eastAsia="宋体" w:hAnsi="Times New Roman" w:cs="Times New Roman"/>
                <w:sz w:val="18"/>
                <w:szCs w:val="18"/>
              </w:rPr>
              <w:t>日至</w:t>
            </w:r>
            <w:r w:rsidRPr="00F614F9">
              <w:rPr>
                <w:rFonts w:ascii="Times New Roman" w:eastAsia="宋体" w:hAnsi="Times New Roman" w:cs="Times New Roman"/>
                <w:sz w:val="18"/>
                <w:szCs w:val="18"/>
              </w:rPr>
              <w:t>2028</w:t>
            </w:r>
            <w:r w:rsidRPr="00F614F9">
              <w:rPr>
                <w:rFonts w:ascii="Times New Roman" w:eastAsia="宋体" w:hAnsi="Times New Roman" w:cs="Times New Roman"/>
                <w:sz w:val="18"/>
                <w:szCs w:val="18"/>
              </w:rPr>
              <w:t>年</w:t>
            </w:r>
            <w:r w:rsidRPr="00F614F9">
              <w:rPr>
                <w:rFonts w:ascii="Times New Roman" w:eastAsia="宋体" w:hAnsi="Times New Roman" w:cs="Times New Roman"/>
                <w:sz w:val="18"/>
                <w:szCs w:val="18"/>
              </w:rPr>
              <w:t>10</w:t>
            </w:r>
            <w:r w:rsidRPr="00F614F9">
              <w:rPr>
                <w:rFonts w:ascii="Times New Roman" w:eastAsia="宋体" w:hAnsi="Times New Roman" w:cs="Times New Roman"/>
                <w:sz w:val="18"/>
                <w:szCs w:val="18"/>
              </w:rPr>
              <w:t>月</w:t>
            </w:r>
            <w:r w:rsidRPr="00F614F9">
              <w:rPr>
                <w:rFonts w:ascii="Times New Roman" w:eastAsia="宋体" w:hAnsi="Times New Roman" w:cs="Times New Roman"/>
                <w:sz w:val="18"/>
                <w:szCs w:val="18"/>
              </w:rPr>
              <w:t>16</w:t>
            </w:r>
            <w:r w:rsidRPr="00F614F9">
              <w:rPr>
                <w:rFonts w:ascii="Times New Roman" w:eastAsia="宋体" w:hAnsi="Times New Roman" w:cs="Times New Roman"/>
                <w:sz w:val="18"/>
                <w:szCs w:val="18"/>
              </w:rPr>
              <w:t>日</w:t>
            </w:r>
          </w:p>
        </w:tc>
      </w:tr>
    </w:tbl>
    <w:p w14:paraId="6BA84A34" w14:textId="77777777" w:rsidR="00872599" w:rsidRPr="00F614F9" w:rsidRDefault="00872599">
      <w:pPr>
        <w:divId w:val="267854562"/>
        <w:rPr>
          <w:rFonts w:ascii="Times New Roman" w:hAnsi="Times New Roman"/>
        </w:rPr>
      </w:pPr>
    </w:p>
    <w:p w14:paraId="3233AFC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行业排放标准及生产经营活动中涉及的污染物排放的具体情况</w:t>
      </w:r>
    </w:p>
    <w:tbl>
      <w:tblPr>
        <w:tblW w:w="9690" w:type="dxa"/>
        <w:tblInd w:w="5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928"/>
        <w:gridCol w:w="877"/>
        <w:gridCol w:w="877"/>
        <w:gridCol w:w="1004"/>
        <w:gridCol w:w="709"/>
        <w:gridCol w:w="708"/>
        <w:gridCol w:w="851"/>
        <w:gridCol w:w="1108"/>
        <w:gridCol w:w="876"/>
        <w:gridCol w:w="1134"/>
        <w:gridCol w:w="618"/>
      </w:tblGrid>
      <w:tr w:rsidR="001D26E7" w:rsidRPr="00F614F9" w14:paraId="66AB9DE3" w14:textId="77777777" w:rsidTr="00084E30">
        <w:trPr>
          <w:trHeight w:val="240"/>
        </w:trPr>
        <w:tc>
          <w:tcPr>
            <w:tcW w:w="928" w:type="dxa"/>
            <w:tcBorders>
              <w:top w:val="single" w:sz="2" w:space="0" w:color="auto"/>
              <w:left w:val="single" w:sz="2" w:space="0" w:color="auto"/>
              <w:bottom w:val="single" w:sz="2" w:space="0" w:color="auto"/>
              <w:right w:val="single" w:sz="2" w:space="0" w:color="auto"/>
            </w:tcBorders>
            <w:shd w:val="clear" w:color="auto" w:fill="D3D3D3"/>
            <w:vAlign w:val="center"/>
          </w:tcPr>
          <w:p w14:paraId="03EBBED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公司或子公司名称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0603F0A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主要污染物及特征污染物的种类</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60340E4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主要污染物及特征污染物的名称</w:t>
            </w:r>
          </w:p>
        </w:tc>
        <w:tc>
          <w:tcPr>
            <w:tcW w:w="1004" w:type="dxa"/>
            <w:tcBorders>
              <w:top w:val="single" w:sz="2" w:space="0" w:color="auto"/>
              <w:left w:val="single" w:sz="2" w:space="0" w:color="auto"/>
              <w:bottom w:val="single" w:sz="2" w:space="0" w:color="auto"/>
              <w:right w:val="single" w:sz="2" w:space="0" w:color="auto"/>
            </w:tcBorders>
            <w:shd w:val="clear" w:color="auto" w:fill="D3D3D3"/>
            <w:vAlign w:val="center"/>
          </w:tcPr>
          <w:p w14:paraId="4813E0C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排放方式</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3DA3143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排放口数量</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344BB80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排放口分布情况</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57E0D9C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排放浓度</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强度</w:t>
            </w:r>
          </w:p>
        </w:tc>
        <w:tc>
          <w:tcPr>
            <w:tcW w:w="1108" w:type="dxa"/>
            <w:tcBorders>
              <w:top w:val="single" w:sz="2" w:space="0" w:color="auto"/>
              <w:left w:val="single" w:sz="2" w:space="0" w:color="auto"/>
              <w:bottom w:val="single" w:sz="2" w:space="0" w:color="auto"/>
              <w:right w:val="single" w:sz="2" w:space="0" w:color="auto"/>
            </w:tcBorders>
            <w:shd w:val="clear" w:color="auto" w:fill="D3D3D3"/>
            <w:vAlign w:val="center"/>
          </w:tcPr>
          <w:p w14:paraId="680EDE2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执行的污染物排放标准</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D6DC04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排放总量</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677626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核定的排放总量</w:t>
            </w:r>
          </w:p>
        </w:tc>
        <w:tc>
          <w:tcPr>
            <w:tcW w:w="618" w:type="dxa"/>
            <w:tcBorders>
              <w:top w:val="single" w:sz="2" w:space="0" w:color="auto"/>
              <w:left w:val="single" w:sz="2" w:space="0" w:color="auto"/>
              <w:bottom w:val="single" w:sz="2" w:space="0" w:color="auto"/>
              <w:right w:val="single" w:sz="2" w:space="0" w:color="auto"/>
            </w:tcBorders>
            <w:shd w:val="clear" w:color="auto" w:fill="D3D3D3"/>
            <w:vAlign w:val="center"/>
          </w:tcPr>
          <w:p w14:paraId="7D05E83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超标排放情况</w:t>
            </w:r>
          </w:p>
        </w:tc>
      </w:tr>
      <w:tr w:rsidR="001D26E7" w:rsidRPr="00F614F9" w14:paraId="0972988E" w14:textId="77777777" w:rsidTr="00084E30">
        <w:trPr>
          <w:trHeight w:val="240"/>
        </w:trPr>
        <w:tc>
          <w:tcPr>
            <w:tcW w:w="928" w:type="dxa"/>
            <w:tcBorders>
              <w:top w:val="single" w:sz="2" w:space="0" w:color="auto"/>
              <w:left w:val="single" w:sz="2" w:space="0" w:color="auto"/>
              <w:bottom w:val="single" w:sz="2" w:space="0" w:color="auto"/>
              <w:right w:val="single" w:sz="2" w:space="0" w:color="auto"/>
            </w:tcBorders>
            <w:vAlign w:val="center"/>
          </w:tcPr>
          <w:p w14:paraId="60D507F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山东龙大美食股份有限公司</w:t>
            </w:r>
          </w:p>
        </w:tc>
        <w:tc>
          <w:tcPr>
            <w:tcW w:w="877" w:type="dxa"/>
            <w:tcBorders>
              <w:top w:val="single" w:sz="2" w:space="0" w:color="auto"/>
              <w:left w:val="single" w:sz="2" w:space="0" w:color="auto"/>
              <w:bottom w:val="single" w:sz="2" w:space="0" w:color="auto"/>
              <w:right w:val="single" w:sz="2" w:space="0" w:color="auto"/>
            </w:tcBorders>
            <w:vAlign w:val="center"/>
          </w:tcPr>
          <w:p w14:paraId="679FB49F" w14:textId="77777777" w:rsidR="001D26E7" w:rsidRPr="00F614F9" w:rsidRDefault="00000000">
            <w:pPr>
              <w:spacing w:line="240" w:lineRule="exact"/>
              <w:rPr>
                <w:rFonts w:ascii="Times New Roman" w:eastAsia="宋体" w:hAnsi="Times New Roman" w:cs="宋体"/>
                <w:sz w:val="18"/>
                <w:szCs w:val="18"/>
              </w:rPr>
            </w:pPr>
            <w:proofErr w:type="spellStart"/>
            <w:r w:rsidRPr="00F614F9">
              <w:rPr>
                <w:rFonts w:ascii="Times New Roman" w:eastAsia="宋体" w:hAnsi="Times New Roman" w:cs="宋体"/>
                <w:sz w:val="18"/>
                <w:szCs w:val="18"/>
              </w:rPr>
              <w:t>CODcr</w:t>
            </w:r>
            <w:proofErr w:type="spellEnd"/>
          </w:p>
          <w:p w14:paraId="74E1177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NH3-N</w:t>
            </w:r>
          </w:p>
        </w:tc>
        <w:tc>
          <w:tcPr>
            <w:tcW w:w="877" w:type="dxa"/>
            <w:tcBorders>
              <w:top w:val="single" w:sz="2" w:space="0" w:color="auto"/>
              <w:left w:val="single" w:sz="2" w:space="0" w:color="auto"/>
              <w:bottom w:val="single" w:sz="2" w:space="0" w:color="auto"/>
              <w:right w:val="single" w:sz="2" w:space="0" w:color="auto"/>
            </w:tcBorders>
            <w:vAlign w:val="center"/>
          </w:tcPr>
          <w:p w14:paraId="7A4D488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化学需氧量、氨氮</w:t>
            </w:r>
          </w:p>
        </w:tc>
        <w:tc>
          <w:tcPr>
            <w:tcW w:w="1004" w:type="dxa"/>
            <w:tcBorders>
              <w:top w:val="single" w:sz="2" w:space="0" w:color="auto"/>
              <w:left w:val="single" w:sz="2" w:space="0" w:color="auto"/>
              <w:bottom w:val="single" w:sz="2" w:space="0" w:color="auto"/>
              <w:right w:val="single" w:sz="2" w:space="0" w:color="auto"/>
            </w:tcBorders>
            <w:vAlign w:val="center"/>
          </w:tcPr>
          <w:p w14:paraId="01E4544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间接排放</w:t>
            </w:r>
          </w:p>
        </w:tc>
        <w:tc>
          <w:tcPr>
            <w:tcW w:w="709" w:type="dxa"/>
            <w:tcBorders>
              <w:top w:val="single" w:sz="2" w:space="0" w:color="auto"/>
              <w:left w:val="single" w:sz="2" w:space="0" w:color="auto"/>
              <w:bottom w:val="single" w:sz="2" w:space="0" w:color="auto"/>
              <w:right w:val="single" w:sz="2" w:space="0" w:color="auto"/>
            </w:tcBorders>
            <w:vAlign w:val="center"/>
          </w:tcPr>
          <w:p w14:paraId="2F815380"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708" w:type="dxa"/>
            <w:tcBorders>
              <w:top w:val="single" w:sz="2" w:space="0" w:color="auto"/>
              <w:left w:val="single" w:sz="2" w:space="0" w:color="auto"/>
              <w:bottom w:val="single" w:sz="2" w:space="0" w:color="auto"/>
              <w:right w:val="single" w:sz="2" w:space="0" w:color="auto"/>
            </w:tcBorders>
            <w:vAlign w:val="center"/>
          </w:tcPr>
          <w:p w14:paraId="0F6D221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总排口位于厂区西南角</w:t>
            </w:r>
          </w:p>
        </w:tc>
        <w:tc>
          <w:tcPr>
            <w:tcW w:w="851" w:type="dxa"/>
            <w:tcBorders>
              <w:top w:val="single" w:sz="2" w:space="0" w:color="auto"/>
              <w:left w:val="single" w:sz="2" w:space="0" w:color="auto"/>
              <w:bottom w:val="single" w:sz="2" w:space="0" w:color="auto"/>
              <w:right w:val="single" w:sz="2" w:space="0" w:color="auto"/>
            </w:tcBorders>
            <w:vAlign w:val="center"/>
          </w:tcPr>
          <w:p w14:paraId="68C13C2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COD</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27.7mg/L</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 xml:space="preserve">NH3-N </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5.39mg/L</w:t>
            </w:r>
          </w:p>
        </w:tc>
        <w:tc>
          <w:tcPr>
            <w:tcW w:w="1108" w:type="dxa"/>
            <w:tcBorders>
              <w:top w:val="single" w:sz="2" w:space="0" w:color="auto"/>
              <w:left w:val="single" w:sz="2" w:space="0" w:color="auto"/>
              <w:bottom w:val="single" w:sz="2" w:space="0" w:color="auto"/>
              <w:right w:val="single" w:sz="2" w:space="0" w:color="auto"/>
            </w:tcBorders>
            <w:vAlign w:val="center"/>
          </w:tcPr>
          <w:p w14:paraId="582E34D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肉类加工工业水污染物排放标准</w:t>
            </w:r>
            <w:r w:rsidRPr="00F614F9">
              <w:rPr>
                <w:rFonts w:ascii="Times New Roman" w:eastAsia="宋体" w:hAnsi="Times New Roman" w:cs="宋体"/>
                <w:sz w:val="18"/>
                <w:szCs w:val="18"/>
              </w:rPr>
              <w:t>GB 13457-92</w:t>
            </w:r>
            <w:r w:rsidRPr="00F614F9">
              <w:rPr>
                <w:rFonts w:ascii="Times New Roman" w:eastAsia="宋体" w:hAnsi="Times New Roman" w:cs="宋体"/>
                <w:sz w:val="18"/>
                <w:szCs w:val="18"/>
              </w:rPr>
              <w:t>，污水排入城镇下水道水质标准</w:t>
            </w:r>
            <w:r w:rsidRPr="00F614F9">
              <w:rPr>
                <w:rFonts w:ascii="Times New Roman" w:eastAsia="宋体" w:hAnsi="Times New Roman" w:cs="宋体"/>
                <w:sz w:val="18"/>
                <w:szCs w:val="18"/>
              </w:rPr>
              <w:t>GB/T 31962-2015</w:t>
            </w:r>
            <w:r w:rsidRPr="00F614F9">
              <w:rPr>
                <w:rFonts w:ascii="Times New Roman" w:eastAsia="宋体" w:hAnsi="Times New Roman" w:cs="宋体"/>
                <w:sz w:val="18"/>
                <w:szCs w:val="18"/>
              </w:rPr>
              <w:t>中</w:t>
            </w:r>
            <w:r w:rsidRPr="00F614F9">
              <w:rPr>
                <w:rFonts w:ascii="Times New Roman" w:eastAsia="宋体" w:hAnsi="Times New Roman" w:cs="宋体"/>
                <w:sz w:val="18"/>
                <w:szCs w:val="18"/>
              </w:rPr>
              <w:t>B</w:t>
            </w:r>
            <w:r w:rsidRPr="00F614F9">
              <w:rPr>
                <w:rFonts w:ascii="Times New Roman" w:eastAsia="宋体" w:hAnsi="Times New Roman" w:cs="宋体"/>
                <w:sz w:val="18"/>
                <w:szCs w:val="18"/>
              </w:rPr>
              <w:t>级标准</w:t>
            </w:r>
          </w:p>
        </w:tc>
        <w:tc>
          <w:tcPr>
            <w:tcW w:w="876" w:type="dxa"/>
            <w:tcBorders>
              <w:top w:val="single" w:sz="2" w:space="0" w:color="auto"/>
              <w:left w:val="single" w:sz="2" w:space="0" w:color="auto"/>
              <w:bottom w:val="single" w:sz="2" w:space="0" w:color="auto"/>
              <w:right w:val="single" w:sz="2" w:space="0" w:color="auto"/>
            </w:tcBorders>
            <w:vAlign w:val="center"/>
          </w:tcPr>
          <w:p w14:paraId="7FADA8D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COD</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26.4</w:t>
            </w:r>
            <w:r w:rsidRPr="00F614F9">
              <w:rPr>
                <w:rFonts w:ascii="Times New Roman" w:eastAsia="宋体" w:hAnsi="Times New Roman" w:cs="宋体"/>
                <w:sz w:val="18"/>
                <w:szCs w:val="18"/>
              </w:rPr>
              <w:t>吨、</w:t>
            </w:r>
            <w:r w:rsidRPr="00F614F9">
              <w:rPr>
                <w:rFonts w:ascii="Times New Roman" w:eastAsia="宋体" w:hAnsi="Times New Roman" w:cs="宋体"/>
                <w:sz w:val="18"/>
                <w:szCs w:val="18"/>
              </w:rPr>
              <w:t xml:space="preserve">NH3-N </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4.78</w:t>
            </w:r>
            <w:r w:rsidRPr="00F614F9">
              <w:rPr>
                <w:rFonts w:ascii="Times New Roman" w:eastAsia="宋体" w:hAnsi="Times New Roman" w:cs="宋体"/>
                <w:sz w:val="18"/>
                <w:szCs w:val="18"/>
              </w:rPr>
              <w:t>吨</w:t>
            </w:r>
          </w:p>
        </w:tc>
        <w:tc>
          <w:tcPr>
            <w:tcW w:w="1134" w:type="dxa"/>
            <w:tcBorders>
              <w:top w:val="single" w:sz="2" w:space="0" w:color="auto"/>
              <w:left w:val="single" w:sz="2" w:space="0" w:color="auto"/>
              <w:bottom w:val="single" w:sz="2" w:space="0" w:color="auto"/>
              <w:right w:val="single" w:sz="2" w:space="0" w:color="auto"/>
            </w:tcBorders>
            <w:vAlign w:val="center"/>
          </w:tcPr>
          <w:p w14:paraId="44333BA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COD</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133.12</w:t>
            </w:r>
            <w:r w:rsidRPr="00F614F9">
              <w:rPr>
                <w:rFonts w:ascii="Times New Roman" w:eastAsia="宋体" w:hAnsi="Times New Roman" w:cs="宋体"/>
                <w:sz w:val="18"/>
                <w:szCs w:val="18"/>
              </w:rPr>
              <w:t>吨、</w:t>
            </w:r>
            <w:r w:rsidRPr="00F614F9">
              <w:rPr>
                <w:rFonts w:ascii="Times New Roman" w:eastAsia="宋体" w:hAnsi="Times New Roman" w:cs="宋体"/>
                <w:sz w:val="18"/>
                <w:szCs w:val="18"/>
              </w:rPr>
              <w:t xml:space="preserve">NH3-N </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6.58</w:t>
            </w:r>
            <w:r w:rsidRPr="00F614F9">
              <w:rPr>
                <w:rFonts w:ascii="Times New Roman" w:eastAsia="宋体" w:hAnsi="Times New Roman" w:cs="宋体"/>
                <w:sz w:val="18"/>
                <w:szCs w:val="18"/>
              </w:rPr>
              <w:t>吨、总氮：</w:t>
            </w:r>
            <w:r w:rsidRPr="00F614F9">
              <w:rPr>
                <w:rFonts w:ascii="Times New Roman" w:eastAsia="宋体" w:hAnsi="Times New Roman" w:cs="宋体"/>
                <w:sz w:val="18"/>
                <w:szCs w:val="18"/>
              </w:rPr>
              <w:t>70.917</w:t>
            </w:r>
            <w:r w:rsidRPr="00F614F9">
              <w:rPr>
                <w:rFonts w:ascii="Times New Roman" w:eastAsia="宋体" w:hAnsi="Times New Roman" w:cs="宋体"/>
                <w:sz w:val="18"/>
                <w:szCs w:val="18"/>
              </w:rPr>
              <w:t>吨</w:t>
            </w:r>
          </w:p>
        </w:tc>
        <w:tc>
          <w:tcPr>
            <w:tcW w:w="618" w:type="dxa"/>
            <w:tcBorders>
              <w:top w:val="single" w:sz="2" w:space="0" w:color="auto"/>
              <w:left w:val="single" w:sz="2" w:space="0" w:color="auto"/>
              <w:bottom w:val="single" w:sz="2" w:space="0" w:color="auto"/>
              <w:right w:val="single" w:sz="2" w:space="0" w:color="auto"/>
            </w:tcBorders>
            <w:vAlign w:val="center"/>
          </w:tcPr>
          <w:p w14:paraId="7C84B076"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r>
      <w:tr w:rsidR="001D26E7" w:rsidRPr="00F614F9" w14:paraId="5CF389C6" w14:textId="77777777" w:rsidTr="00084E30">
        <w:trPr>
          <w:trHeight w:val="240"/>
        </w:trPr>
        <w:tc>
          <w:tcPr>
            <w:tcW w:w="928" w:type="dxa"/>
            <w:tcBorders>
              <w:top w:val="single" w:sz="2" w:space="0" w:color="auto"/>
              <w:left w:val="single" w:sz="2" w:space="0" w:color="auto"/>
              <w:bottom w:val="single" w:sz="2" w:space="0" w:color="auto"/>
              <w:right w:val="single" w:sz="2" w:space="0" w:color="auto"/>
            </w:tcBorders>
            <w:vAlign w:val="center"/>
          </w:tcPr>
          <w:p w14:paraId="0C53327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潍坊振</w:t>
            </w:r>
            <w:proofErr w:type="gramStart"/>
            <w:r w:rsidRPr="00F614F9">
              <w:rPr>
                <w:rFonts w:ascii="Times New Roman" w:eastAsia="宋体" w:hAnsi="Times New Roman" w:cs="宋体"/>
                <w:sz w:val="18"/>
                <w:szCs w:val="18"/>
              </w:rPr>
              <w:t>祥</w:t>
            </w:r>
            <w:proofErr w:type="gramEnd"/>
            <w:r w:rsidRPr="00F614F9">
              <w:rPr>
                <w:rFonts w:ascii="Times New Roman" w:eastAsia="宋体" w:hAnsi="Times New Roman" w:cs="宋体"/>
                <w:sz w:val="18"/>
                <w:szCs w:val="18"/>
              </w:rPr>
              <w:t>食品有限公司</w:t>
            </w:r>
          </w:p>
        </w:tc>
        <w:tc>
          <w:tcPr>
            <w:tcW w:w="877" w:type="dxa"/>
            <w:tcBorders>
              <w:top w:val="single" w:sz="2" w:space="0" w:color="auto"/>
              <w:left w:val="single" w:sz="2" w:space="0" w:color="auto"/>
              <w:bottom w:val="single" w:sz="2" w:space="0" w:color="auto"/>
              <w:right w:val="single" w:sz="2" w:space="0" w:color="auto"/>
            </w:tcBorders>
            <w:vAlign w:val="center"/>
          </w:tcPr>
          <w:p w14:paraId="6EC3BF84" w14:textId="77777777" w:rsidR="001D26E7" w:rsidRPr="00F614F9" w:rsidRDefault="00000000">
            <w:pPr>
              <w:spacing w:line="240" w:lineRule="exact"/>
              <w:rPr>
                <w:rFonts w:ascii="Times New Roman" w:eastAsia="宋体" w:hAnsi="Times New Roman" w:cs="宋体"/>
                <w:sz w:val="18"/>
                <w:szCs w:val="18"/>
              </w:rPr>
            </w:pPr>
            <w:proofErr w:type="spellStart"/>
            <w:r w:rsidRPr="00F614F9">
              <w:rPr>
                <w:rFonts w:ascii="Times New Roman" w:eastAsia="宋体" w:hAnsi="Times New Roman" w:cs="宋体"/>
                <w:sz w:val="18"/>
                <w:szCs w:val="18"/>
              </w:rPr>
              <w:t>CODcr</w:t>
            </w:r>
            <w:proofErr w:type="spellEnd"/>
          </w:p>
          <w:p w14:paraId="6697254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 xml:space="preserve">NH3-N </w:t>
            </w:r>
          </w:p>
          <w:p w14:paraId="4F7F395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TN</w:t>
            </w:r>
            <w:r w:rsidRPr="00F614F9">
              <w:rPr>
                <w:rFonts w:ascii="Times New Roman" w:eastAsia="宋体" w:hAnsi="Times New Roman" w:cs="宋体"/>
                <w:sz w:val="18"/>
                <w:szCs w:val="18"/>
              </w:rPr>
              <w:t>、</w:t>
            </w:r>
          </w:p>
          <w:p w14:paraId="5EC893A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TP</w:t>
            </w:r>
            <w:r w:rsidRPr="00F614F9">
              <w:rPr>
                <w:rFonts w:ascii="Times New Roman" w:eastAsia="宋体" w:hAnsi="Times New Roman" w:cs="宋体"/>
                <w:sz w:val="18"/>
                <w:szCs w:val="18"/>
              </w:rPr>
              <w:t>、</w:t>
            </w:r>
          </w:p>
        </w:tc>
        <w:tc>
          <w:tcPr>
            <w:tcW w:w="877" w:type="dxa"/>
            <w:tcBorders>
              <w:top w:val="single" w:sz="2" w:space="0" w:color="auto"/>
              <w:left w:val="single" w:sz="2" w:space="0" w:color="auto"/>
              <w:bottom w:val="single" w:sz="2" w:space="0" w:color="auto"/>
              <w:right w:val="single" w:sz="2" w:space="0" w:color="auto"/>
            </w:tcBorders>
            <w:vAlign w:val="center"/>
          </w:tcPr>
          <w:p w14:paraId="4FD64D7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化学需氧量、氨氮、总氮、总磷</w:t>
            </w:r>
          </w:p>
        </w:tc>
        <w:tc>
          <w:tcPr>
            <w:tcW w:w="1004" w:type="dxa"/>
            <w:tcBorders>
              <w:top w:val="single" w:sz="2" w:space="0" w:color="auto"/>
              <w:left w:val="single" w:sz="2" w:space="0" w:color="auto"/>
              <w:bottom w:val="single" w:sz="2" w:space="0" w:color="auto"/>
              <w:right w:val="single" w:sz="2" w:space="0" w:color="auto"/>
            </w:tcBorders>
            <w:vAlign w:val="center"/>
          </w:tcPr>
          <w:p w14:paraId="6B6653C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间接排放</w:t>
            </w:r>
          </w:p>
        </w:tc>
        <w:tc>
          <w:tcPr>
            <w:tcW w:w="709" w:type="dxa"/>
            <w:tcBorders>
              <w:top w:val="single" w:sz="2" w:space="0" w:color="auto"/>
              <w:left w:val="single" w:sz="2" w:space="0" w:color="auto"/>
              <w:bottom w:val="single" w:sz="2" w:space="0" w:color="auto"/>
              <w:right w:val="single" w:sz="2" w:space="0" w:color="auto"/>
            </w:tcBorders>
            <w:vAlign w:val="center"/>
          </w:tcPr>
          <w:p w14:paraId="4FA8BDB4"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708" w:type="dxa"/>
            <w:tcBorders>
              <w:top w:val="single" w:sz="2" w:space="0" w:color="auto"/>
              <w:left w:val="single" w:sz="2" w:space="0" w:color="auto"/>
              <w:bottom w:val="single" w:sz="2" w:space="0" w:color="auto"/>
              <w:right w:val="single" w:sz="2" w:space="0" w:color="auto"/>
            </w:tcBorders>
            <w:vAlign w:val="center"/>
          </w:tcPr>
          <w:p w14:paraId="1782761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总排口位于厂区东南角</w:t>
            </w:r>
          </w:p>
        </w:tc>
        <w:tc>
          <w:tcPr>
            <w:tcW w:w="851" w:type="dxa"/>
            <w:tcBorders>
              <w:top w:val="single" w:sz="2" w:space="0" w:color="auto"/>
              <w:left w:val="single" w:sz="2" w:space="0" w:color="auto"/>
              <w:bottom w:val="single" w:sz="2" w:space="0" w:color="auto"/>
              <w:right w:val="single" w:sz="2" w:space="0" w:color="auto"/>
            </w:tcBorders>
            <w:vAlign w:val="center"/>
          </w:tcPr>
          <w:p w14:paraId="02F8FFB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COD</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18.6mg/L</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 xml:space="preserve">NH3-N </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2.41mg/L</w:t>
            </w:r>
            <w:r w:rsidRPr="00F614F9">
              <w:rPr>
                <w:rFonts w:ascii="Times New Roman" w:eastAsia="宋体" w:hAnsi="Times New Roman" w:cs="宋体"/>
                <w:sz w:val="18"/>
                <w:szCs w:val="18"/>
              </w:rPr>
              <w:t>、总氮：</w:t>
            </w:r>
            <w:r w:rsidRPr="00F614F9">
              <w:rPr>
                <w:rFonts w:ascii="Times New Roman" w:eastAsia="宋体" w:hAnsi="Times New Roman" w:cs="宋体"/>
                <w:sz w:val="18"/>
                <w:szCs w:val="18"/>
              </w:rPr>
              <w:t>25.9mg/L</w:t>
            </w:r>
            <w:r w:rsidRPr="00F614F9">
              <w:rPr>
                <w:rFonts w:ascii="Times New Roman" w:eastAsia="宋体" w:hAnsi="Times New Roman" w:cs="宋体"/>
                <w:sz w:val="18"/>
                <w:szCs w:val="18"/>
              </w:rPr>
              <w:t>、总磷：</w:t>
            </w:r>
            <w:r w:rsidRPr="00F614F9">
              <w:rPr>
                <w:rFonts w:ascii="Times New Roman" w:eastAsia="宋体" w:hAnsi="Times New Roman" w:cs="宋体"/>
                <w:sz w:val="18"/>
                <w:szCs w:val="18"/>
              </w:rPr>
              <w:lastRenderedPageBreak/>
              <w:t>0.134 mg/L</w:t>
            </w:r>
          </w:p>
        </w:tc>
        <w:tc>
          <w:tcPr>
            <w:tcW w:w="1108" w:type="dxa"/>
            <w:tcBorders>
              <w:top w:val="single" w:sz="2" w:space="0" w:color="auto"/>
              <w:left w:val="single" w:sz="2" w:space="0" w:color="auto"/>
              <w:bottom w:val="single" w:sz="2" w:space="0" w:color="auto"/>
              <w:right w:val="single" w:sz="2" w:space="0" w:color="auto"/>
            </w:tcBorders>
            <w:vAlign w:val="center"/>
          </w:tcPr>
          <w:p w14:paraId="2576BB2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肉类加工工业水污染物排放标准</w:t>
            </w:r>
            <w:r w:rsidRPr="00F614F9">
              <w:rPr>
                <w:rFonts w:ascii="Times New Roman" w:eastAsia="宋体" w:hAnsi="Times New Roman" w:cs="宋体"/>
                <w:sz w:val="18"/>
                <w:szCs w:val="18"/>
              </w:rPr>
              <w:t>GB 13457-92</w:t>
            </w:r>
            <w:r w:rsidRPr="00F614F9">
              <w:rPr>
                <w:rFonts w:ascii="Times New Roman" w:eastAsia="宋体" w:hAnsi="Times New Roman" w:cs="宋体"/>
                <w:sz w:val="18"/>
                <w:szCs w:val="18"/>
              </w:rPr>
              <w:t>，污水排入城镇下水道水质标准</w:t>
            </w:r>
            <w:r w:rsidRPr="00F614F9">
              <w:rPr>
                <w:rFonts w:ascii="Times New Roman" w:eastAsia="宋体" w:hAnsi="Times New Roman" w:cs="宋体"/>
                <w:sz w:val="18"/>
                <w:szCs w:val="18"/>
              </w:rPr>
              <w:t>GB/T 31962-</w:t>
            </w:r>
            <w:r w:rsidRPr="00F614F9">
              <w:rPr>
                <w:rFonts w:ascii="Times New Roman" w:eastAsia="宋体" w:hAnsi="Times New Roman" w:cs="宋体"/>
                <w:sz w:val="18"/>
                <w:szCs w:val="18"/>
              </w:rPr>
              <w:lastRenderedPageBreak/>
              <w:t>2015</w:t>
            </w:r>
            <w:r w:rsidRPr="00F614F9">
              <w:rPr>
                <w:rFonts w:ascii="Times New Roman" w:eastAsia="宋体" w:hAnsi="Times New Roman" w:cs="宋体"/>
                <w:sz w:val="18"/>
                <w:szCs w:val="18"/>
              </w:rPr>
              <w:t>中</w:t>
            </w:r>
            <w:r w:rsidRPr="00F614F9">
              <w:rPr>
                <w:rFonts w:ascii="Times New Roman" w:eastAsia="宋体" w:hAnsi="Times New Roman" w:cs="宋体"/>
                <w:sz w:val="18"/>
                <w:szCs w:val="18"/>
              </w:rPr>
              <w:t>B</w:t>
            </w:r>
            <w:r w:rsidRPr="00F614F9">
              <w:rPr>
                <w:rFonts w:ascii="Times New Roman" w:eastAsia="宋体" w:hAnsi="Times New Roman" w:cs="宋体"/>
                <w:sz w:val="18"/>
                <w:szCs w:val="18"/>
              </w:rPr>
              <w:t>级标准</w:t>
            </w:r>
          </w:p>
        </w:tc>
        <w:tc>
          <w:tcPr>
            <w:tcW w:w="876" w:type="dxa"/>
            <w:tcBorders>
              <w:top w:val="single" w:sz="2" w:space="0" w:color="auto"/>
              <w:left w:val="single" w:sz="2" w:space="0" w:color="auto"/>
              <w:bottom w:val="single" w:sz="2" w:space="0" w:color="auto"/>
              <w:right w:val="single" w:sz="2" w:space="0" w:color="auto"/>
            </w:tcBorders>
            <w:vAlign w:val="center"/>
          </w:tcPr>
          <w:p w14:paraId="56F7102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COD</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9.57</w:t>
            </w:r>
            <w:r w:rsidRPr="00F614F9">
              <w:rPr>
                <w:rFonts w:ascii="Times New Roman" w:eastAsia="宋体" w:hAnsi="Times New Roman" w:cs="宋体"/>
                <w:sz w:val="18"/>
                <w:szCs w:val="18"/>
              </w:rPr>
              <w:t>吨</w:t>
            </w:r>
            <w:r w:rsidRPr="00F614F9">
              <w:rPr>
                <w:rFonts w:ascii="Times New Roman" w:eastAsia="宋体" w:hAnsi="Times New Roman" w:cs="宋体"/>
                <w:sz w:val="18"/>
                <w:szCs w:val="18"/>
              </w:rPr>
              <w:t xml:space="preserve">NH3-N </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1.64</w:t>
            </w:r>
            <w:r w:rsidRPr="00F614F9">
              <w:rPr>
                <w:rFonts w:ascii="Times New Roman" w:eastAsia="宋体" w:hAnsi="Times New Roman" w:cs="宋体"/>
                <w:sz w:val="18"/>
                <w:szCs w:val="18"/>
              </w:rPr>
              <w:t>吨、总氮：</w:t>
            </w:r>
            <w:r w:rsidRPr="00F614F9">
              <w:rPr>
                <w:rFonts w:ascii="Times New Roman" w:eastAsia="宋体" w:hAnsi="Times New Roman" w:cs="宋体"/>
                <w:sz w:val="18"/>
                <w:szCs w:val="18"/>
              </w:rPr>
              <w:t>15.2</w:t>
            </w:r>
            <w:r w:rsidRPr="00F614F9">
              <w:rPr>
                <w:rFonts w:ascii="Times New Roman" w:eastAsia="宋体" w:hAnsi="Times New Roman" w:cs="宋体"/>
                <w:sz w:val="18"/>
                <w:szCs w:val="18"/>
              </w:rPr>
              <w:t>吨总磷</w:t>
            </w:r>
            <w:r w:rsidRPr="00F614F9">
              <w:rPr>
                <w:rFonts w:ascii="Times New Roman" w:eastAsia="宋体" w:hAnsi="Times New Roman" w:cs="宋体"/>
                <w:sz w:val="18"/>
                <w:szCs w:val="18"/>
              </w:rPr>
              <w:t>0.0602</w:t>
            </w:r>
            <w:r w:rsidRPr="00F614F9">
              <w:rPr>
                <w:rFonts w:ascii="Times New Roman" w:eastAsia="宋体" w:hAnsi="Times New Roman" w:cs="宋体"/>
                <w:sz w:val="18"/>
                <w:szCs w:val="18"/>
              </w:rPr>
              <w:t>吨</w:t>
            </w:r>
          </w:p>
        </w:tc>
        <w:tc>
          <w:tcPr>
            <w:tcW w:w="1134" w:type="dxa"/>
            <w:tcBorders>
              <w:top w:val="single" w:sz="2" w:space="0" w:color="auto"/>
              <w:left w:val="single" w:sz="2" w:space="0" w:color="auto"/>
              <w:bottom w:val="single" w:sz="2" w:space="0" w:color="auto"/>
              <w:right w:val="single" w:sz="2" w:space="0" w:color="auto"/>
            </w:tcBorders>
            <w:vAlign w:val="center"/>
          </w:tcPr>
          <w:p w14:paraId="5F32929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COD</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148.5</w:t>
            </w:r>
            <w:r w:rsidRPr="00F614F9">
              <w:rPr>
                <w:rFonts w:ascii="Times New Roman" w:eastAsia="宋体" w:hAnsi="Times New Roman" w:cs="宋体"/>
                <w:sz w:val="18"/>
                <w:szCs w:val="18"/>
              </w:rPr>
              <w:t>吨、</w:t>
            </w:r>
            <w:r w:rsidRPr="00F614F9">
              <w:rPr>
                <w:rFonts w:ascii="Times New Roman" w:eastAsia="宋体" w:hAnsi="Times New Roman" w:cs="宋体"/>
                <w:sz w:val="18"/>
                <w:szCs w:val="18"/>
              </w:rPr>
              <w:t xml:space="preserve">NH3-N </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13.365</w:t>
            </w:r>
            <w:r w:rsidRPr="00F614F9">
              <w:rPr>
                <w:rFonts w:ascii="Times New Roman" w:eastAsia="宋体" w:hAnsi="Times New Roman" w:cs="宋体"/>
                <w:sz w:val="18"/>
                <w:szCs w:val="18"/>
              </w:rPr>
              <w:t>吨、总氮：</w:t>
            </w:r>
            <w:r w:rsidRPr="00F614F9">
              <w:rPr>
                <w:rFonts w:ascii="Times New Roman" w:eastAsia="宋体" w:hAnsi="Times New Roman" w:cs="宋体"/>
                <w:sz w:val="18"/>
                <w:szCs w:val="18"/>
              </w:rPr>
              <w:t>20.79</w:t>
            </w:r>
            <w:r w:rsidRPr="00F614F9">
              <w:rPr>
                <w:rFonts w:ascii="Times New Roman" w:eastAsia="宋体" w:hAnsi="Times New Roman" w:cs="宋体"/>
                <w:sz w:val="18"/>
                <w:szCs w:val="18"/>
              </w:rPr>
              <w:t>吨</w:t>
            </w:r>
          </w:p>
        </w:tc>
        <w:tc>
          <w:tcPr>
            <w:tcW w:w="618" w:type="dxa"/>
            <w:tcBorders>
              <w:top w:val="single" w:sz="2" w:space="0" w:color="auto"/>
              <w:left w:val="single" w:sz="2" w:space="0" w:color="auto"/>
              <w:bottom w:val="single" w:sz="2" w:space="0" w:color="auto"/>
              <w:right w:val="single" w:sz="2" w:space="0" w:color="auto"/>
            </w:tcBorders>
            <w:vAlign w:val="center"/>
          </w:tcPr>
          <w:p w14:paraId="322F5599"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r>
      <w:tr w:rsidR="001D26E7" w:rsidRPr="00F614F9" w14:paraId="2F48D28B" w14:textId="77777777" w:rsidTr="00084E30">
        <w:trPr>
          <w:trHeight w:val="240"/>
        </w:trPr>
        <w:tc>
          <w:tcPr>
            <w:tcW w:w="928" w:type="dxa"/>
            <w:tcBorders>
              <w:top w:val="single" w:sz="2" w:space="0" w:color="auto"/>
              <w:left w:val="single" w:sz="2" w:space="0" w:color="auto"/>
              <w:bottom w:val="single" w:sz="2" w:space="0" w:color="auto"/>
              <w:right w:val="single" w:sz="2" w:space="0" w:color="auto"/>
            </w:tcBorders>
            <w:vAlign w:val="center"/>
          </w:tcPr>
          <w:p w14:paraId="05F95DC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河南龙大牧原肉食品有限公司</w:t>
            </w:r>
          </w:p>
        </w:tc>
        <w:tc>
          <w:tcPr>
            <w:tcW w:w="877" w:type="dxa"/>
            <w:tcBorders>
              <w:top w:val="single" w:sz="2" w:space="0" w:color="auto"/>
              <w:left w:val="single" w:sz="2" w:space="0" w:color="auto"/>
              <w:bottom w:val="single" w:sz="2" w:space="0" w:color="auto"/>
              <w:right w:val="single" w:sz="2" w:space="0" w:color="auto"/>
            </w:tcBorders>
            <w:vAlign w:val="center"/>
          </w:tcPr>
          <w:p w14:paraId="4A905864" w14:textId="77777777" w:rsidR="001D26E7" w:rsidRPr="00F614F9" w:rsidRDefault="00000000">
            <w:pPr>
              <w:spacing w:line="240" w:lineRule="exact"/>
              <w:rPr>
                <w:rFonts w:ascii="Times New Roman" w:eastAsia="宋体" w:hAnsi="Times New Roman" w:cs="宋体"/>
                <w:sz w:val="18"/>
                <w:szCs w:val="18"/>
              </w:rPr>
            </w:pPr>
            <w:proofErr w:type="spellStart"/>
            <w:r w:rsidRPr="00F614F9">
              <w:rPr>
                <w:rFonts w:ascii="Times New Roman" w:eastAsia="宋体" w:hAnsi="Times New Roman" w:cs="宋体"/>
                <w:sz w:val="18"/>
                <w:szCs w:val="18"/>
              </w:rPr>
              <w:t>CODcr</w:t>
            </w:r>
            <w:proofErr w:type="spellEnd"/>
          </w:p>
          <w:p w14:paraId="1E9BC2C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NH3-N</w:t>
            </w:r>
          </w:p>
        </w:tc>
        <w:tc>
          <w:tcPr>
            <w:tcW w:w="877" w:type="dxa"/>
            <w:tcBorders>
              <w:top w:val="single" w:sz="2" w:space="0" w:color="auto"/>
              <w:left w:val="single" w:sz="2" w:space="0" w:color="auto"/>
              <w:bottom w:val="single" w:sz="2" w:space="0" w:color="auto"/>
              <w:right w:val="single" w:sz="2" w:space="0" w:color="auto"/>
            </w:tcBorders>
            <w:vAlign w:val="center"/>
          </w:tcPr>
          <w:p w14:paraId="588C2CF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化学需氧量、氨氮</w:t>
            </w:r>
          </w:p>
        </w:tc>
        <w:tc>
          <w:tcPr>
            <w:tcW w:w="1004" w:type="dxa"/>
            <w:tcBorders>
              <w:top w:val="single" w:sz="2" w:space="0" w:color="auto"/>
              <w:left w:val="single" w:sz="2" w:space="0" w:color="auto"/>
              <w:bottom w:val="single" w:sz="2" w:space="0" w:color="auto"/>
              <w:right w:val="single" w:sz="2" w:space="0" w:color="auto"/>
            </w:tcBorders>
            <w:vAlign w:val="center"/>
          </w:tcPr>
          <w:p w14:paraId="14A54C4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直接排放</w:t>
            </w:r>
          </w:p>
        </w:tc>
        <w:tc>
          <w:tcPr>
            <w:tcW w:w="709" w:type="dxa"/>
            <w:tcBorders>
              <w:top w:val="single" w:sz="2" w:space="0" w:color="auto"/>
              <w:left w:val="single" w:sz="2" w:space="0" w:color="auto"/>
              <w:bottom w:val="single" w:sz="2" w:space="0" w:color="auto"/>
              <w:right w:val="single" w:sz="2" w:space="0" w:color="auto"/>
            </w:tcBorders>
            <w:vAlign w:val="center"/>
          </w:tcPr>
          <w:p w14:paraId="246B3B9F"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708" w:type="dxa"/>
            <w:tcBorders>
              <w:top w:val="single" w:sz="2" w:space="0" w:color="auto"/>
              <w:left w:val="single" w:sz="2" w:space="0" w:color="auto"/>
              <w:bottom w:val="single" w:sz="2" w:space="0" w:color="auto"/>
              <w:right w:val="single" w:sz="2" w:space="0" w:color="auto"/>
            </w:tcBorders>
            <w:vAlign w:val="center"/>
          </w:tcPr>
          <w:p w14:paraId="40DB0CB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总排口位于厂区西南角</w:t>
            </w:r>
          </w:p>
        </w:tc>
        <w:tc>
          <w:tcPr>
            <w:tcW w:w="851" w:type="dxa"/>
            <w:tcBorders>
              <w:top w:val="single" w:sz="2" w:space="0" w:color="auto"/>
              <w:left w:val="single" w:sz="2" w:space="0" w:color="auto"/>
              <w:bottom w:val="single" w:sz="2" w:space="0" w:color="auto"/>
              <w:right w:val="single" w:sz="2" w:space="0" w:color="auto"/>
            </w:tcBorders>
            <w:vAlign w:val="center"/>
          </w:tcPr>
          <w:p w14:paraId="2E83AD0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COD</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34mg/L</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 xml:space="preserve">NH3-N </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3.1mg/L</w:t>
            </w:r>
          </w:p>
        </w:tc>
        <w:tc>
          <w:tcPr>
            <w:tcW w:w="1108" w:type="dxa"/>
            <w:tcBorders>
              <w:top w:val="single" w:sz="2" w:space="0" w:color="auto"/>
              <w:left w:val="single" w:sz="2" w:space="0" w:color="auto"/>
              <w:bottom w:val="single" w:sz="2" w:space="0" w:color="auto"/>
              <w:right w:val="single" w:sz="2" w:space="0" w:color="auto"/>
            </w:tcBorders>
            <w:vAlign w:val="center"/>
          </w:tcPr>
          <w:p w14:paraId="0C9202F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肉类加工工业水污染物排放标准</w:t>
            </w:r>
            <w:r w:rsidRPr="00F614F9">
              <w:rPr>
                <w:rFonts w:ascii="Times New Roman" w:eastAsia="宋体" w:hAnsi="Times New Roman" w:cs="宋体"/>
                <w:sz w:val="18"/>
                <w:szCs w:val="18"/>
              </w:rPr>
              <w:t>GB 13457-92</w:t>
            </w:r>
          </w:p>
        </w:tc>
        <w:tc>
          <w:tcPr>
            <w:tcW w:w="876" w:type="dxa"/>
            <w:tcBorders>
              <w:top w:val="single" w:sz="2" w:space="0" w:color="auto"/>
              <w:left w:val="single" w:sz="2" w:space="0" w:color="auto"/>
              <w:bottom w:val="single" w:sz="2" w:space="0" w:color="auto"/>
              <w:right w:val="single" w:sz="2" w:space="0" w:color="auto"/>
            </w:tcBorders>
            <w:vAlign w:val="center"/>
          </w:tcPr>
          <w:p w14:paraId="5888AF9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COD</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15.19</w:t>
            </w:r>
            <w:r w:rsidRPr="00F614F9">
              <w:rPr>
                <w:rFonts w:ascii="Times New Roman" w:eastAsia="宋体" w:hAnsi="Times New Roman" w:cs="宋体"/>
                <w:sz w:val="18"/>
                <w:szCs w:val="18"/>
              </w:rPr>
              <w:t>吨、</w:t>
            </w:r>
            <w:r w:rsidRPr="00F614F9">
              <w:rPr>
                <w:rFonts w:ascii="Times New Roman" w:eastAsia="宋体" w:hAnsi="Times New Roman" w:cs="宋体"/>
                <w:sz w:val="18"/>
                <w:szCs w:val="18"/>
              </w:rPr>
              <w:t xml:space="preserve">NH3-N </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0.94</w:t>
            </w:r>
            <w:r w:rsidRPr="00F614F9">
              <w:rPr>
                <w:rFonts w:ascii="Times New Roman" w:eastAsia="宋体" w:hAnsi="Times New Roman" w:cs="宋体"/>
                <w:sz w:val="18"/>
                <w:szCs w:val="18"/>
              </w:rPr>
              <w:t>吨</w:t>
            </w:r>
          </w:p>
        </w:tc>
        <w:tc>
          <w:tcPr>
            <w:tcW w:w="1134" w:type="dxa"/>
            <w:tcBorders>
              <w:top w:val="single" w:sz="2" w:space="0" w:color="auto"/>
              <w:left w:val="single" w:sz="2" w:space="0" w:color="auto"/>
              <w:bottom w:val="single" w:sz="2" w:space="0" w:color="auto"/>
              <w:right w:val="single" w:sz="2" w:space="0" w:color="auto"/>
            </w:tcBorders>
            <w:vAlign w:val="center"/>
          </w:tcPr>
          <w:p w14:paraId="0EC6443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COD</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16.89</w:t>
            </w:r>
            <w:r w:rsidRPr="00F614F9">
              <w:rPr>
                <w:rFonts w:ascii="Times New Roman" w:eastAsia="宋体" w:hAnsi="Times New Roman" w:cs="宋体"/>
                <w:sz w:val="18"/>
                <w:szCs w:val="18"/>
              </w:rPr>
              <w:t>吨、</w:t>
            </w:r>
            <w:r w:rsidRPr="00F614F9">
              <w:rPr>
                <w:rFonts w:ascii="Times New Roman" w:eastAsia="宋体" w:hAnsi="Times New Roman" w:cs="宋体"/>
                <w:sz w:val="18"/>
                <w:szCs w:val="18"/>
              </w:rPr>
              <w:t xml:space="preserve">NH3-N </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3.9</w:t>
            </w:r>
            <w:r w:rsidRPr="00F614F9">
              <w:rPr>
                <w:rFonts w:ascii="Times New Roman" w:eastAsia="宋体" w:hAnsi="Times New Roman" w:cs="宋体"/>
                <w:sz w:val="18"/>
                <w:szCs w:val="18"/>
              </w:rPr>
              <w:t>吨</w:t>
            </w:r>
          </w:p>
        </w:tc>
        <w:tc>
          <w:tcPr>
            <w:tcW w:w="618" w:type="dxa"/>
            <w:tcBorders>
              <w:top w:val="single" w:sz="2" w:space="0" w:color="auto"/>
              <w:left w:val="single" w:sz="2" w:space="0" w:color="auto"/>
              <w:bottom w:val="single" w:sz="2" w:space="0" w:color="auto"/>
              <w:right w:val="single" w:sz="2" w:space="0" w:color="auto"/>
            </w:tcBorders>
            <w:vAlign w:val="center"/>
          </w:tcPr>
          <w:p w14:paraId="67331F68"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r>
      <w:tr w:rsidR="001D26E7" w:rsidRPr="00F614F9" w14:paraId="40BEF3AA" w14:textId="77777777" w:rsidTr="00084E30">
        <w:trPr>
          <w:trHeight w:val="240"/>
        </w:trPr>
        <w:tc>
          <w:tcPr>
            <w:tcW w:w="928" w:type="dxa"/>
            <w:tcBorders>
              <w:top w:val="single" w:sz="2" w:space="0" w:color="auto"/>
              <w:left w:val="single" w:sz="2" w:space="0" w:color="auto"/>
              <w:bottom w:val="single" w:sz="2" w:space="0" w:color="auto"/>
              <w:right w:val="single" w:sz="2" w:space="0" w:color="auto"/>
            </w:tcBorders>
            <w:vAlign w:val="center"/>
          </w:tcPr>
          <w:p w14:paraId="17C1D85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聊城龙大肉食品有限公司</w:t>
            </w:r>
          </w:p>
        </w:tc>
        <w:tc>
          <w:tcPr>
            <w:tcW w:w="877" w:type="dxa"/>
            <w:tcBorders>
              <w:top w:val="single" w:sz="2" w:space="0" w:color="auto"/>
              <w:left w:val="single" w:sz="2" w:space="0" w:color="auto"/>
              <w:bottom w:val="single" w:sz="2" w:space="0" w:color="auto"/>
              <w:right w:val="single" w:sz="2" w:space="0" w:color="auto"/>
            </w:tcBorders>
            <w:vAlign w:val="center"/>
          </w:tcPr>
          <w:p w14:paraId="02956424" w14:textId="77777777" w:rsidR="001D26E7" w:rsidRPr="00F614F9" w:rsidRDefault="00000000">
            <w:pPr>
              <w:spacing w:line="240" w:lineRule="exact"/>
              <w:rPr>
                <w:rFonts w:ascii="Times New Roman" w:eastAsia="宋体" w:hAnsi="Times New Roman" w:cs="宋体"/>
                <w:sz w:val="18"/>
                <w:szCs w:val="18"/>
              </w:rPr>
            </w:pPr>
            <w:proofErr w:type="spellStart"/>
            <w:r w:rsidRPr="00F614F9">
              <w:rPr>
                <w:rFonts w:ascii="Times New Roman" w:eastAsia="宋体" w:hAnsi="Times New Roman" w:cs="宋体"/>
                <w:sz w:val="18"/>
                <w:szCs w:val="18"/>
              </w:rPr>
              <w:t>CODcr</w:t>
            </w:r>
            <w:proofErr w:type="spellEnd"/>
          </w:p>
          <w:p w14:paraId="382F671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 xml:space="preserve">NH3-N </w:t>
            </w:r>
          </w:p>
          <w:p w14:paraId="0D927EB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TN</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TP</w:t>
            </w:r>
          </w:p>
        </w:tc>
        <w:tc>
          <w:tcPr>
            <w:tcW w:w="877" w:type="dxa"/>
            <w:tcBorders>
              <w:top w:val="single" w:sz="2" w:space="0" w:color="auto"/>
              <w:left w:val="single" w:sz="2" w:space="0" w:color="auto"/>
              <w:bottom w:val="single" w:sz="2" w:space="0" w:color="auto"/>
              <w:right w:val="single" w:sz="2" w:space="0" w:color="auto"/>
            </w:tcBorders>
            <w:vAlign w:val="center"/>
          </w:tcPr>
          <w:p w14:paraId="4813835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化学需氧量、氨氮、总氮、总磷</w:t>
            </w:r>
          </w:p>
        </w:tc>
        <w:tc>
          <w:tcPr>
            <w:tcW w:w="1004" w:type="dxa"/>
            <w:tcBorders>
              <w:top w:val="single" w:sz="2" w:space="0" w:color="auto"/>
              <w:left w:val="single" w:sz="2" w:space="0" w:color="auto"/>
              <w:bottom w:val="single" w:sz="2" w:space="0" w:color="auto"/>
              <w:right w:val="single" w:sz="2" w:space="0" w:color="auto"/>
            </w:tcBorders>
            <w:vAlign w:val="center"/>
          </w:tcPr>
          <w:p w14:paraId="2FA2E3D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间接排放</w:t>
            </w:r>
          </w:p>
        </w:tc>
        <w:tc>
          <w:tcPr>
            <w:tcW w:w="709" w:type="dxa"/>
            <w:tcBorders>
              <w:top w:val="single" w:sz="2" w:space="0" w:color="auto"/>
              <w:left w:val="single" w:sz="2" w:space="0" w:color="auto"/>
              <w:bottom w:val="single" w:sz="2" w:space="0" w:color="auto"/>
              <w:right w:val="single" w:sz="2" w:space="0" w:color="auto"/>
            </w:tcBorders>
            <w:vAlign w:val="center"/>
          </w:tcPr>
          <w:p w14:paraId="170CA321"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708" w:type="dxa"/>
            <w:tcBorders>
              <w:top w:val="single" w:sz="2" w:space="0" w:color="auto"/>
              <w:left w:val="single" w:sz="2" w:space="0" w:color="auto"/>
              <w:bottom w:val="single" w:sz="2" w:space="0" w:color="auto"/>
              <w:right w:val="single" w:sz="2" w:space="0" w:color="auto"/>
            </w:tcBorders>
            <w:vAlign w:val="center"/>
          </w:tcPr>
          <w:p w14:paraId="5ADAD68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总排口位于厂区南面</w:t>
            </w:r>
          </w:p>
        </w:tc>
        <w:tc>
          <w:tcPr>
            <w:tcW w:w="851" w:type="dxa"/>
            <w:tcBorders>
              <w:top w:val="single" w:sz="2" w:space="0" w:color="auto"/>
              <w:left w:val="single" w:sz="2" w:space="0" w:color="auto"/>
              <w:bottom w:val="single" w:sz="2" w:space="0" w:color="auto"/>
              <w:right w:val="single" w:sz="2" w:space="0" w:color="auto"/>
            </w:tcBorders>
            <w:vAlign w:val="center"/>
          </w:tcPr>
          <w:p w14:paraId="18657D1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COD</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16mg/L</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 xml:space="preserve">NH3-N </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0.718mg/L</w:t>
            </w:r>
            <w:r w:rsidRPr="00F614F9">
              <w:rPr>
                <w:rFonts w:ascii="Times New Roman" w:eastAsia="宋体" w:hAnsi="Times New Roman" w:cs="宋体"/>
                <w:sz w:val="18"/>
                <w:szCs w:val="18"/>
              </w:rPr>
              <w:t>、总氮：</w:t>
            </w:r>
            <w:r w:rsidRPr="00F614F9">
              <w:rPr>
                <w:rFonts w:ascii="Times New Roman" w:eastAsia="宋体" w:hAnsi="Times New Roman" w:cs="宋体"/>
                <w:sz w:val="18"/>
                <w:szCs w:val="18"/>
              </w:rPr>
              <w:t>11.9mg/L</w:t>
            </w:r>
            <w:r w:rsidRPr="00F614F9">
              <w:rPr>
                <w:rFonts w:ascii="Times New Roman" w:eastAsia="宋体" w:hAnsi="Times New Roman" w:cs="宋体"/>
                <w:sz w:val="18"/>
                <w:szCs w:val="18"/>
              </w:rPr>
              <w:t>、总磷：</w:t>
            </w:r>
            <w:r w:rsidRPr="00F614F9">
              <w:rPr>
                <w:rFonts w:ascii="Times New Roman" w:eastAsia="宋体" w:hAnsi="Times New Roman" w:cs="宋体"/>
                <w:sz w:val="18"/>
                <w:szCs w:val="18"/>
              </w:rPr>
              <w:t>0.602mg/L</w:t>
            </w:r>
          </w:p>
        </w:tc>
        <w:tc>
          <w:tcPr>
            <w:tcW w:w="1108" w:type="dxa"/>
            <w:tcBorders>
              <w:top w:val="single" w:sz="2" w:space="0" w:color="auto"/>
              <w:left w:val="single" w:sz="2" w:space="0" w:color="auto"/>
              <w:bottom w:val="single" w:sz="2" w:space="0" w:color="auto"/>
              <w:right w:val="single" w:sz="2" w:space="0" w:color="auto"/>
            </w:tcBorders>
            <w:vAlign w:val="center"/>
          </w:tcPr>
          <w:p w14:paraId="087DD3F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肉类加工工业水污染物排放标准</w:t>
            </w:r>
            <w:r w:rsidRPr="00F614F9">
              <w:rPr>
                <w:rFonts w:ascii="Times New Roman" w:eastAsia="宋体" w:hAnsi="Times New Roman" w:cs="宋体"/>
                <w:sz w:val="18"/>
                <w:szCs w:val="18"/>
              </w:rPr>
              <w:t>GB 13457-92</w:t>
            </w:r>
            <w:r w:rsidRPr="00F614F9">
              <w:rPr>
                <w:rFonts w:ascii="Times New Roman" w:eastAsia="宋体" w:hAnsi="Times New Roman" w:cs="宋体"/>
                <w:sz w:val="18"/>
                <w:szCs w:val="18"/>
              </w:rPr>
              <w:t>，污水排入城镇下水道水质标准</w:t>
            </w:r>
            <w:r w:rsidRPr="00F614F9">
              <w:rPr>
                <w:rFonts w:ascii="Times New Roman" w:eastAsia="宋体" w:hAnsi="Times New Roman" w:cs="宋体"/>
                <w:sz w:val="18"/>
                <w:szCs w:val="18"/>
              </w:rPr>
              <w:t>GB/T 31962-2015</w:t>
            </w:r>
            <w:r w:rsidRPr="00F614F9">
              <w:rPr>
                <w:rFonts w:ascii="Times New Roman" w:eastAsia="宋体" w:hAnsi="Times New Roman" w:cs="宋体"/>
                <w:sz w:val="18"/>
                <w:szCs w:val="18"/>
              </w:rPr>
              <w:t>中</w:t>
            </w:r>
            <w:r w:rsidRPr="00F614F9">
              <w:rPr>
                <w:rFonts w:ascii="Times New Roman" w:eastAsia="宋体" w:hAnsi="Times New Roman" w:cs="宋体"/>
                <w:sz w:val="18"/>
                <w:szCs w:val="18"/>
              </w:rPr>
              <w:t>B</w:t>
            </w:r>
            <w:r w:rsidRPr="00F614F9">
              <w:rPr>
                <w:rFonts w:ascii="Times New Roman" w:eastAsia="宋体" w:hAnsi="Times New Roman" w:cs="宋体"/>
                <w:sz w:val="18"/>
                <w:szCs w:val="18"/>
              </w:rPr>
              <w:t>级标准</w:t>
            </w:r>
          </w:p>
        </w:tc>
        <w:tc>
          <w:tcPr>
            <w:tcW w:w="876" w:type="dxa"/>
            <w:tcBorders>
              <w:top w:val="single" w:sz="2" w:space="0" w:color="auto"/>
              <w:left w:val="single" w:sz="2" w:space="0" w:color="auto"/>
              <w:bottom w:val="single" w:sz="2" w:space="0" w:color="auto"/>
              <w:right w:val="single" w:sz="2" w:space="0" w:color="auto"/>
            </w:tcBorders>
            <w:vAlign w:val="center"/>
          </w:tcPr>
          <w:p w14:paraId="5E38C1E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COD</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10.9</w:t>
            </w:r>
            <w:r w:rsidRPr="00F614F9">
              <w:rPr>
                <w:rFonts w:ascii="Times New Roman" w:eastAsia="宋体" w:hAnsi="Times New Roman" w:cs="宋体"/>
                <w:sz w:val="18"/>
                <w:szCs w:val="18"/>
              </w:rPr>
              <w:t>吨</w:t>
            </w:r>
            <w:r w:rsidRPr="00F614F9">
              <w:rPr>
                <w:rFonts w:ascii="Times New Roman" w:eastAsia="宋体" w:hAnsi="Times New Roman" w:cs="宋体"/>
                <w:sz w:val="18"/>
                <w:szCs w:val="18"/>
              </w:rPr>
              <w:t xml:space="preserve">NH3-N </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0.456</w:t>
            </w:r>
            <w:r w:rsidRPr="00F614F9">
              <w:rPr>
                <w:rFonts w:ascii="Times New Roman" w:eastAsia="宋体" w:hAnsi="Times New Roman" w:cs="宋体"/>
                <w:sz w:val="18"/>
                <w:szCs w:val="18"/>
              </w:rPr>
              <w:t>吨、总氮：</w:t>
            </w:r>
            <w:r w:rsidRPr="00F614F9">
              <w:rPr>
                <w:rFonts w:ascii="Times New Roman" w:eastAsia="宋体" w:hAnsi="Times New Roman" w:cs="宋体"/>
                <w:sz w:val="18"/>
                <w:szCs w:val="18"/>
              </w:rPr>
              <w:t>8.48</w:t>
            </w:r>
            <w:r w:rsidRPr="00F614F9">
              <w:rPr>
                <w:rFonts w:ascii="Times New Roman" w:eastAsia="宋体" w:hAnsi="Times New Roman" w:cs="宋体"/>
                <w:sz w:val="18"/>
                <w:szCs w:val="18"/>
              </w:rPr>
              <w:t>吨总磷</w:t>
            </w:r>
            <w:r w:rsidRPr="00F614F9">
              <w:rPr>
                <w:rFonts w:ascii="Times New Roman" w:eastAsia="宋体" w:hAnsi="Times New Roman" w:cs="宋体"/>
                <w:sz w:val="18"/>
                <w:szCs w:val="18"/>
              </w:rPr>
              <w:t>0.432</w:t>
            </w:r>
            <w:r w:rsidRPr="00F614F9">
              <w:rPr>
                <w:rFonts w:ascii="Times New Roman" w:eastAsia="宋体" w:hAnsi="Times New Roman" w:cs="宋体"/>
                <w:sz w:val="18"/>
                <w:szCs w:val="18"/>
              </w:rPr>
              <w:t>吨</w:t>
            </w:r>
          </w:p>
        </w:tc>
        <w:tc>
          <w:tcPr>
            <w:tcW w:w="1134" w:type="dxa"/>
            <w:tcBorders>
              <w:top w:val="single" w:sz="2" w:space="0" w:color="auto"/>
              <w:left w:val="single" w:sz="2" w:space="0" w:color="auto"/>
              <w:bottom w:val="single" w:sz="2" w:space="0" w:color="auto"/>
              <w:right w:val="single" w:sz="2" w:space="0" w:color="auto"/>
            </w:tcBorders>
            <w:vAlign w:val="center"/>
          </w:tcPr>
          <w:p w14:paraId="4273B6B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COD</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40</w:t>
            </w:r>
            <w:r w:rsidRPr="00F614F9">
              <w:rPr>
                <w:rFonts w:ascii="Times New Roman" w:eastAsia="宋体" w:hAnsi="Times New Roman" w:cs="宋体"/>
                <w:sz w:val="18"/>
                <w:szCs w:val="18"/>
              </w:rPr>
              <w:t>吨、</w:t>
            </w:r>
            <w:r w:rsidRPr="00F614F9">
              <w:rPr>
                <w:rFonts w:ascii="Times New Roman" w:eastAsia="宋体" w:hAnsi="Times New Roman" w:cs="宋体"/>
                <w:sz w:val="18"/>
                <w:szCs w:val="18"/>
              </w:rPr>
              <w:t xml:space="preserve">NH3-N </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8.775</w:t>
            </w:r>
            <w:r w:rsidRPr="00F614F9">
              <w:rPr>
                <w:rFonts w:ascii="Times New Roman" w:eastAsia="宋体" w:hAnsi="Times New Roman" w:cs="宋体"/>
                <w:sz w:val="18"/>
                <w:szCs w:val="18"/>
              </w:rPr>
              <w:t>吨</w:t>
            </w:r>
          </w:p>
        </w:tc>
        <w:tc>
          <w:tcPr>
            <w:tcW w:w="618" w:type="dxa"/>
            <w:tcBorders>
              <w:top w:val="single" w:sz="2" w:space="0" w:color="auto"/>
              <w:left w:val="single" w:sz="2" w:space="0" w:color="auto"/>
              <w:bottom w:val="single" w:sz="2" w:space="0" w:color="auto"/>
              <w:right w:val="single" w:sz="2" w:space="0" w:color="auto"/>
            </w:tcBorders>
            <w:vAlign w:val="center"/>
          </w:tcPr>
          <w:p w14:paraId="6C34CD90"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r>
      <w:tr w:rsidR="001D26E7" w:rsidRPr="00F614F9" w14:paraId="4C08EFAC" w14:textId="77777777" w:rsidTr="00084E30">
        <w:trPr>
          <w:trHeight w:val="240"/>
        </w:trPr>
        <w:tc>
          <w:tcPr>
            <w:tcW w:w="928" w:type="dxa"/>
            <w:tcBorders>
              <w:top w:val="single" w:sz="2" w:space="0" w:color="auto"/>
              <w:left w:val="single" w:sz="2" w:space="0" w:color="auto"/>
              <w:bottom w:val="single" w:sz="2" w:space="0" w:color="auto"/>
              <w:right w:val="single" w:sz="2" w:space="0" w:color="auto"/>
            </w:tcBorders>
            <w:vAlign w:val="center"/>
          </w:tcPr>
          <w:p w14:paraId="78969F6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蓬莱富龙肉食品有限公司</w:t>
            </w:r>
          </w:p>
        </w:tc>
        <w:tc>
          <w:tcPr>
            <w:tcW w:w="877" w:type="dxa"/>
            <w:tcBorders>
              <w:top w:val="single" w:sz="2" w:space="0" w:color="auto"/>
              <w:left w:val="single" w:sz="2" w:space="0" w:color="auto"/>
              <w:bottom w:val="single" w:sz="2" w:space="0" w:color="auto"/>
              <w:right w:val="single" w:sz="2" w:space="0" w:color="auto"/>
            </w:tcBorders>
            <w:vAlign w:val="center"/>
          </w:tcPr>
          <w:p w14:paraId="456DA8FA" w14:textId="77777777" w:rsidR="001D26E7" w:rsidRPr="00F614F9" w:rsidRDefault="00000000">
            <w:pPr>
              <w:spacing w:line="240" w:lineRule="exact"/>
              <w:rPr>
                <w:rFonts w:ascii="Times New Roman" w:eastAsia="宋体" w:hAnsi="Times New Roman" w:cs="宋体"/>
                <w:sz w:val="18"/>
                <w:szCs w:val="18"/>
              </w:rPr>
            </w:pPr>
            <w:proofErr w:type="spellStart"/>
            <w:r w:rsidRPr="00F614F9">
              <w:rPr>
                <w:rFonts w:ascii="Times New Roman" w:eastAsia="宋体" w:hAnsi="Times New Roman" w:cs="宋体"/>
                <w:sz w:val="18"/>
                <w:szCs w:val="18"/>
              </w:rPr>
              <w:t>CODcr</w:t>
            </w:r>
            <w:proofErr w:type="spellEnd"/>
          </w:p>
          <w:p w14:paraId="1AF85D2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NH3-N</w:t>
            </w:r>
          </w:p>
        </w:tc>
        <w:tc>
          <w:tcPr>
            <w:tcW w:w="877" w:type="dxa"/>
            <w:tcBorders>
              <w:top w:val="single" w:sz="2" w:space="0" w:color="auto"/>
              <w:left w:val="single" w:sz="2" w:space="0" w:color="auto"/>
              <w:bottom w:val="single" w:sz="2" w:space="0" w:color="auto"/>
              <w:right w:val="single" w:sz="2" w:space="0" w:color="auto"/>
            </w:tcBorders>
            <w:vAlign w:val="center"/>
          </w:tcPr>
          <w:p w14:paraId="451A954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化学需氧量、氨氮</w:t>
            </w:r>
          </w:p>
        </w:tc>
        <w:tc>
          <w:tcPr>
            <w:tcW w:w="1004" w:type="dxa"/>
            <w:tcBorders>
              <w:top w:val="single" w:sz="2" w:space="0" w:color="auto"/>
              <w:left w:val="single" w:sz="2" w:space="0" w:color="auto"/>
              <w:bottom w:val="single" w:sz="2" w:space="0" w:color="auto"/>
              <w:right w:val="single" w:sz="2" w:space="0" w:color="auto"/>
            </w:tcBorders>
            <w:vAlign w:val="center"/>
          </w:tcPr>
          <w:p w14:paraId="27DEC00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直接排放</w:t>
            </w:r>
          </w:p>
        </w:tc>
        <w:tc>
          <w:tcPr>
            <w:tcW w:w="709" w:type="dxa"/>
            <w:tcBorders>
              <w:top w:val="single" w:sz="2" w:space="0" w:color="auto"/>
              <w:left w:val="single" w:sz="2" w:space="0" w:color="auto"/>
              <w:bottom w:val="single" w:sz="2" w:space="0" w:color="auto"/>
              <w:right w:val="single" w:sz="2" w:space="0" w:color="auto"/>
            </w:tcBorders>
            <w:vAlign w:val="center"/>
          </w:tcPr>
          <w:p w14:paraId="2778CB12"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708" w:type="dxa"/>
            <w:tcBorders>
              <w:top w:val="single" w:sz="2" w:space="0" w:color="auto"/>
              <w:left w:val="single" w:sz="2" w:space="0" w:color="auto"/>
              <w:bottom w:val="single" w:sz="2" w:space="0" w:color="auto"/>
              <w:right w:val="single" w:sz="2" w:space="0" w:color="auto"/>
            </w:tcBorders>
            <w:vAlign w:val="center"/>
          </w:tcPr>
          <w:p w14:paraId="601329C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总排口位于厂区南部、</w:t>
            </w:r>
          </w:p>
        </w:tc>
        <w:tc>
          <w:tcPr>
            <w:tcW w:w="851" w:type="dxa"/>
            <w:tcBorders>
              <w:top w:val="single" w:sz="2" w:space="0" w:color="auto"/>
              <w:left w:val="single" w:sz="2" w:space="0" w:color="auto"/>
              <w:bottom w:val="single" w:sz="2" w:space="0" w:color="auto"/>
              <w:right w:val="single" w:sz="2" w:space="0" w:color="auto"/>
            </w:tcBorders>
            <w:vAlign w:val="center"/>
          </w:tcPr>
          <w:p w14:paraId="5A37D3D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COD</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24.4mg/L</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 xml:space="preserve">NH3-N </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1.32mg/L</w:t>
            </w:r>
          </w:p>
        </w:tc>
        <w:tc>
          <w:tcPr>
            <w:tcW w:w="1108" w:type="dxa"/>
            <w:tcBorders>
              <w:top w:val="single" w:sz="2" w:space="0" w:color="auto"/>
              <w:left w:val="single" w:sz="2" w:space="0" w:color="auto"/>
              <w:bottom w:val="single" w:sz="2" w:space="0" w:color="auto"/>
              <w:right w:val="single" w:sz="2" w:space="0" w:color="auto"/>
            </w:tcBorders>
            <w:vAlign w:val="center"/>
          </w:tcPr>
          <w:p w14:paraId="2AC70A0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山东省半岛流域水污染</w:t>
            </w:r>
            <w:proofErr w:type="gramStart"/>
            <w:r w:rsidRPr="00F614F9">
              <w:rPr>
                <w:rFonts w:ascii="Times New Roman" w:eastAsia="宋体" w:hAnsi="Times New Roman" w:cs="宋体"/>
                <w:sz w:val="18"/>
                <w:szCs w:val="18"/>
              </w:rPr>
              <w:t>物综合</w:t>
            </w:r>
            <w:proofErr w:type="gramEnd"/>
            <w:r w:rsidRPr="00F614F9">
              <w:rPr>
                <w:rFonts w:ascii="Times New Roman" w:eastAsia="宋体" w:hAnsi="Times New Roman" w:cs="宋体"/>
                <w:sz w:val="18"/>
                <w:szCs w:val="18"/>
              </w:rPr>
              <w:t>排放标准（</w:t>
            </w:r>
            <w:r w:rsidRPr="00F614F9">
              <w:rPr>
                <w:rFonts w:ascii="Times New Roman" w:eastAsia="宋体" w:hAnsi="Times New Roman" w:cs="宋体"/>
                <w:sz w:val="18"/>
                <w:szCs w:val="18"/>
              </w:rPr>
              <w:t>DB37/676-2007</w:t>
            </w:r>
            <w:r w:rsidRPr="00F614F9">
              <w:rPr>
                <w:rFonts w:ascii="Times New Roman" w:eastAsia="宋体" w:hAnsi="Times New Roman" w:cs="宋体"/>
                <w:sz w:val="18"/>
                <w:szCs w:val="18"/>
              </w:rPr>
              <w:t>）一级标准，肉类加工工业水污染物排放标准（</w:t>
            </w:r>
            <w:r w:rsidRPr="00F614F9">
              <w:rPr>
                <w:rFonts w:ascii="Times New Roman" w:eastAsia="宋体" w:hAnsi="Times New Roman" w:cs="宋体"/>
                <w:sz w:val="18"/>
                <w:szCs w:val="18"/>
              </w:rPr>
              <w:t>GB13457-1992</w:t>
            </w:r>
            <w:r w:rsidRPr="00F614F9">
              <w:rPr>
                <w:rFonts w:ascii="Times New Roman" w:eastAsia="宋体" w:hAnsi="Times New Roman" w:cs="宋体"/>
                <w:sz w:val="18"/>
                <w:szCs w:val="18"/>
              </w:rPr>
              <w:t>）一级标准</w:t>
            </w:r>
          </w:p>
        </w:tc>
        <w:tc>
          <w:tcPr>
            <w:tcW w:w="876" w:type="dxa"/>
            <w:tcBorders>
              <w:top w:val="single" w:sz="2" w:space="0" w:color="auto"/>
              <w:left w:val="single" w:sz="2" w:space="0" w:color="auto"/>
              <w:bottom w:val="single" w:sz="2" w:space="0" w:color="auto"/>
              <w:right w:val="single" w:sz="2" w:space="0" w:color="auto"/>
            </w:tcBorders>
            <w:vAlign w:val="center"/>
          </w:tcPr>
          <w:p w14:paraId="30D821A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COD</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0.537</w:t>
            </w:r>
            <w:r w:rsidRPr="00F614F9">
              <w:rPr>
                <w:rFonts w:ascii="Times New Roman" w:eastAsia="宋体" w:hAnsi="Times New Roman" w:cs="宋体"/>
                <w:sz w:val="18"/>
                <w:szCs w:val="18"/>
              </w:rPr>
              <w:t>吨、</w:t>
            </w:r>
            <w:r w:rsidRPr="00F614F9">
              <w:rPr>
                <w:rFonts w:ascii="Times New Roman" w:eastAsia="宋体" w:hAnsi="Times New Roman" w:cs="宋体"/>
                <w:sz w:val="18"/>
                <w:szCs w:val="18"/>
              </w:rPr>
              <w:t xml:space="preserve">NH3-N </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0.033</w:t>
            </w:r>
            <w:r w:rsidRPr="00F614F9">
              <w:rPr>
                <w:rFonts w:ascii="Times New Roman" w:eastAsia="宋体" w:hAnsi="Times New Roman" w:cs="宋体"/>
                <w:sz w:val="18"/>
                <w:szCs w:val="18"/>
              </w:rPr>
              <w:t>吨</w:t>
            </w:r>
          </w:p>
        </w:tc>
        <w:tc>
          <w:tcPr>
            <w:tcW w:w="1134" w:type="dxa"/>
            <w:tcBorders>
              <w:top w:val="single" w:sz="2" w:space="0" w:color="auto"/>
              <w:left w:val="single" w:sz="2" w:space="0" w:color="auto"/>
              <w:bottom w:val="single" w:sz="2" w:space="0" w:color="auto"/>
              <w:right w:val="single" w:sz="2" w:space="0" w:color="auto"/>
            </w:tcBorders>
            <w:vAlign w:val="center"/>
          </w:tcPr>
          <w:p w14:paraId="6E8FFA9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COD</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3.89</w:t>
            </w:r>
            <w:r w:rsidRPr="00F614F9">
              <w:rPr>
                <w:rFonts w:ascii="Times New Roman" w:eastAsia="宋体" w:hAnsi="Times New Roman" w:cs="宋体"/>
                <w:sz w:val="18"/>
                <w:szCs w:val="18"/>
              </w:rPr>
              <w:t>吨、</w:t>
            </w:r>
            <w:r w:rsidRPr="00F614F9">
              <w:rPr>
                <w:rFonts w:ascii="Times New Roman" w:eastAsia="宋体" w:hAnsi="Times New Roman" w:cs="宋体"/>
                <w:sz w:val="18"/>
                <w:szCs w:val="18"/>
              </w:rPr>
              <w:t xml:space="preserve">NH3-N </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0.39</w:t>
            </w:r>
            <w:r w:rsidRPr="00F614F9">
              <w:rPr>
                <w:rFonts w:ascii="Times New Roman" w:eastAsia="宋体" w:hAnsi="Times New Roman" w:cs="宋体"/>
                <w:sz w:val="18"/>
                <w:szCs w:val="18"/>
              </w:rPr>
              <w:t>吨、总氮：</w:t>
            </w:r>
            <w:r w:rsidRPr="00F614F9">
              <w:rPr>
                <w:rFonts w:ascii="Times New Roman" w:eastAsia="宋体" w:hAnsi="Times New Roman" w:cs="宋体"/>
                <w:sz w:val="18"/>
                <w:szCs w:val="18"/>
              </w:rPr>
              <w:t>1.716</w:t>
            </w:r>
            <w:r w:rsidRPr="00F614F9">
              <w:rPr>
                <w:rFonts w:ascii="Times New Roman" w:eastAsia="宋体" w:hAnsi="Times New Roman" w:cs="宋体"/>
                <w:sz w:val="18"/>
                <w:szCs w:val="18"/>
              </w:rPr>
              <w:t>吨</w:t>
            </w:r>
          </w:p>
        </w:tc>
        <w:tc>
          <w:tcPr>
            <w:tcW w:w="618" w:type="dxa"/>
            <w:tcBorders>
              <w:top w:val="single" w:sz="2" w:space="0" w:color="auto"/>
              <w:left w:val="single" w:sz="2" w:space="0" w:color="auto"/>
              <w:bottom w:val="single" w:sz="2" w:space="0" w:color="auto"/>
              <w:right w:val="single" w:sz="2" w:space="0" w:color="auto"/>
            </w:tcBorders>
            <w:vAlign w:val="center"/>
          </w:tcPr>
          <w:p w14:paraId="248CE3B9"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r>
      <w:tr w:rsidR="001D26E7" w:rsidRPr="00F614F9" w14:paraId="7D5B9E09" w14:textId="77777777" w:rsidTr="00084E30">
        <w:trPr>
          <w:trHeight w:val="240"/>
        </w:trPr>
        <w:tc>
          <w:tcPr>
            <w:tcW w:w="928" w:type="dxa"/>
            <w:tcBorders>
              <w:top w:val="single" w:sz="2" w:space="0" w:color="auto"/>
              <w:left w:val="single" w:sz="2" w:space="0" w:color="auto"/>
              <w:bottom w:val="single" w:sz="2" w:space="0" w:color="auto"/>
              <w:right w:val="single" w:sz="2" w:space="0" w:color="auto"/>
            </w:tcBorders>
            <w:vAlign w:val="center"/>
          </w:tcPr>
          <w:p w14:paraId="0DDF6D8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黑龙江龙大肉食品有限公司</w:t>
            </w:r>
          </w:p>
        </w:tc>
        <w:tc>
          <w:tcPr>
            <w:tcW w:w="877" w:type="dxa"/>
            <w:tcBorders>
              <w:top w:val="single" w:sz="2" w:space="0" w:color="auto"/>
              <w:left w:val="single" w:sz="2" w:space="0" w:color="auto"/>
              <w:bottom w:val="single" w:sz="2" w:space="0" w:color="auto"/>
              <w:right w:val="single" w:sz="2" w:space="0" w:color="auto"/>
            </w:tcBorders>
            <w:vAlign w:val="center"/>
          </w:tcPr>
          <w:p w14:paraId="4F7AB2C8" w14:textId="77777777" w:rsidR="001D26E7" w:rsidRPr="00F614F9" w:rsidRDefault="00000000">
            <w:pPr>
              <w:spacing w:line="240" w:lineRule="exact"/>
              <w:rPr>
                <w:rFonts w:ascii="Times New Roman" w:eastAsia="宋体" w:hAnsi="Times New Roman" w:cs="宋体"/>
                <w:sz w:val="18"/>
                <w:szCs w:val="18"/>
              </w:rPr>
            </w:pPr>
            <w:proofErr w:type="spellStart"/>
            <w:r w:rsidRPr="00F614F9">
              <w:rPr>
                <w:rFonts w:ascii="Times New Roman" w:eastAsia="宋体" w:hAnsi="Times New Roman" w:cs="宋体"/>
                <w:sz w:val="18"/>
                <w:szCs w:val="18"/>
              </w:rPr>
              <w:t>CODcr</w:t>
            </w:r>
            <w:proofErr w:type="spellEnd"/>
          </w:p>
          <w:p w14:paraId="3129867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NH3-N</w:t>
            </w:r>
          </w:p>
        </w:tc>
        <w:tc>
          <w:tcPr>
            <w:tcW w:w="877" w:type="dxa"/>
            <w:tcBorders>
              <w:top w:val="single" w:sz="2" w:space="0" w:color="auto"/>
              <w:left w:val="single" w:sz="2" w:space="0" w:color="auto"/>
              <w:bottom w:val="single" w:sz="2" w:space="0" w:color="auto"/>
              <w:right w:val="single" w:sz="2" w:space="0" w:color="auto"/>
            </w:tcBorders>
            <w:vAlign w:val="center"/>
          </w:tcPr>
          <w:p w14:paraId="2118349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化学需氧量、氨氮</w:t>
            </w:r>
          </w:p>
        </w:tc>
        <w:tc>
          <w:tcPr>
            <w:tcW w:w="1004" w:type="dxa"/>
            <w:tcBorders>
              <w:top w:val="single" w:sz="2" w:space="0" w:color="auto"/>
              <w:left w:val="single" w:sz="2" w:space="0" w:color="auto"/>
              <w:bottom w:val="single" w:sz="2" w:space="0" w:color="auto"/>
              <w:right w:val="single" w:sz="2" w:space="0" w:color="auto"/>
            </w:tcBorders>
            <w:vAlign w:val="center"/>
          </w:tcPr>
          <w:p w14:paraId="38A7130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间接排放</w:t>
            </w:r>
          </w:p>
        </w:tc>
        <w:tc>
          <w:tcPr>
            <w:tcW w:w="709" w:type="dxa"/>
            <w:tcBorders>
              <w:top w:val="single" w:sz="2" w:space="0" w:color="auto"/>
              <w:left w:val="single" w:sz="2" w:space="0" w:color="auto"/>
              <w:bottom w:val="single" w:sz="2" w:space="0" w:color="auto"/>
              <w:right w:val="single" w:sz="2" w:space="0" w:color="auto"/>
            </w:tcBorders>
            <w:vAlign w:val="center"/>
          </w:tcPr>
          <w:p w14:paraId="7C928D0C"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708" w:type="dxa"/>
            <w:tcBorders>
              <w:top w:val="single" w:sz="2" w:space="0" w:color="auto"/>
              <w:left w:val="single" w:sz="2" w:space="0" w:color="auto"/>
              <w:bottom w:val="single" w:sz="2" w:space="0" w:color="auto"/>
              <w:right w:val="single" w:sz="2" w:space="0" w:color="auto"/>
            </w:tcBorders>
            <w:vAlign w:val="center"/>
          </w:tcPr>
          <w:p w14:paraId="1D39EF7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总排口位于厂区东北角</w:t>
            </w:r>
          </w:p>
        </w:tc>
        <w:tc>
          <w:tcPr>
            <w:tcW w:w="851" w:type="dxa"/>
            <w:tcBorders>
              <w:top w:val="single" w:sz="2" w:space="0" w:color="auto"/>
              <w:left w:val="single" w:sz="2" w:space="0" w:color="auto"/>
              <w:bottom w:val="single" w:sz="2" w:space="0" w:color="auto"/>
              <w:right w:val="single" w:sz="2" w:space="0" w:color="auto"/>
            </w:tcBorders>
            <w:vAlign w:val="center"/>
          </w:tcPr>
          <w:p w14:paraId="52A43D2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COD</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34mg/L</w:t>
            </w:r>
            <w:r w:rsidRPr="00F614F9">
              <w:rPr>
                <w:rFonts w:ascii="Times New Roman" w:eastAsia="宋体" w:hAnsi="Times New Roman" w:cs="宋体"/>
                <w:sz w:val="18"/>
                <w:szCs w:val="18"/>
              </w:rPr>
              <w:t>、氨氮：</w:t>
            </w:r>
            <w:r w:rsidRPr="00F614F9">
              <w:rPr>
                <w:rFonts w:ascii="Times New Roman" w:eastAsia="宋体" w:hAnsi="Times New Roman" w:cs="宋体"/>
                <w:sz w:val="18"/>
                <w:szCs w:val="18"/>
              </w:rPr>
              <w:t>1.35mg/L</w:t>
            </w:r>
          </w:p>
        </w:tc>
        <w:tc>
          <w:tcPr>
            <w:tcW w:w="1108" w:type="dxa"/>
            <w:tcBorders>
              <w:top w:val="single" w:sz="2" w:space="0" w:color="auto"/>
              <w:left w:val="single" w:sz="2" w:space="0" w:color="auto"/>
              <w:bottom w:val="single" w:sz="2" w:space="0" w:color="auto"/>
              <w:right w:val="single" w:sz="2" w:space="0" w:color="auto"/>
            </w:tcBorders>
            <w:vAlign w:val="center"/>
          </w:tcPr>
          <w:p w14:paraId="01CA353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肉类加工工业水污染物排放标准</w:t>
            </w:r>
            <w:r w:rsidRPr="00F614F9">
              <w:rPr>
                <w:rFonts w:ascii="Times New Roman" w:eastAsia="宋体" w:hAnsi="Times New Roman" w:cs="宋体"/>
                <w:sz w:val="18"/>
                <w:szCs w:val="18"/>
              </w:rPr>
              <w:t>GB 13457-92</w:t>
            </w:r>
          </w:p>
        </w:tc>
        <w:tc>
          <w:tcPr>
            <w:tcW w:w="876" w:type="dxa"/>
            <w:tcBorders>
              <w:top w:val="single" w:sz="2" w:space="0" w:color="auto"/>
              <w:left w:val="single" w:sz="2" w:space="0" w:color="auto"/>
              <w:bottom w:val="single" w:sz="2" w:space="0" w:color="auto"/>
              <w:right w:val="single" w:sz="2" w:space="0" w:color="auto"/>
            </w:tcBorders>
            <w:vAlign w:val="center"/>
          </w:tcPr>
          <w:p w14:paraId="45676B9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COD</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6.16</w:t>
            </w:r>
            <w:r w:rsidRPr="00F614F9">
              <w:rPr>
                <w:rFonts w:ascii="Times New Roman" w:eastAsia="宋体" w:hAnsi="Times New Roman" w:cs="宋体"/>
                <w:sz w:val="18"/>
                <w:szCs w:val="18"/>
              </w:rPr>
              <w:t>吨、</w:t>
            </w:r>
            <w:r w:rsidRPr="00F614F9">
              <w:rPr>
                <w:rFonts w:ascii="Times New Roman" w:eastAsia="宋体" w:hAnsi="Times New Roman" w:cs="宋体"/>
                <w:sz w:val="18"/>
                <w:szCs w:val="18"/>
              </w:rPr>
              <w:t>NH3-N</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0.295</w:t>
            </w:r>
            <w:r w:rsidRPr="00F614F9">
              <w:rPr>
                <w:rFonts w:ascii="Times New Roman" w:eastAsia="宋体" w:hAnsi="Times New Roman" w:cs="宋体"/>
                <w:sz w:val="18"/>
                <w:szCs w:val="18"/>
              </w:rPr>
              <w:t>吨</w:t>
            </w:r>
          </w:p>
        </w:tc>
        <w:tc>
          <w:tcPr>
            <w:tcW w:w="1134" w:type="dxa"/>
            <w:tcBorders>
              <w:top w:val="single" w:sz="2" w:space="0" w:color="auto"/>
              <w:left w:val="single" w:sz="2" w:space="0" w:color="auto"/>
              <w:bottom w:val="single" w:sz="2" w:space="0" w:color="auto"/>
              <w:right w:val="single" w:sz="2" w:space="0" w:color="auto"/>
            </w:tcBorders>
            <w:vAlign w:val="center"/>
          </w:tcPr>
          <w:p w14:paraId="2B979B6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COD</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227.5</w:t>
            </w:r>
            <w:r w:rsidRPr="00F614F9">
              <w:rPr>
                <w:rFonts w:ascii="Times New Roman" w:eastAsia="宋体" w:hAnsi="Times New Roman" w:cs="宋体"/>
                <w:sz w:val="18"/>
                <w:szCs w:val="18"/>
              </w:rPr>
              <w:t>吨、</w:t>
            </w:r>
            <w:r w:rsidRPr="00F614F9">
              <w:rPr>
                <w:rFonts w:ascii="Times New Roman" w:eastAsia="宋体" w:hAnsi="Times New Roman" w:cs="宋体"/>
                <w:sz w:val="18"/>
                <w:szCs w:val="18"/>
              </w:rPr>
              <w:t>NH3-N</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22.75</w:t>
            </w:r>
            <w:r w:rsidRPr="00F614F9">
              <w:rPr>
                <w:rFonts w:ascii="Times New Roman" w:eastAsia="宋体" w:hAnsi="Times New Roman" w:cs="宋体"/>
                <w:sz w:val="18"/>
                <w:szCs w:val="18"/>
              </w:rPr>
              <w:t>吨</w:t>
            </w:r>
          </w:p>
        </w:tc>
        <w:tc>
          <w:tcPr>
            <w:tcW w:w="618" w:type="dxa"/>
            <w:tcBorders>
              <w:top w:val="single" w:sz="2" w:space="0" w:color="auto"/>
              <w:left w:val="single" w:sz="2" w:space="0" w:color="auto"/>
              <w:bottom w:val="single" w:sz="2" w:space="0" w:color="auto"/>
              <w:right w:val="single" w:sz="2" w:space="0" w:color="auto"/>
            </w:tcBorders>
            <w:vAlign w:val="center"/>
          </w:tcPr>
          <w:p w14:paraId="7231D8EB"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r>
      <w:tr w:rsidR="001D26E7" w:rsidRPr="00F614F9" w14:paraId="3E81B42B" w14:textId="77777777" w:rsidTr="00084E30">
        <w:trPr>
          <w:trHeight w:val="240"/>
        </w:trPr>
        <w:tc>
          <w:tcPr>
            <w:tcW w:w="928" w:type="dxa"/>
            <w:tcBorders>
              <w:top w:val="single" w:sz="2" w:space="0" w:color="auto"/>
              <w:left w:val="single" w:sz="2" w:space="0" w:color="auto"/>
              <w:bottom w:val="single" w:sz="2" w:space="0" w:color="auto"/>
              <w:right w:val="single" w:sz="2" w:space="0" w:color="auto"/>
            </w:tcBorders>
            <w:vAlign w:val="center"/>
          </w:tcPr>
          <w:p w14:paraId="3ECACA6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巴中龙大肉食品有限公司</w:t>
            </w:r>
          </w:p>
        </w:tc>
        <w:tc>
          <w:tcPr>
            <w:tcW w:w="877" w:type="dxa"/>
            <w:tcBorders>
              <w:top w:val="single" w:sz="2" w:space="0" w:color="auto"/>
              <w:left w:val="single" w:sz="2" w:space="0" w:color="auto"/>
              <w:bottom w:val="single" w:sz="2" w:space="0" w:color="auto"/>
              <w:right w:val="single" w:sz="2" w:space="0" w:color="auto"/>
            </w:tcBorders>
            <w:vAlign w:val="center"/>
          </w:tcPr>
          <w:p w14:paraId="04C403D3" w14:textId="77777777" w:rsidR="001D26E7" w:rsidRPr="00F614F9" w:rsidRDefault="00000000">
            <w:pPr>
              <w:spacing w:line="240" w:lineRule="exact"/>
              <w:rPr>
                <w:rFonts w:ascii="Times New Roman" w:eastAsia="宋体" w:hAnsi="Times New Roman" w:cs="宋体"/>
                <w:sz w:val="18"/>
                <w:szCs w:val="18"/>
              </w:rPr>
            </w:pPr>
            <w:proofErr w:type="spellStart"/>
            <w:r w:rsidRPr="00F614F9">
              <w:rPr>
                <w:rFonts w:ascii="Times New Roman" w:eastAsia="宋体" w:hAnsi="Times New Roman" w:cs="宋体"/>
                <w:sz w:val="18"/>
                <w:szCs w:val="18"/>
              </w:rPr>
              <w:t>CODcr</w:t>
            </w:r>
            <w:proofErr w:type="spellEnd"/>
          </w:p>
          <w:p w14:paraId="6ED37BC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NH3-N TN</w:t>
            </w:r>
            <w:r w:rsidRPr="00F614F9">
              <w:rPr>
                <w:rFonts w:ascii="Times New Roman" w:eastAsia="宋体" w:hAnsi="Times New Roman" w:cs="宋体"/>
                <w:sz w:val="18"/>
                <w:szCs w:val="18"/>
              </w:rPr>
              <w:t>、</w:t>
            </w:r>
          </w:p>
          <w:p w14:paraId="4240A87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TP</w:t>
            </w:r>
            <w:r w:rsidRPr="00F614F9">
              <w:rPr>
                <w:rFonts w:ascii="Times New Roman" w:eastAsia="宋体" w:hAnsi="Times New Roman" w:cs="宋体"/>
                <w:sz w:val="18"/>
                <w:szCs w:val="18"/>
              </w:rPr>
              <w:t>、</w:t>
            </w:r>
          </w:p>
        </w:tc>
        <w:tc>
          <w:tcPr>
            <w:tcW w:w="877" w:type="dxa"/>
            <w:tcBorders>
              <w:top w:val="single" w:sz="2" w:space="0" w:color="auto"/>
              <w:left w:val="single" w:sz="2" w:space="0" w:color="auto"/>
              <w:bottom w:val="single" w:sz="2" w:space="0" w:color="auto"/>
              <w:right w:val="single" w:sz="2" w:space="0" w:color="auto"/>
            </w:tcBorders>
            <w:vAlign w:val="center"/>
          </w:tcPr>
          <w:p w14:paraId="458B73A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化学需氧量、氨氮、总氮、总磷</w:t>
            </w:r>
          </w:p>
        </w:tc>
        <w:tc>
          <w:tcPr>
            <w:tcW w:w="1004" w:type="dxa"/>
            <w:tcBorders>
              <w:top w:val="single" w:sz="2" w:space="0" w:color="auto"/>
              <w:left w:val="single" w:sz="2" w:space="0" w:color="auto"/>
              <w:bottom w:val="single" w:sz="2" w:space="0" w:color="auto"/>
              <w:right w:val="single" w:sz="2" w:space="0" w:color="auto"/>
            </w:tcBorders>
            <w:vAlign w:val="center"/>
          </w:tcPr>
          <w:p w14:paraId="11DFF39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间接排放</w:t>
            </w:r>
          </w:p>
        </w:tc>
        <w:tc>
          <w:tcPr>
            <w:tcW w:w="709" w:type="dxa"/>
            <w:tcBorders>
              <w:top w:val="single" w:sz="2" w:space="0" w:color="auto"/>
              <w:left w:val="single" w:sz="2" w:space="0" w:color="auto"/>
              <w:bottom w:val="single" w:sz="2" w:space="0" w:color="auto"/>
              <w:right w:val="single" w:sz="2" w:space="0" w:color="auto"/>
            </w:tcBorders>
            <w:vAlign w:val="center"/>
          </w:tcPr>
          <w:p w14:paraId="57914E69"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708" w:type="dxa"/>
            <w:tcBorders>
              <w:top w:val="single" w:sz="2" w:space="0" w:color="auto"/>
              <w:left w:val="single" w:sz="2" w:space="0" w:color="auto"/>
              <w:bottom w:val="single" w:sz="2" w:space="0" w:color="auto"/>
              <w:right w:val="single" w:sz="2" w:space="0" w:color="auto"/>
            </w:tcBorders>
            <w:vAlign w:val="center"/>
          </w:tcPr>
          <w:p w14:paraId="7C79E87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总排口位于厂区东南角</w:t>
            </w:r>
          </w:p>
        </w:tc>
        <w:tc>
          <w:tcPr>
            <w:tcW w:w="851" w:type="dxa"/>
            <w:tcBorders>
              <w:top w:val="single" w:sz="2" w:space="0" w:color="auto"/>
              <w:left w:val="single" w:sz="2" w:space="0" w:color="auto"/>
              <w:bottom w:val="single" w:sz="2" w:space="0" w:color="auto"/>
              <w:right w:val="single" w:sz="2" w:space="0" w:color="auto"/>
            </w:tcBorders>
            <w:vAlign w:val="center"/>
          </w:tcPr>
          <w:p w14:paraId="6BD7DA4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COD</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64mg/L</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 xml:space="preserve">NH3-N </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24.5mg/L</w:t>
            </w:r>
          </w:p>
        </w:tc>
        <w:tc>
          <w:tcPr>
            <w:tcW w:w="1108" w:type="dxa"/>
            <w:tcBorders>
              <w:top w:val="single" w:sz="2" w:space="0" w:color="auto"/>
              <w:left w:val="single" w:sz="2" w:space="0" w:color="auto"/>
              <w:bottom w:val="single" w:sz="2" w:space="0" w:color="auto"/>
              <w:right w:val="single" w:sz="2" w:space="0" w:color="auto"/>
            </w:tcBorders>
            <w:vAlign w:val="center"/>
          </w:tcPr>
          <w:p w14:paraId="52DE70F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肉类加工工业水污染物排放标准（</w:t>
            </w:r>
            <w:r w:rsidRPr="00F614F9">
              <w:rPr>
                <w:rFonts w:ascii="Times New Roman" w:eastAsia="宋体" w:hAnsi="Times New Roman" w:cs="宋体"/>
                <w:sz w:val="18"/>
                <w:szCs w:val="18"/>
              </w:rPr>
              <w:t>GB 13457-92</w:t>
            </w:r>
            <w:r w:rsidRPr="00F614F9">
              <w:rPr>
                <w:rFonts w:ascii="Times New Roman" w:eastAsia="宋体" w:hAnsi="Times New Roman" w:cs="宋体"/>
                <w:sz w:val="18"/>
                <w:szCs w:val="18"/>
              </w:rPr>
              <w:t>））表</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中畜类屠宰三级标准限值；</w:t>
            </w:r>
          </w:p>
        </w:tc>
        <w:tc>
          <w:tcPr>
            <w:tcW w:w="876" w:type="dxa"/>
            <w:tcBorders>
              <w:top w:val="single" w:sz="2" w:space="0" w:color="auto"/>
              <w:left w:val="single" w:sz="2" w:space="0" w:color="auto"/>
              <w:bottom w:val="single" w:sz="2" w:space="0" w:color="auto"/>
              <w:right w:val="single" w:sz="2" w:space="0" w:color="auto"/>
            </w:tcBorders>
            <w:vAlign w:val="center"/>
          </w:tcPr>
          <w:p w14:paraId="3A9FDDF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COD</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3.84</w:t>
            </w:r>
            <w:r w:rsidRPr="00F614F9">
              <w:rPr>
                <w:rFonts w:ascii="Times New Roman" w:eastAsia="宋体" w:hAnsi="Times New Roman" w:cs="宋体"/>
                <w:sz w:val="18"/>
                <w:szCs w:val="18"/>
              </w:rPr>
              <w:t>吨、</w:t>
            </w:r>
            <w:r w:rsidRPr="00F614F9">
              <w:rPr>
                <w:rFonts w:ascii="Times New Roman" w:eastAsia="宋体" w:hAnsi="Times New Roman" w:cs="宋体"/>
                <w:sz w:val="18"/>
                <w:szCs w:val="18"/>
              </w:rPr>
              <w:t xml:space="preserve">NH3-N </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1.47</w:t>
            </w:r>
            <w:r w:rsidRPr="00F614F9">
              <w:rPr>
                <w:rFonts w:ascii="Times New Roman" w:eastAsia="宋体" w:hAnsi="Times New Roman" w:cs="宋体"/>
                <w:sz w:val="18"/>
                <w:szCs w:val="18"/>
              </w:rPr>
              <w:t>吨</w:t>
            </w:r>
          </w:p>
        </w:tc>
        <w:tc>
          <w:tcPr>
            <w:tcW w:w="1134" w:type="dxa"/>
            <w:tcBorders>
              <w:top w:val="single" w:sz="2" w:space="0" w:color="auto"/>
              <w:left w:val="single" w:sz="2" w:space="0" w:color="auto"/>
              <w:bottom w:val="single" w:sz="2" w:space="0" w:color="auto"/>
              <w:right w:val="single" w:sz="2" w:space="0" w:color="auto"/>
            </w:tcBorders>
            <w:vAlign w:val="center"/>
          </w:tcPr>
          <w:p w14:paraId="22121AD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COD</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129.29</w:t>
            </w:r>
            <w:r w:rsidRPr="00F614F9">
              <w:rPr>
                <w:rFonts w:ascii="Times New Roman" w:eastAsia="宋体" w:hAnsi="Times New Roman" w:cs="宋体"/>
                <w:sz w:val="18"/>
                <w:szCs w:val="18"/>
              </w:rPr>
              <w:t>吨、</w:t>
            </w:r>
            <w:r w:rsidRPr="00F614F9">
              <w:rPr>
                <w:rFonts w:ascii="Times New Roman" w:eastAsia="宋体" w:hAnsi="Times New Roman" w:cs="宋体"/>
                <w:sz w:val="18"/>
                <w:szCs w:val="18"/>
              </w:rPr>
              <w:t>NH3-N</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11.31</w:t>
            </w:r>
            <w:r w:rsidRPr="00F614F9">
              <w:rPr>
                <w:rFonts w:ascii="Times New Roman" w:eastAsia="宋体" w:hAnsi="Times New Roman" w:cs="宋体"/>
                <w:sz w:val="18"/>
                <w:szCs w:val="18"/>
              </w:rPr>
              <w:t>吨</w:t>
            </w:r>
          </w:p>
        </w:tc>
        <w:tc>
          <w:tcPr>
            <w:tcW w:w="618" w:type="dxa"/>
            <w:tcBorders>
              <w:top w:val="single" w:sz="2" w:space="0" w:color="auto"/>
              <w:left w:val="single" w:sz="2" w:space="0" w:color="auto"/>
              <w:bottom w:val="single" w:sz="2" w:space="0" w:color="auto"/>
              <w:right w:val="single" w:sz="2" w:space="0" w:color="auto"/>
            </w:tcBorders>
            <w:vAlign w:val="center"/>
          </w:tcPr>
          <w:p w14:paraId="2B9CEECB" w14:textId="77777777" w:rsidR="001D26E7" w:rsidRPr="00F614F9" w:rsidRDefault="00000000" w:rsidP="002B7559">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无</w:t>
            </w:r>
          </w:p>
        </w:tc>
      </w:tr>
    </w:tbl>
    <w:p w14:paraId="10E9A7F8"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对污染物的处理</w:t>
      </w:r>
    </w:p>
    <w:p w14:paraId="6EDDA078" w14:textId="77777777" w:rsidR="00084E30" w:rsidRPr="00F614F9" w:rsidRDefault="00000000" w:rsidP="003D1157">
      <w:pPr>
        <w:spacing w:line="276" w:lineRule="auto"/>
        <w:ind w:firstLineChars="200" w:firstLine="360"/>
        <w:jc w:val="both"/>
        <w:divId w:val="1471170044"/>
        <w:rPr>
          <w:rFonts w:ascii="Times New Roman" w:eastAsia="宋体" w:hAnsi="Times New Roman" w:cs="Times New Roman"/>
          <w:sz w:val="18"/>
          <w:szCs w:val="18"/>
        </w:rPr>
      </w:pPr>
      <w:r w:rsidRPr="00F614F9">
        <w:rPr>
          <w:rFonts w:ascii="Times New Roman" w:hAnsi="Times New Roman" w:hint="eastAsia"/>
          <w:sz w:val="18"/>
          <w:szCs w:val="18"/>
        </w:rPr>
        <w:t> </w:t>
      </w:r>
      <w:r w:rsidRPr="00F614F9">
        <w:rPr>
          <w:rFonts w:ascii="Times New Roman" w:eastAsia="宋体" w:hAnsi="Times New Roman" w:cs="Times New Roman"/>
          <w:sz w:val="18"/>
          <w:szCs w:val="18"/>
        </w:rPr>
        <w:t xml:space="preserve">  </w:t>
      </w:r>
      <w:r w:rsidRPr="00F614F9">
        <w:rPr>
          <w:rFonts w:ascii="Times New Roman" w:eastAsia="宋体" w:hAnsi="Times New Roman" w:cs="Times New Roman"/>
          <w:sz w:val="18"/>
          <w:szCs w:val="18"/>
        </w:rPr>
        <w:t>山东龙大美食股份有限公司主要污染物为废水，对于废水处理，按照</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雨污分流</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原则，污水进入污水站经预处理系统、气浮、</w:t>
      </w:r>
      <w:r w:rsidRPr="00F614F9">
        <w:rPr>
          <w:rFonts w:ascii="Times New Roman" w:eastAsia="宋体" w:hAnsi="Times New Roman" w:cs="Times New Roman"/>
          <w:sz w:val="18"/>
          <w:szCs w:val="18"/>
        </w:rPr>
        <w:t>A/O</w:t>
      </w:r>
      <w:r w:rsidRPr="00F614F9">
        <w:rPr>
          <w:rFonts w:ascii="Times New Roman" w:eastAsia="宋体" w:hAnsi="Times New Roman" w:cs="Times New Roman"/>
          <w:sz w:val="18"/>
          <w:szCs w:val="18"/>
        </w:rPr>
        <w:t>工艺处理后，经排口排入莱阳市食品工业园污水处理厂。山东龙大美食股份有限公司废水排放口安装在线监测设施，</w:t>
      </w:r>
      <w:r w:rsidRPr="00F614F9">
        <w:rPr>
          <w:rFonts w:ascii="Times New Roman" w:eastAsia="宋体" w:hAnsi="Times New Roman" w:cs="Times New Roman"/>
          <w:sz w:val="18"/>
          <w:szCs w:val="18"/>
        </w:rPr>
        <w:t>2023</w:t>
      </w:r>
      <w:r w:rsidRPr="00F614F9">
        <w:rPr>
          <w:rFonts w:ascii="Times New Roman" w:eastAsia="宋体" w:hAnsi="Times New Roman" w:cs="Times New Roman"/>
          <w:sz w:val="18"/>
          <w:szCs w:val="18"/>
        </w:rPr>
        <w:t>年山东龙大肉食品股份有限公司环保设施运行稳定。</w:t>
      </w:r>
    </w:p>
    <w:p w14:paraId="47621175" w14:textId="77777777" w:rsidR="00084E30" w:rsidRPr="00F614F9" w:rsidRDefault="00000000" w:rsidP="003D1157">
      <w:pPr>
        <w:spacing w:line="276" w:lineRule="auto"/>
        <w:ind w:firstLineChars="200" w:firstLine="360"/>
        <w:jc w:val="both"/>
        <w:divId w:val="1471170044"/>
        <w:rPr>
          <w:rFonts w:ascii="Times New Roman" w:eastAsia="宋体" w:hAnsi="Times New Roman" w:cs="Times New Roman"/>
          <w:sz w:val="18"/>
          <w:szCs w:val="18"/>
        </w:rPr>
      </w:pPr>
      <w:r w:rsidRPr="00F614F9">
        <w:rPr>
          <w:rFonts w:ascii="Times New Roman" w:eastAsia="宋体" w:hAnsi="Times New Roman" w:cs="Times New Roman"/>
          <w:sz w:val="18"/>
          <w:szCs w:val="18"/>
        </w:rPr>
        <w:t> </w:t>
      </w:r>
      <w:r w:rsidRPr="00F614F9">
        <w:rPr>
          <w:rFonts w:ascii="Times New Roman" w:eastAsia="宋体" w:hAnsi="Times New Roman" w:cs="Times New Roman"/>
          <w:sz w:val="18"/>
          <w:szCs w:val="18"/>
        </w:rPr>
        <w:t>潍坊振</w:t>
      </w:r>
      <w:proofErr w:type="gramStart"/>
      <w:r w:rsidRPr="00F614F9">
        <w:rPr>
          <w:rFonts w:ascii="Times New Roman" w:eastAsia="宋体" w:hAnsi="Times New Roman" w:cs="Times New Roman"/>
          <w:sz w:val="18"/>
          <w:szCs w:val="18"/>
        </w:rPr>
        <w:t>祥</w:t>
      </w:r>
      <w:proofErr w:type="gramEnd"/>
      <w:r w:rsidRPr="00F614F9">
        <w:rPr>
          <w:rFonts w:ascii="Times New Roman" w:eastAsia="宋体" w:hAnsi="Times New Roman" w:cs="Times New Roman"/>
          <w:sz w:val="18"/>
          <w:szCs w:val="18"/>
        </w:rPr>
        <w:t>食品有限公司主要污染物为废水，废水经预处理系统、气浮、</w:t>
      </w:r>
      <w:r w:rsidRPr="00F614F9">
        <w:rPr>
          <w:rFonts w:ascii="Times New Roman" w:eastAsia="宋体" w:hAnsi="Times New Roman" w:cs="Times New Roman"/>
          <w:sz w:val="18"/>
          <w:szCs w:val="18"/>
        </w:rPr>
        <w:t>SBR</w:t>
      </w:r>
      <w:r w:rsidRPr="00F614F9">
        <w:rPr>
          <w:rFonts w:ascii="Times New Roman" w:eastAsia="宋体" w:hAnsi="Times New Roman" w:cs="Times New Roman"/>
          <w:sz w:val="18"/>
          <w:szCs w:val="18"/>
        </w:rPr>
        <w:t>工艺处理后经污水管网进入安丘市景芝镇污水处理厂（潍坊安凯节能环保科技有限公司）。潍坊振</w:t>
      </w:r>
      <w:proofErr w:type="gramStart"/>
      <w:r w:rsidRPr="00F614F9">
        <w:rPr>
          <w:rFonts w:ascii="Times New Roman" w:eastAsia="宋体" w:hAnsi="Times New Roman" w:cs="Times New Roman"/>
          <w:sz w:val="18"/>
          <w:szCs w:val="18"/>
        </w:rPr>
        <w:t>祥</w:t>
      </w:r>
      <w:proofErr w:type="gramEnd"/>
      <w:r w:rsidRPr="00F614F9">
        <w:rPr>
          <w:rFonts w:ascii="Times New Roman" w:eastAsia="宋体" w:hAnsi="Times New Roman" w:cs="Times New Roman"/>
          <w:sz w:val="18"/>
          <w:szCs w:val="18"/>
        </w:rPr>
        <w:t>食品有限公司废水排放口安装在线监测设施，</w:t>
      </w:r>
      <w:r w:rsidRPr="00F614F9">
        <w:rPr>
          <w:rFonts w:ascii="Times New Roman" w:eastAsia="宋体" w:hAnsi="Times New Roman" w:cs="Times New Roman"/>
          <w:sz w:val="18"/>
          <w:szCs w:val="18"/>
        </w:rPr>
        <w:t>2023</w:t>
      </w:r>
      <w:r w:rsidRPr="00F614F9">
        <w:rPr>
          <w:rFonts w:ascii="Times New Roman" w:eastAsia="宋体" w:hAnsi="Times New Roman" w:cs="Times New Roman"/>
          <w:sz w:val="18"/>
          <w:szCs w:val="18"/>
        </w:rPr>
        <w:t>年环保设施运行稳定。</w:t>
      </w:r>
    </w:p>
    <w:p w14:paraId="184484B5" w14:textId="77777777" w:rsidR="00084E30" w:rsidRPr="00F614F9" w:rsidRDefault="00000000" w:rsidP="003D1157">
      <w:pPr>
        <w:spacing w:line="276" w:lineRule="auto"/>
        <w:ind w:firstLineChars="200" w:firstLine="360"/>
        <w:jc w:val="both"/>
        <w:divId w:val="1471170044"/>
        <w:rPr>
          <w:rFonts w:ascii="Times New Roman" w:eastAsia="宋体" w:hAnsi="Times New Roman" w:cs="Times New Roman"/>
          <w:sz w:val="18"/>
          <w:szCs w:val="18"/>
        </w:rPr>
      </w:pPr>
      <w:r w:rsidRPr="00F614F9">
        <w:rPr>
          <w:rFonts w:ascii="Times New Roman" w:eastAsia="宋体" w:hAnsi="Times New Roman" w:cs="Times New Roman"/>
          <w:sz w:val="18"/>
          <w:szCs w:val="18"/>
        </w:rPr>
        <w:t>   </w:t>
      </w:r>
      <w:r w:rsidRPr="00F614F9">
        <w:rPr>
          <w:rFonts w:ascii="Times New Roman" w:eastAsia="宋体" w:hAnsi="Times New Roman" w:cs="Times New Roman"/>
          <w:sz w:val="18"/>
          <w:szCs w:val="18"/>
        </w:rPr>
        <w:t>河南龙大牧原肉食品有限公司主要污染物为废水，生产生活废水经厂内污水处理站采用</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预处理</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水解酸化</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气浮</w:t>
      </w:r>
      <w:r w:rsidRPr="00F614F9">
        <w:rPr>
          <w:rFonts w:ascii="Times New Roman" w:eastAsia="宋体" w:hAnsi="Times New Roman" w:cs="Times New Roman"/>
          <w:sz w:val="18"/>
          <w:szCs w:val="18"/>
        </w:rPr>
        <w:t>+SBR+</w:t>
      </w:r>
      <w:r w:rsidRPr="00F614F9">
        <w:rPr>
          <w:rFonts w:ascii="Times New Roman" w:eastAsia="宋体" w:hAnsi="Times New Roman" w:cs="Times New Roman"/>
          <w:sz w:val="18"/>
          <w:szCs w:val="18"/>
        </w:rPr>
        <w:t>深度处理</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处理工艺处理后直接排放，河南龙大牧原肉食品有限公司废水排放口安装在线监测设施，</w:t>
      </w:r>
      <w:r w:rsidRPr="00F614F9">
        <w:rPr>
          <w:rFonts w:ascii="Times New Roman" w:eastAsia="宋体" w:hAnsi="Times New Roman" w:cs="Times New Roman"/>
          <w:sz w:val="18"/>
          <w:szCs w:val="18"/>
        </w:rPr>
        <w:t>2023</w:t>
      </w:r>
      <w:r w:rsidRPr="00F614F9">
        <w:rPr>
          <w:rFonts w:ascii="Times New Roman" w:eastAsia="宋体" w:hAnsi="Times New Roman" w:cs="Times New Roman"/>
          <w:sz w:val="18"/>
          <w:szCs w:val="18"/>
        </w:rPr>
        <w:t>年环保设</w:t>
      </w:r>
      <w:r w:rsidRPr="00F614F9">
        <w:rPr>
          <w:rFonts w:ascii="Times New Roman" w:eastAsia="宋体" w:hAnsi="Times New Roman" w:cs="Times New Roman"/>
          <w:sz w:val="18"/>
          <w:szCs w:val="18"/>
        </w:rPr>
        <w:lastRenderedPageBreak/>
        <w:t>施运行稳定。</w:t>
      </w:r>
    </w:p>
    <w:p w14:paraId="17A3C702" w14:textId="77777777" w:rsidR="00084E30" w:rsidRPr="00F614F9" w:rsidRDefault="00000000" w:rsidP="003D1157">
      <w:pPr>
        <w:spacing w:line="276" w:lineRule="auto"/>
        <w:ind w:firstLineChars="200" w:firstLine="360"/>
        <w:jc w:val="both"/>
        <w:divId w:val="1471170044"/>
        <w:rPr>
          <w:rFonts w:ascii="Times New Roman" w:eastAsia="宋体" w:hAnsi="Times New Roman" w:cs="Times New Roman"/>
          <w:sz w:val="18"/>
          <w:szCs w:val="18"/>
        </w:rPr>
      </w:pPr>
      <w:r w:rsidRPr="00F614F9">
        <w:rPr>
          <w:rFonts w:ascii="Times New Roman" w:eastAsia="宋体" w:hAnsi="Times New Roman" w:cs="Times New Roman"/>
          <w:sz w:val="18"/>
          <w:szCs w:val="18"/>
        </w:rPr>
        <w:t> </w:t>
      </w:r>
      <w:r w:rsidRPr="00F614F9">
        <w:rPr>
          <w:rFonts w:ascii="Times New Roman" w:eastAsia="宋体" w:hAnsi="Times New Roman" w:cs="Times New Roman"/>
          <w:sz w:val="18"/>
          <w:szCs w:val="18"/>
        </w:rPr>
        <w:t>聊城龙大肉食品有限公司主要污染物为废水，对于废水处理，按照</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雨污分流</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原则，污水接入聊城龙大肉食品有限公司污水站经预处理系统、气浮、</w:t>
      </w:r>
      <w:r w:rsidRPr="00F614F9">
        <w:rPr>
          <w:rFonts w:ascii="Times New Roman" w:eastAsia="宋体" w:hAnsi="Times New Roman" w:cs="Times New Roman"/>
          <w:sz w:val="18"/>
          <w:szCs w:val="18"/>
        </w:rPr>
        <w:t>SBR</w:t>
      </w:r>
      <w:r w:rsidRPr="00F614F9">
        <w:rPr>
          <w:rFonts w:ascii="Times New Roman" w:eastAsia="宋体" w:hAnsi="Times New Roman" w:cs="Times New Roman"/>
          <w:sz w:val="18"/>
          <w:szCs w:val="18"/>
        </w:rPr>
        <w:t>工艺处理后，经排口接入市政管网，排入东昌府区嘉明康达污水处理有限公司。聊城龙大肉食品有限公司废水排放口安装在线监测设施。</w:t>
      </w:r>
      <w:r w:rsidRPr="00F614F9">
        <w:rPr>
          <w:rFonts w:ascii="Times New Roman" w:eastAsia="宋体" w:hAnsi="Times New Roman" w:cs="Times New Roman"/>
          <w:sz w:val="18"/>
          <w:szCs w:val="18"/>
        </w:rPr>
        <w:t>2023</w:t>
      </w:r>
      <w:r w:rsidRPr="00F614F9">
        <w:rPr>
          <w:rFonts w:ascii="Times New Roman" w:eastAsia="宋体" w:hAnsi="Times New Roman" w:cs="Times New Roman"/>
          <w:sz w:val="18"/>
          <w:szCs w:val="18"/>
        </w:rPr>
        <w:t>年聊城龙大肉食品有限公司环保设施运行稳定。</w:t>
      </w:r>
    </w:p>
    <w:p w14:paraId="0116547F" w14:textId="77777777" w:rsidR="00084E30" w:rsidRPr="00F614F9" w:rsidRDefault="00000000" w:rsidP="003D1157">
      <w:pPr>
        <w:spacing w:line="276" w:lineRule="auto"/>
        <w:ind w:firstLineChars="200" w:firstLine="360"/>
        <w:jc w:val="both"/>
        <w:divId w:val="1471170044"/>
        <w:rPr>
          <w:rFonts w:ascii="Times New Roman" w:eastAsia="宋体" w:hAnsi="Times New Roman" w:cs="Times New Roman"/>
          <w:sz w:val="18"/>
          <w:szCs w:val="18"/>
        </w:rPr>
      </w:pPr>
      <w:r w:rsidRPr="00F614F9">
        <w:rPr>
          <w:rFonts w:ascii="Times New Roman" w:eastAsia="宋体" w:hAnsi="Times New Roman" w:cs="Times New Roman"/>
          <w:sz w:val="18"/>
          <w:szCs w:val="18"/>
        </w:rPr>
        <w:t xml:space="preserve">  </w:t>
      </w:r>
      <w:r w:rsidRPr="00F614F9">
        <w:rPr>
          <w:rFonts w:ascii="Times New Roman" w:eastAsia="宋体" w:hAnsi="Times New Roman" w:cs="Times New Roman"/>
          <w:sz w:val="18"/>
          <w:szCs w:val="18"/>
        </w:rPr>
        <w:t>蓬莱富龙肉食品有限公司主要污染物为废水，按照</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雨污分流</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原则，污水进入污水站经预处理系统、气浮</w:t>
      </w:r>
      <w:r w:rsidRPr="00F614F9">
        <w:rPr>
          <w:rFonts w:ascii="Times New Roman" w:eastAsia="宋体" w:hAnsi="Times New Roman" w:cs="Times New Roman"/>
          <w:sz w:val="18"/>
          <w:szCs w:val="18"/>
        </w:rPr>
        <w:t>+A2O+</w:t>
      </w:r>
      <w:r w:rsidRPr="00F614F9">
        <w:rPr>
          <w:rFonts w:ascii="Times New Roman" w:eastAsia="宋体" w:hAnsi="Times New Roman" w:cs="Times New Roman"/>
          <w:sz w:val="18"/>
          <w:szCs w:val="18"/>
        </w:rPr>
        <w:t>过滤工艺处理后，经排口排入蓬莱市</w:t>
      </w:r>
      <w:proofErr w:type="gramStart"/>
      <w:r w:rsidRPr="00F614F9">
        <w:rPr>
          <w:rFonts w:ascii="Times New Roman" w:eastAsia="宋体" w:hAnsi="Times New Roman" w:cs="Times New Roman"/>
          <w:sz w:val="18"/>
          <w:szCs w:val="18"/>
        </w:rPr>
        <w:t>小门家</w:t>
      </w:r>
      <w:proofErr w:type="gramEnd"/>
      <w:r w:rsidRPr="00F614F9">
        <w:rPr>
          <w:rFonts w:ascii="Times New Roman" w:eastAsia="宋体" w:hAnsi="Times New Roman" w:cs="Times New Roman"/>
          <w:sz w:val="18"/>
          <w:szCs w:val="18"/>
        </w:rPr>
        <w:t>镇政府建设的人工湿地。蓬莱富龙肉食品有限公司废水排放口安装在线监测设施，</w:t>
      </w:r>
      <w:r w:rsidRPr="00F614F9">
        <w:rPr>
          <w:rFonts w:ascii="Times New Roman" w:eastAsia="宋体" w:hAnsi="Times New Roman" w:cs="Times New Roman"/>
          <w:sz w:val="18"/>
          <w:szCs w:val="18"/>
        </w:rPr>
        <w:t>2023</w:t>
      </w:r>
      <w:r w:rsidRPr="00F614F9">
        <w:rPr>
          <w:rFonts w:ascii="Times New Roman" w:eastAsia="宋体" w:hAnsi="Times New Roman" w:cs="Times New Roman"/>
          <w:sz w:val="18"/>
          <w:szCs w:val="18"/>
        </w:rPr>
        <w:t>年蓬莱富龙肉食品有限公司环保设施运行稳定。</w:t>
      </w:r>
    </w:p>
    <w:p w14:paraId="50B44B86" w14:textId="77777777" w:rsidR="00084E30" w:rsidRPr="00F614F9" w:rsidRDefault="00000000" w:rsidP="003D1157">
      <w:pPr>
        <w:spacing w:line="276" w:lineRule="auto"/>
        <w:ind w:firstLineChars="200" w:firstLine="360"/>
        <w:jc w:val="both"/>
        <w:divId w:val="1471170044"/>
        <w:rPr>
          <w:rFonts w:ascii="Times New Roman" w:eastAsia="宋体" w:hAnsi="Times New Roman" w:cs="Times New Roman"/>
          <w:sz w:val="18"/>
          <w:szCs w:val="18"/>
        </w:rPr>
      </w:pPr>
      <w:r w:rsidRPr="00F614F9">
        <w:rPr>
          <w:rFonts w:ascii="Times New Roman" w:eastAsia="宋体" w:hAnsi="Times New Roman" w:cs="Times New Roman"/>
          <w:sz w:val="18"/>
          <w:szCs w:val="18"/>
        </w:rPr>
        <w:t>黑龙江龙大肉食品有限公司主要污染物为废水，废水经气浮</w:t>
      </w:r>
      <w:r w:rsidRPr="00F614F9">
        <w:rPr>
          <w:rFonts w:ascii="Times New Roman" w:eastAsia="宋体" w:hAnsi="Times New Roman" w:cs="Times New Roman"/>
          <w:sz w:val="18"/>
          <w:szCs w:val="18"/>
        </w:rPr>
        <w:t>+AO</w:t>
      </w:r>
      <w:r w:rsidRPr="00F614F9">
        <w:rPr>
          <w:rFonts w:ascii="Times New Roman" w:eastAsia="宋体" w:hAnsi="Times New Roman" w:cs="Times New Roman"/>
          <w:sz w:val="18"/>
          <w:szCs w:val="18"/>
        </w:rPr>
        <w:t>工艺处理后，排口接入市政管网，排入安达市污水处理厂。黑龙江龙大肉食品有限公司废水排放口安装在线监测设施，</w:t>
      </w:r>
      <w:r w:rsidRPr="00F614F9">
        <w:rPr>
          <w:rFonts w:ascii="Times New Roman" w:eastAsia="宋体" w:hAnsi="Times New Roman" w:cs="Times New Roman"/>
          <w:sz w:val="18"/>
          <w:szCs w:val="18"/>
        </w:rPr>
        <w:t>2023</w:t>
      </w:r>
      <w:r w:rsidRPr="00F614F9">
        <w:rPr>
          <w:rFonts w:ascii="Times New Roman" w:eastAsia="宋体" w:hAnsi="Times New Roman" w:cs="Times New Roman"/>
          <w:sz w:val="18"/>
          <w:szCs w:val="18"/>
        </w:rPr>
        <w:t>年黑龙江龙大肉食品有限公司环保设施运行稳定。</w:t>
      </w:r>
    </w:p>
    <w:p w14:paraId="2FC24726" w14:textId="77777777" w:rsidR="00872599" w:rsidRPr="00F614F9" w:rsidRDefault="00000000" w:rsidP="003D1157">
      <w:pPr>
        <w:spacing w:line="276" w:lineRule="auto"/>
        <w:ind w:firstLineChars="200" w:firstLine="360"/>
        <w:jc w:val="both"/>
        <w:divId w:val="1471170044"/>
        <w:rPr>
          <w:rFonts w:ascii="Times New Roman" w:eastAsia="宋体" w:hAnsi="Times New Roman" w:cs="Times New Roman"/>
          <w:sz w:val="18"/>
          <w:szCs w:val="18"/>
        </w:rPr>
      </w:pPr>
      <w:r w:rsidRPr="00F614F9">
        <w:rPr>
          <w:rFonts w:ascii="Times New Roman" w:eastAsia="宋体" w:hAnsi="Times New Roman" w:cs="Times New Roman"/>
          <w:sz w:val="18"/>
          <w:szCs w:val="18"/>
        </w:rPr>
        <w:t>巴中龙大肉食品有限公司生活污水和生产废水经污水处理站（采用格栅</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隔油调节池</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气浮</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水解酸化</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两级</w:t>
      </w:r>
      <w:r w:rsidRPr="00F614F9">
        <w:rPr>
          <w:rFonts w:ascii="Times New Roman" w:eastAsia="宋体" w:hAnsi="Times New Roman" w:cs="Times New Roman"/>
          <w:sz w:val="18"/>
          <w:szCs w:val="18"/>
        </w:rPr>
        <w:t>A/O+</w:t>
      </w:r>
      <w:r w:rsidRPr="00F614F9">
        <w:rPr>
          <w:rFonts w:ascii="Times New Roman" w:eastAsia="宋体" w:hAnsi="Times New Roman" w:cs="Times New Roman"/>
          <w:sz w:val="18"/>
          <w:szCs w:val="18"/>
        </w:rPr>
        <w:t>沉淀</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消毒工艺）达标处理后一起进入园区污水管网，污水处理站设计处理能力为</w:t>
      </w:r>
      <w:r w:rsidRPr="00F614F9">
        <w:rPr>
          <w:rFonts w:ascii="Times New Roman" w:eastAsia="宋体" w:hAnsi="Times New Roman" w:cs="Times New Roman"/>
          <w:sz w:val="18"/>
          <w:szCs w:val="18"/>
        </w:rPr>
        <w:t>1500m3/d</w:t>
      </w:r>
      <w:r w:rsidRPr="00F614F9">
        <w:rPr>
          <w:rFonts w:ascii="Times New Roman" w:eastAsia="宋体" w:hAnsi="Times New Roman" w:cs="Times New Roman"/>
          <w:sz w:val="18"/>
          <w:szCs w:val="18"/>
        </w:rPr>
        <w:t>。巴中龙大肉食品有限公司</w:t>
      </w:r>
      <w:r w:rsidRPr="00F614F9">
        <w:rPr>
          <w:rFonts w:ascii="Times New Roman" w:eastAsia="宋体" w:hAnsi="Times New Roman" w:cs="Times New Roman"/>
          <w:sz w:val="18"/>
          <w:szCs w:val="18"/>
        </w:rPr>
        <w:t>2024</w:t>
      </w:r>
      <w:r w:rsidRPr="00F614F9">
        <w:rPr>
          <w:rFonts w:ascii="Times New Roman" w:eastAsia="宋体" w:hAnsi="Times New Roman" w:cs="Times New Roman"/>
          <w:sz w:val="18"/>
          <w:szCs w:val="18"/>
        </w:rPr>
        <w:t>年废水排放口安装在线监测设施，</w:t>
      </w:r>
      <w:r w:rsidRPr="00F614F9">
        <w:rPr>
          <w:rFonts w:ascii="Times New Roman" w:eastAsia="宋体" w:hAnsi="Times New Roman" w:cs="Times New Roman"/>
          <w:sz w:val="18"/>
          <w:szCs w:val="18"/>
        </w:rPr>
        <w:t>2023</w:t>
      </w:r>
      <w:r w:rsidRPr="00F614F9">
        <w:rPr>
          <w:rFonts w:ascii="Times New Roman" w:eastAsia="宋体" w:hAnsi="Times New Roman" w:cs="Times New Roman"/>
          <w:sz w:val="18"/>
          <w:szCs w:val="18"/>
        </w:rPr>
        <w:t>年巴中龙大肉食品有限公司环保设施调试运行中。</w:t>
      </w:r>
    </w:p>
    <w:p w14:paraId="4B303839" w14:textId="77777777" w:rsidR="00084E30" w:rsidRPr="00F614F9" w:rsidRDefault="00000000" w:rsidP="003D1157">
      <w:pPr>
        <w:spacing w:before="100" w:after="100" w:line="276" w:lineRule="auto"/>
        <w:rPr>
          <w:rFonts w:ascii="Times New Roman" w:eastAsia="宋体" w:hAnsi="Times New Roman" w:cs="宋体"/>
          <w:sz w:val="18"/>
          <w:szCs w:val="18"/>
        </w:rPr>
      </w:pPr>
      <w:r w:rsidRPr="00F614F9">
        <w:rPr>
          <w:rFonts w:ascii="Times New Roman" w:eastAsia="宋体" w:hAnsi="Times New Roman" w:cs="宋体"/>
          <w:sz w:val="18"/>
          <w:szCs w:val="18"/>
        </w:rPr>
        <w:t>突发环境事件应急预案</w:t>
      </w:r>
    </w:p>
    <w:p w14:paraId="13E9BE1F" w14:textId="77777777" w:rsidR="00872599" w:rsidRPr="00F614F9" w:rsidRDefault="00000000" w:rsidP="003D1157">
      <w:pPr>
        <w:spacing w:before="100" w:after="100" w:line="276" w:lineRule="auto"/>
        <w:ind w:firstLineChars="200" w:firstLine="360"/>
        <w:jc w:val="both"/>
        <w:rPr>
          <w:rFonts w:ascii="Times New Roman" w:eastAsia="宋体" w:hAnsi="Times New Roman" w:cs="Times New Roman"/>
          <w:sz w:val="18"/>
          <w:szCs w:val="18"/>
        </w:rPr>
      </w:pPr>
      <w:r w:rsidRPr="00F614F9">
        <w:rPr>
          <w:rFonts w:ascii="Times New Roman" w:eastAsia="宋体" w:hAnsi="Times New Roman" w:cs="Times New Roman"/>
          <w:sz w:val="18"/>
          <w:szCs w:val="18"/>
        </w:rPr>
        <w:t>山东龙大美食股份有限公司、潍坊振</w:t>
      </w:r>
      <w:proofErr w:type="gramStart"/>
      <w:r w:rsidRPr="00F614F9">
        <w:rPr>
          <w:rFonts w:ascii="Times New Roman" w:eastAsia="宋体" w:hAnsi="Times New Roman" w:cs="Times New Roman"/>
          <w:sz w:val="18"/>
          <w:szCs w:val="18"/>
        </w:rPr>
        <w:t>祥</w:t>
      </w:r>
      <w:proofErr w:type="gramEnd"/>
      <w:r w:rsidRPr="00F614F9">
        <w:rPr>
          <w:rFonts w:ascii="Times New Roman" w:eastAsia="宋体" w:hAnsi="Times New Roman" w:cs="Times New Roman"/>
          <w:sz w:val="18"/>
          <w:szCs w:val="18"/>
        </w:rPr>
        <w:t>食品有限公司、聊城龙大肉食品有限公司、河南龙大牧原肉食品有限公司、蓬莱富龙肉食品有限公司、黑龙江龙大肉食品有限公司、巴中龙大肉食品有限公司均编制了《突发环境事件应急预案》，对突发环境事件的应急措施进行了详细的表述，并定期组织开展预案的培训和演练，切实提高了企业应对突发环境污染事件的应急响应能力和处置能力，均已备案。</w:t>
      </w:r>
    </w:p>
    <w:p w14:paraId="092F75D2" w14:textId="77777777" w:rsidR="001D26E7" w:rsidRPr="00F614F9" w:rsidRDefault="00000000" w:rsidP="003D1157">
      <w:pPr>
        <w:spacing w:before="100" w:after="100" w:line="276" w:lineRule="auto"/>
        <w:rPr>
          <w:rFonts w:ascii="Times New Roman" w:eastAsia="宋体" w:hAnsi="Times New Roman" w:cs="宋体"/>
          <w:sz w:val="18"/>
          <w:szCs w:val="18"/>
        </w:rPr>
      </w:pPr>
      <w:r w:rsidRPr="00F614F9">
        <w:rPr>
          <w:rFonts w:ascii="Times New Roman" w:eastAsia="宋体" w:hAnsi="Times New Roman" w:cs="宋体"/>
          <w:sz w:val="18"/>
          <w:szCs w:val="18"/>
        </w:rPr>
        <w:t>环境自行监测方案</w:t>
      </w:r>
    </w:p>
    <w:p w14:paraId="7CC7A27F" w14:textId="77777777" w:rsidR="00872599" w:rsidRPr="00F614F9" w:rsidRDefault="00000000" w:rsidP="003D1157">
      <w:pPr>
        <w:pStyle w:val="a3"/>
        <w:spacing w:before="40" w:beforeAutospacing="0" w:after="40" w:afterAutospacing="0" w:line="276" w:lineRule="auto"/>
        <w:ind w:firstLine="360"/>
        <w:jc w:val="both"/>
        <w:divId w:val="1693994839"/>
        <w:rPr>
          <w:rFonts w:ascii="Times New Roman" w:hAnsi="Times New Roman"/>
        </w:rPr>
      </w:pPr>
      <w:r w:rsidRPr="00F614F9">
        <w:rPr>
          <w:rFonts w:ascii="Times New Roman" w:hAnsi="Times New Roman" w:hint="eastAsia"/>
          <w:sz w:val="18"/>
          <w:szCs w:val="18"/>
        </w:rPr>
        <w:t>山东龙大美食股份有限公司、潍坊振</w:t>
      </w:r>
      <w:proofErr w:type="gramStart"/>
      <w:r w:rsidRPr="00F614F9">
        <w:rPr>
          <w:rFonts w:ascii="Times New Roman" w:hAnsi="Times New Roman" w:hint="eastAsia"/>
          <w:sz w:val="18"/>
          <w:szCs w:val="18"/>
        </w:rPr>
        <w:t>祥</w:t>
      </w:r>
      <w:proofErr w:type="gramEnd"/>
      <w:r w:rsidRPr="00F614F9">
        <w:rPr>
          <w:rFonts w:ascii="Times New Roman" w:hAnsi="Times New Roman" w:hint="eastAsia"/>
          <w:sz w:val="18"/>
          <w:szCs w:val="18"/>
        </w:rPr>
        <w:t>食品有限公司、聊城龙大肉食品有限公司、河南龙大牧原肉食品有限公司、蓬莱富龙肉食品有限公司、黑龙江龙大肉食品有限公司、巴中龙大肉食品有限公司均严格遵守国家及地方法律、法规和相关规定，并由公司委托第三方定期对公司排放污染物进行监测，均设置有污水排口污染源在线监测监控系统。</w:t>
      </w:r>
    </w:p>
    <w:p w14:paraId="11B1DE99" w14:textId="77777777" w:rsidR="001D26E7" w:rsidRPr="00F614F9" w:rsidRDefault="00000000" w:rsidP="003D1157">
      <w:pPr>
        <w:spacing w:before="100" w:after="100" w:line="276" w:lineRule="auto"/>
        <w:jc w:val="both"/>
        <w:rPr>
          <w:rFonts w:ascii="Times New Roman" w:eastAsia="宋体" w:hAnsi="Times New Roman" w:cs="宋体"/>
          <w:sz w:val="18"/>
          <w:szCs w:val="18"/>
        </w:rPr>
      </w:pPr>
      <w:r w:rsidRPr="00F614F9">
        <w:rPr>
          <w:rFonts w:ascii="Times New Roman" w:eastAsia="宋体" w:hAnsi="Times New Roman" w:cs="宋体"/>
          <w:sz w:val="18"/>
          <w:szCs w:val="18"/>
        </w:rPr>
        <w:t>环境治理和保护的投入及缴纳环境保护税的相关情况</w:t>
      </w:r>
    </w:p>
    <w:p w14:paraId="6FB53BD1" w14:textId="77777777" w:rsidR="00872599" w:rsidRPr="00F614F9" w:rsidRDefault="00000000" w:rsidP="003D1157">
      <w:pPr>
        <w:pStyle w:val="a3"/>
        <w:spacing w:before="40" w:beforeAutospacing="0" w:after="40" w:afterAutospacing="0" w:line="276" w:lineRule="auto"/>
        <w:ind w:firstLine="360"/>
        <w:jc w:val="both"/>
        <w:divId w:val="1402558531"/>
        <w:rPr>
          <w:rFonts w:ascii="Times New Roman" w:hAnsi="Times New Roman"/>
        </w:rPr>
      </w:pPr>
      <w:r w:rsidRPr="00F614F9">
        <w:rPr>
          <w:rFonts w:ascii="Times New Roman" w:hAnsi="Times New Roman" w:hint="eastAsia"/>
          <w:sz w:val="18"/>
          <w:szCs w:val="18"/>
        </w:rPr>
        <w:t>聊城龙大肉食品有限公司投资</w:t>
      </w:r>
      <w:r w:rsidRPr="00F614F9">
        <w:rPr>
          <w:rFonts w:ascii="Times New Roman" w:hAnsi="Times New Roman" w:hint="eastAsia"/>
          <w:sz w:val="18"/>
          <w:szCs w:val="18"/>
        </w:rPr>
        <w:t>1587379.35</w:t>
      </w:r>
      <w:r w:rsidRPr="00F614F9">
        <w:rPr>
          <w:rFonts w:ascii="Times New Roman" w:hAnsi="Times New Roman" w:hint="eastAsia"/>
          <w:sz w:val="18"/>
          <w:szCs w:val="18"/>
        </w:rPr>
        <w:t>元，建设处理能力</w:t>
      </w:r>
      <w:r w:rsidRPr="00F614F9">
        <w:rPr>
          <w:rFonts w:ascii="Times New Roman" w:hAnsi="Times New Roman" w:hint="eastAsia"/>
          <w:sz w:val="18"/>
          <w:szCs w:val="18"/>
        </w:rPr>
        <w:t>240000m</w:t>
      </w:r>
      <w:r w:rsidRPr="00F614F9">
        <w:rPr>
          <w:rFonts w:ascii="Times New Roman" w:hAnsi="Times New Roman" w:hint="eastAsia"/>
          <w:sz w:val="18"/>
          <w:szCs w:val="18"/>
        </w:rPr>
        <w:t>³</w:t>
      </w:r>
      <w:r w:rsidRPr="00F614F9">
        <w:rPr>
          <w:rFonts w:ascii="Times New Roman" w:hAnsi="Times New Roman" w:hint="eastAsia"/>
          <w:sz w:val="18"/>
          <w:szCs w:val="18"/>
        </w:rPr>
        <w:t>/h</w:t>
      </w:r>
      <w:r w:rsidRPr="00F614F9">
        <w:rPr>
          <w:rFonts w:ascii="Times New Roman" w:hAnsi="Times New Roman" w:hint="eastAsia"/>
          <w:sz w:val="18"/>
          <w:szCs w:val="18"/>
        </w:rPr>
        <w:t>待宰栏和车间废气处理设施</w:t>
      </w:r>
      <w:r w:rsidRPr="00F614F9">
        <w:rPr>
          <w:rFonts w:ascii="Times New Roman" w:hAnsi="Times New Roman" w:hint="eastAsia"/>
          <w:sz w:val="18"/>
          <w:szCs w:val="18"/>
        </w:rPr>
        <w:t>2</w:t>
      </w:r>
      <w:r w:rsidRPr="00F614F9">
        <w:rPr>
          <w:rFonts w:ascii="Times New Roman" w:hAnsi="Times New Roman" w:hint="eastAsia"/>
          <w:sz w:val="18"/>
          <w:szCs w:val="18"/>
        </w:rPr>
        <w:t>套，竣工后投入运行。</w:t>
      </w:r>
    </w:p>
    <w:p w14:paraId="16C4AF86" w14:textId="77777777" w:rsidR="00872599" w:rsidRPr="00F614F9" w:rsidRDefault="00000000" w:rsidP="003D1157">
      <w:pPr>
        <w:pStyle w:val="a3"/>
        <w:spacing w:before="40" w:beforeAutospacing="0" w:after="40" w:afterAutospacing="0" w:line="276" w:lineRule="auto"/>
        <w:ind w:firstLine="360"/>
        <w:jc w:val="both"/>
        <w:divId w:val="1402558531"/>
        <w:rPr>
          <w:rFonts w:ascii="Times New Roman" w:hAnsi="Times New Roman"/>
        </w:rPr>
      </w:pPr>
      <w:r w:rsidRPr="00F614F9">
        <w:rPr>
          <w:rFonts w:ascii="Times New Roman" w:hAnsi="Times New Roman" w:hint="eastAsia"/>
          <w:color w:val="000000"/>
          <w:sz w:val="18"/>
          <w:szCs w:val="18"/>
        </w:rPr>
        <w:t>巴中龙大肉食品有限公司投资</w:t>
      </w:r>
      <w:r w:rsidRPr="00F614F9">
        <w:rPr>
          <w:rFonts w:ascii="Times New Roman" w:hAnsi="Times New Roman" w:hint="eastAsia"/>
          <w:color w:val="000000"/>
          <w:sz w:val="18"/>
          <w:szCs w:val="18"/>
        </w:rPr>
        <w:t>500</w:t>
      </w:r>
      <w:r w:rsidRPr="00F614F9">
        <w:rPr>
          <w:rFonts w:ascii="Times New Roman" w:hAnsi="Times New Roman" w:hint="eastAsia"/>
          <w:color w:val="000000"/>
          <w:sz w:val="18"/>
          <w:szCs w:val="18"/>
        </w:rPr>
        <w:t>万元，建设日处理能力</w:t>
      </w:r>
      <w:r w:rsidRPr="00F614F9">
        <w:rPr>
          <w:rFonts w:ascii="Times New Roman" w:hAnsi="Times New Roman" w:hint="eastAsia"/>
          <w:color w:val="000000"/>
          <w:sz w:val="18"/>
          <w:szCs w:val="18"/>
        </w:rPr>
        <w:t>1500m</w:t>
      </w:r>
      <w:r w:rsidRPr="00F614F9">
        <w:rPr>
          <w:rFonts w:ascii="Times New Roman" w:hAnsi="Times New Roman" w:hint="eastAsia"/>
          <w:color w:val="000000"/>
          <w:sz w:val="18"/>
          <w:szCs w:val="18"/>
        </w:rPr>
        <w:t>³污水站一座，废气处理设施一座，投资</w:t>
      </w:r>
      <w:r w:rsidRPr="00F614F9">
        <w:rPr>
          <w:rFonts w:ascii="Times New Roman" w:hAnsi="Times New Roman" w:hint="eastAsia"/>
          <w:color w:val="000000"/>
          <w:sz w:val="18"/>
          <w:szCs w:val="18"/>
        </w:rPr>
        <w:t>50</w:t>
      </w:r>
      <w:r w:rsidRPr="00F614F9">
        <w:rPr>
          <w:rFonts w:ascii="Times New Roman" w:hAnsi="Times New Roman" w:hint="eastAsia"/>
          <w:color w:val="000000"/>
          <w:sz w:val="18"/>
          <w:szCs w:val="18"/>
        </w:rPr>
        <w:t>万元。除河南</w:t>
      </w:r>
      <w:proofErr w:type="gramStart"/>
      <w:r w:rsidRPr="00F614F9">
        <w:rPr>
          <w:rFonts w:ascii="Times New Roman" w:hAnsi="Times New Roman" w:hint="eastAsia"/>
          <w:color w:val="000000"/>
          <w:sz w:val="18"/>
          <w:szCs w:val="18"/>
        </w:rPr>
        <w:t>龙大牧原肉食品</w:t>
      </w:r>
      <w:proofErr w:type="gramEnd"/>
      <w:r w:rsidRPr="00F614F9">
        <w:rPr>
          <w:rFonts w:ascii="Times New Roman" w:hAnsi="Times New Roman" w:hint="eastAsia"/>
          <w:color w:val="000000"/>
          <w:sz w:val="18"/>
          <w:szCs w:val="18"/>
        </w:rPr>
        <w:t>、蓬莱富龙肉食品有限公司外，其他公司污水均排入城市下水道，不缴纳废水环境税。</w:t>
      </w:r>
    </w:p>
    <w:p w14:paraId="128E5F0E" w14:textId="77777777" w:rsidR="00872599" w:rsidRPr="00F614F9" w:rsidRDefault="00000000" w:rsidP="003D1157">
      <w:pPr>
        <w:pStyle w:val="a3"/>
        <w:spacing w:before="40" w:beforeAutospacing="0" w:after="40" w:afterAutospacing="0" w:line="276" w:lineRule="auto"/>
        <w:jc w:val="both"/>
        <w:divId w:val="1402558531"/>
        <w:rPr>
          <w:rFonts w:ascii="Times New Roman" w:hAnsi="Times New Roman"/>
        </w:rPr>
      </w:pPr>
      <w:r w:rsidRPr="00F614F9">
        <w:rPr>
          <w:rFonts w:ascii="Times New Roman" w:hAnsi="Times New Roman" w:hint="eastAsia"/>
          <w:sz w:val="18"/>
          <w:szCs w:val="18"/>
        </w:rPr>
        <w:t xml:space="preserve">  </w:t>
      </w:r>
      <w:r w:rsidRPr="00F614F9">
        <w:rPr>
          <w:rFonts w:ascii="Times New Roman" w:hAnsi="Times New Roman" w:hint="eastAsia"/>
          <w:sz w:val="18"/>
          <w:szCs w:val="18"/>
        </w:rPr>
        <w:t>河南龙大牧原肉食品有限公司、聊城龙大肉食品有限公司、潍坊振</w:t>
      </w:r>
      <w:proofErr w:type="gramStart"/>
      <w:r w:rsidRPr="00F614F9">
        <w:rPr>
          <w:rFonts w:ascii="Times New Roman" w:hAnsi="Times New Roman" w:hint="eastAsia"/>
          <w:sz w:val="18"/>
          <w:szCs w:val="18"/>
        </w:rPr>
        <w:t>祥</w:t>
      </w:r>
      <w:proofErr w:type="gramEnd"/>
      <w:r w:rsidRPr="00F614F9">
        <w:rPr>
          <w:rFonts w:ascii="Times New Roman" w:hAnsi="Times New Roman" w:hint="eastAsia"/>
          <w:sz w:val="18"/>
          <w:szCs w:val="18"/>
        </w:rPr>
        <w:t>食品有限公司、黑龙江龙大肉食品有限公司、巴中龙大肉食品有限公司</w:t>
      </w:r>
      <w:r w:rsidRPr="00F614F9">
        <w:rPr>
          <w:rFonts w:ascii="Times New Roman" w:hAnsi="Times New Roman" w:hint="eastAsia"/>
          <w:sz w:val="18"/>
          <w:szCs w:val="18"/>
        </w:rPr>
        <w:t>2023</w:t>
      </w:r>
      <w:r w:rsidRPr="00F614F9">
        <w:rPr>
          <w:rFonts w:ascii="Times New Roman" w:hAnsi="Times New Roman" w:hint="eastAsia"/>
          <w:sz w:val="18"/>
          <w:szCs w:val="18"/>
        </w:rPr>
        <w:t>年均已按相关规定足额缴纳环境保护税。</w:t>
      </w:r>
    </w:p>
    <w:p w14:paraId="7AE1587A" w14:textId="77777777" w:rsidR="001D26E7" w:rsidRPr="00F614F9" w:rsidRDefault="00000000" w:rsidP="003D1157">
      <w:pPr>
        <w:spacing w:before="100" w:after="100" w:line="276" w:lineRule="auto"/>
        <w:rPr>
          <w:rFonts w:ascii="Times New Roman" w:eastAsia="宋体" w:hAnsi="Times New Roman" w:cs="宋体"/>
          <w:sz w:val="18"/>
          <w:szCs w:val="18"/>
        </w:rPr>
      </w:pPr>
      <w:r w:rsidRPr="00F614F9">
        <w:rPr>
          <w:rFonts w:ascii="Times New Roman" w:eastAsia="宋体" w:hAnsi="Times New Roman" w:cs="宋体"/>
          <w:sz w:val="18"/>
          <w:szCs w:val="18"/>
        </w:rPr>
        <w:t>在报告期内为减少其碳排放所采取的措施及效果</w:t>
      </w:r>
    </w:p>
    <w:p w14:paraId="320C2999" w14:textId="77777777" w:rsidR="001D26E7" w:rsidRPr="00F614F9" w:rsidRDefault="00000000" w:rsidP="003D1157">
      <w:pPr>
        <w:spacing w:before="100" w:after="100" w:line="276" w:lineRule="auto"/>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17A48E01" w14:textId="77777777" w:rsidR="00872599" w:rsidRPr="00F614F9" w:rsidRDefault="00000000">
      <w:pPr>
        <w:pStyle w:val="a3"/>
        <w:spacing w:before="40" w:beforeAutospacing="0" w:after="40" w:afterAutospacing="0"/>
        <w:ind w:firstLine="360"/>
        <w:jc w:val="both"/>
        <w:divId w:val="553588732"/>
        <w:rPr>
          <w:rFonts w:ascii="Times New Roman" w:hAnsi="Times New Roman"/>
        </w:rPr>
      </w:pPr>
      <w:r w:rsidRPr="00F614F9">
        <w:rPr>
          <w:rFonts w:ascii="Times New Roman" w:hAnsi="Times New Roman" w:hint="eastAsia"/>
          <w:sz w:val="18"/>
          <w:szCs w:val="18"/>
        </w:rPr>
        <w:t>潍坊振</w:t>
      </w:r>
      <w:proofErr w:type="gramStart"/>
      <w:r w:rsidRPr="00F614F9">
        <w:rPr>
          <w:rFonts w:ascii="Times New Roman" w:hAnsi="Times New Roman" w:hint="eastAsia"/>
          <w:sz w:val="18"/>
          <w:szCs w:val="18"/>
        </w:rPr>
        <w:t>祥</w:t>
      </w:r>
      <w:proofErr w:type="gramEnd"/>
      <w:r w:rsidRPr="00F614F9">
        <w:rPr>
          <w:rFonts w:ascii="Times New Roman" w:hAnsi="Times New Roman" w:hint="eastAsia"/>
          <w:sz w:val="18"/>
          <w:szCs w:val="18"/>
        </w:rPr>
        <w:t>食品有限公司利用车间屋面等安装光伏发电设备，装机容量</w:t>
      </w:r>
      <w:r w:rsidRPr="00F614F9">
        <w:rPr>
          <w:rFonts w:ascii="Times New Roman" w:hAnsi="Times New Roman" w:hint="eastAsia"/>
          <w:sz w:val="18"/>
          <w:szCs w:val="18"/>
        </w:rPr>
        <w:t>520kW</w:t>
      </w:r>
      <w:r w:rsidRPr="00F614F9">
        <w:rPr>
          <w:rFonts w:ascii="Times New Roman" w:hAnsi="Times New Roman" w:hint="eastAsia"/>
          <w:sz w:val="18"/>
          <w:szCs w:val="18"/>
        </w:rPr>
        <w:t>，</w:t>
      </w:r>
      <w:r w:rsidRPr="00F614F9">
        <w:rPr>
          <w:rFonts w:ascii="Times New Roman" w:hAnsi="Times New Roman" w:hint="eastAsia"/>
          <w:sz w:val="18"/>
          <w:szCs w:val="18"/>
        </w:rPr>
        <w:t>2023</w:t>
      </w:r>
      <w:r w:rsidRPr="00F614F9">
        <w:rPr>
          <w:rFonts w:ascii="Times New Roman" w:hAnsi="Times New Roman" w:hint="eastAsia"/>
          <w:sz w:val="18"/>
          <w:szCs w:val="18"/>
        </w:rPr>
        <w:t>年光伏发电量</w:t>
      </w:r>
      <w:r w:rsidRPr="00F614F9">
        <w:rPr>
          <w:rFonts w:ascii="Times New Roman" w:hAnsi="Times New Roman" w:hint="eastAsia"/>
          <w:sz w:val="18"/>
          <w:szCs w:val="18"/>
        </w:rPr>
        <w:t>648990kwh</w:t>
      </w:r>
      <w:r w:rsidRPr="00F614F9">
        <w:rPr>
          <w:rFonts w:ascii="Times New Roman" w:hAnsi="Times New Roman" w:hint="eastAsia"/>
          <w:sz w:val="18"/>
          <w:szCs w:val="18"/>
        </w:rPr>
        <w:t>；河南龙大牧原肉食品有限公司光伏发电装机容量</w:t>
      </w:r>
      <w:r w:rsidRPr="00F614F9">
        <w:rPr>
          <w:rFonts w:ascii="Times New Roman" w:hAnsi="Times New Roman" w:hint="eastAsia"/>
          <w:sz w:val="18"/>
          <w:szCs w:val="18"/>
        </w:rPr>
        <w:t>2,290kW</w:t>
      </w:r>
      <w:r w:rsidRPr="00F614F9">
        <w:rPr>
          <w:rFonts w:ascii="Times New Roman" w:hAnsi="Times New Roman" w:hint="eastAsia"/>
          <w:sz w:val="18"/>
          <w:szCs w:val="18"/>
        </w:rPr>
        <w:t>，</w:t>
      </w:r>
      <w:r w:rsidRPr="00F614F9">
        <w:rPr>
          <w:rFonts w:ascii="Times New Roman" w:hAnsi="Times New Roman" w:hint="eastAsia"/>
          <w:sz w:val="18"/>
          <w:szCs w:val="18"/>
        </w:rPr>
        <w:t>2023</w:t>
      </w:r>
      <w:r w:rsidRPr="00F614F9">
        <w:rPr>
          <w:rFonts w:ascii="Times New Roman" w:hAnsi="Times New Roman" w:hint="eastAsia"/>
          <w:sz w:val="18"/>
          <w:szCs w:val="18"/>
        </w:rPr>
        <w:t>年光伏发电量</w:t>
      </w:r>
      <w:r w:rsidRPr="00F614F9">
        <w:rPr>
          <w:rFonts w:ascii="Times New Roman" w:hAnsi="Times New Roman" w:hint="eastAsia"/>
          <w:sz w:val="18"/>
          <w:szCs w:val="18"/>
        </w:rPr>
        <w:t>4789931kWh</w:t>
      </w:r>
      <w:r w:rsidRPr="00F614F9">
        <w:rPr>
          <w:rFonts w:ascii="Times New Roman" w:hAnsi="Times New Roman" w:hint="eastAsia"/>
          <w:sz w:val="18"/>
          <w:szCs w:val="18"/>
        </w:rPr>
        <w:t>；聊城龙大肉食品有限公司利用车间屋面等安装光伏发电设备，装机容量</w:t>
      </w:r>
      <w:r w:rsidRPr="00F614F9">
        <w:rPr>
          <w:rFonts w:ascii="Times New Roman" w:hAnsi="Times New Roman" w:hint="eastAsia"/>
          <w:sz w:val="18"/>
          <w:szCs w:val="18"/>
        </w:rPr>
        <w:t>1.2</w:t>
      </w:r>
      <w:r w:rsidRPr="00F614F9">
        <w:rPr>
          <w:rFonts w:ascii="Times New Roman" w:hAnsi="Times New Roman" w:hint="eastAsia"/>
          <w:sz w:val="18"/>
          <w:szCs w:val="18"/>
        </w:rPr>
        <w:t>兆瓦，</w:t>
      </w:r>
      <w:r w:rsidRPr="00F614F9">
        <w:rPr>
          <w:rFonts w:ascii="Times New Roman" w:hAnsi="Times New Roman" w:hint="eastAsia"/>
          <w:sz w:val="18"/>
          <w:szCs w:val="18"/>
        </w:rPr>
        <w:t>2023</w:t>
      </w:r>
      <w:r w:rsidRPr="00F614F9">
        <w:rPr>
          <w:rFonts w:ascii="Times New Roman" w:hAnsi="Times New Roman" w:hint="eastAsia"/>
          <w:sz w:val="18"/>
          <w:szCs w:val="18"/>
        </w:rPr>
        <w:t>年光伏发电量为</w:t>
      </w:r>
      <w:r w:rsidRPr="00F614F9">
        <w:rPr>
          <w:rFonts w:ascii="Times New Roman" w:hAnsi="Times New Roman" w:hint="eastAsia"/>
          <w:sz w:val="18"/>
          <w:szCs w:val="18"/>
        </w:rPr>
        <w:t>0</w:t>
      </w:r>
      <w:r w:rsidRPr="00F614F9">
        <w:rPr>
          <w:rFonts w:ascii="Times New Roman" w:hAnsi="Times New Roman" w:hint="eastAsia"/>
          <w:sz w:val="18"/>
          <w:szCs w:val="18"/>
        </w:rPr>
        <w:t>；</w:t>
      </w:r>
      <w:r w:rsidRPr="00F614F9">
        <w:rPr>
          <w:rFonts w:ascii="Times New Roman" w:hAnsi="Times New Roman" w:hint="eastAsia"/>
          <w:sz w:val="18"/>
          <w:szCs w:val="18"/>
        </w:rPr>
        <w:t>2024</w:t>
      </w:r>
      <w:r w:rsidRPr="00F614F9">
        <w:rPr>
          <w:rFonts w:ascii="Times New Roman" w:hAnsi="Times New Roman" w:hint="eastAsia"/>
          <w:sz w:val="18"/>
          <w:szCs w:val="18"/>
        </w:rPr>
        <w:t>年</w:t>
      </w:r>
      <w:r w:rsidRPr="00F614F9">
        <w:rPr>
          <w:rFonts w:ascii="Times New Roman" w:hAnsi="Times New Roman" w:hint="eastAsia"/>
          <w:sz w:val="18"/>
          <w:szCs w:val="18"/>
        </w:rPr>
        <w:t>1</w:t>
      </w:r>
      <w:r w:rsidRPr="00F614F9">
        <w:rPr>
          <w:rFonts w:ascii="Times New Roman" w:hAnsi="Times New Roman" w:hint="eastAsia"/>
          <w:sz w:val="18"/>
          <w:szCs w:val="18"/>
        </w:rPr>
        <w:t>月</w:t>
      </w:r>
      <w:r w:rsidRPr="00F614F9">
        <w:rPr>
          <w:rFonts w:ascii="Times New Roman" w:hAnsi="Times New Roman" w:hint="eastAsia"/>
          <w:sz w:val="18"/>
          <w:szCs w:val="18"/>
        </w:rPr>
        <w:t>8</w:t>
      </w:r>
      <w:r w:rsidRPr="00F614F9">
        <w:rPr>
          <w:rFonts w:ascii="Times New Roman" w:hAnsi="Times New Roman" w:hint="eastAsia"/>
          <w:sz w:val="18"/>
          <w:szCs w:val="18"/>
        </w:rPr>
        <w:t>日投入使用。</w:t>
      </w:r>
    </w:p>
    <w:p w14:paraId="1EE8716A"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报告期内因环境问题受到行政处罚的情况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1606"/>
        <w:gridCol w:w="1606"/>
        <w:gridCol w:w="1606"/>
        <w:gridCol w:w="1607"/>
        <w:gridCol w:w="1462"/>
        <w:gridCol w:w="1752"/>
      </w:tblGrid>
      <w:tr w:rsidR="001D26E7" w:rsidRPr="00F614F9" w14:paraId="2050C24D" w14:textId="77777777" w:rsidTr="003D115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653BA0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公司或子公司名称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515C76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处罚原因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F8EF71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违规情形</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7AA8C8F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处罚结果</w:t>
            </w:r>
          </w:p>
        </w:tc>
        <w:tc>
          <w:tcPr>
            <w:tcW w:w="1462" w:type="dxa"/>
            <w:tcBorders>
              <w:top w:val="single" w:sz="2" w:space="0" w:color="auto"/>
              <w:left w:val="single" w:sz="2" w:space="0" w:color="auto"/>
              <w:bottom w:val="single" w:sz="2" w:space="0" w:color="auto"/>
              <w:right w:val="single" w:sz="2" w:space="0" w:color="auto"/>
            </w:tcBorders>
            <w:shd w:val="clear" w:color="auto" w:fill="D3D3D3"/>
            <w:vAlign w:val="center"/>
          </w:tcPr>
          <w:p w14:paraId="3832E01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对上市公司生产经营的影响</w:t>
            </w:r>
          </w:p>
        </w:tc>
        <w:tc>
          <w:tcPr>
            <w:tcW w:w="1752" w:type="dxa"/>
            <w:tcBorders>
              <w:top w:val="single" w:sz="2" w:space="0" w:color="auto"/>
              <w:left w:val="single" w:sz="2" w:space="0" w:color="auto"/>
              <w:bottom w:val="single" w:sz="2" w:space="0" w:color="auto"/>
              <w:right w:val="single" w:sz="2" w:space="0" w:color="auto"/>
            </w:tcBorders>
            <w:shd w:val="clear" w:color="auto" w:fill="D3D3D3"/>
            <w:vAlign w:val="center"/>
          </w:tcPr>
          <w:p w14:paraId="12CB679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公司的整改措施</w:t>
            </w:r>
          </w:p>
        </w:tc>
      </w:tr>
      <w:tr w:rsidR="001D26E7" w:rsidRPr="00F614F9" w14:paraId="5BDA1D58" w14:textId="77777777" w:rsidTr="003D115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53AC64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聊城龙大肉食品有</w:t>
            </w:r>
            <w:r w:rsidRPr="00F614F9">
              <w:rPr>
                <w:rFonts w:ascii="Times New Roman" w:eastAsia="宋体" w:hAnsi="Times New Roman" w:cs="宋体"/>
                <w:sz w:val="18"/>
                <w:szCs w:val="18"/>
              </w:rPr>
              <w:lastRenderedPageBreak/>
              <w:t>限公司</w:t>
            </w:r>
          </w:p>
        </w:tc>
        <w:tc>
          <w:tcPr>
            <w:tcW w:w="1606" w:type="dxa"/>
            <w:tcBorders>
              <w:top w:val="single" w:sz="2" w:space="0" w:color="auto"/>
              <w:left w:val="single" w:sz="2" w:space="0" w:color="auto"/>
              <w:bottom w:val="single" w:sz="2" w:space="0" w:color="auto"/>
              <w:right w:val="single" w:sz="2" w:space="0" w:color="auto"/>
            </w:tcBorders>
            <w:vAlign w:val="center"/>
          </w:tcPr>
          <w:p w14:paraId="4AD5AED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未按照排污许可证</w:t>
            </w:r>
            <w:r w:rsidRPr="00F614F9">
              <w:rPr>
                <w:rFonts w:ascii="Times New Roman" w:eastAsia="宋体" w:hAnsi="Times New Roman" w:cs="宋体"/>
                <w:sz w:val="18"/>
                <w:szCs w:val="18"/>
              </w:rPr>
              <w:lastRenderedPageBreak/>
              <w:t>要求，对磷酸盐进行每季度一次自行监测</w:t>
            </w:r>
          </w:p>
        </w:tc>
        <w:tc>
          <w:tcPr>
            <w:tcW w:w="1606" w:type="dxa"/>
            <w:tcBorders>
              <w:top w:val="single" w:sz="2" w:space="0" w:color="auto"/>
              <w:left w:val="single" w:sz="2" w:space="0" w:color="auto"/>
              <w:bottom w:val="single" w:sz="2" w:space="0" w:color="auto"/>
              <w:right w:val="single" w:sz="2" w:space="0" w:color="auto"/>
            </w:tcBorders>
            <w:vAlign w:val="center"/>
          </w:tcPr>
          <w:p w14:paraId="02A1638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2022</w:t>
            </w:r>
            <w:r w:rsidRPr="00F614F9">
              <w:rPr>
                <w:rFonts w:ascii="Times New Roman" w:eastAsia="宋体" w:hAnsi="Times New Roman" w:cs="宋体"/>
                <w:sz w:val="18"/>
                <w:szCs w:val="18"/>
              </w:rPr>
              <w:t>年第一、二季</w:t>
            </w:r>
            <w:r w:rsidRPr="00F614F9">
              <w:rPr>
                <w:rFonts w:ascii="Times New Roman" w:eastAsia="宋体" w:hAnsi="Times New Roman" w:cs="宋体"/>
                <w:sz w:val="18"/>
                <w:szCs w:val="18"/>
              </w:rPr>
              <w:lastRenderedPageBreak/>
              <w:t>度自行监测报告未按照排污许可证要求对磷酸盐进行监测</w:t>
            </w:r>
          </w:p>
        </w:tc>
        <w:tc>
          <w:tcPr>
            <w:tcW w:w="1607" w:type="dxa"/>
            <w:tcBorders>
              <w:top w:val="single" w:sz="2" w:space="0" w:color="auto"/>
              <w:left w:val="single" w:sz="2" w:space="0" w:color="auto"/>
              <w:bottom w:val="single" w:sz="2" w:space="0" w:color="auto"/>
              <w:right w:val="single" w:sz="2" w:space="0" w:color="auto"/>
            </w:tcBorders>
            <w:vAlign w:val="center"/>
          </w:tcPr>
          <w:p w14:paraId="0473B0F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根据《排污许可证</w:t>
            </w:r>
            <w:r w:rsidRPr="00F614F9">
              <w:rPr>
                <w:rFonts w:ascii="Times New Roman" w:eastAsia="宋体" w:hAnsi="Times New Roman" w:cs="宋体"/>
                <w:sz w:val="18"/>
                <w:szCs w:val="18"/>
              </w:rPr>
              <w:lastRenderedPageBreak/>
              <w:t>管理条例》第三十六条第五项及参照《山东省生态环境行政处罚裁量基准》，聊城市生态环境局做出罚款人民币</w:t>
            </w:r>
            <w:r w:rsidRPr="00F614F9">
              <w:rPr>
                <w:rFonts w:ascii="Times New Roman" w:eastAsia="宋体" w:hAnsi="Times New Roman" w:cs="宋体"/>
                <w:sz w:val="18"/>
                <w:szCs w:val="18"/>
              </w:rPr>
              <w:t>28,438</w:t>
            </w:r>
            <w:r w:rsidRPr="00F614F9">
              <w:rPr>
                <w:rFonts w:ascii="Times New Roman" w:eastAsia="宋体" w:hAnsi="Times New Roman" w:cs="宋体"/>
                <w:sz w:val="18"/>
                <w:szCs w:val="18"/>
              </w:rPr>
              <w:t>的行政处罚。</w:t>
            </w:r>
          </w:p>
        </w:tc>
        <w:tc>
          <w:tcPr>
            <w:tcW w:w="1462" w:type="dxa"/>
            <w:tcBorders>
              <w:top w:val="single" w:sz="2" w:space="0" w:color="auto"/>
              <w:left w:val="single" w:sz="2" w:space="0" w:color="auto"/>
              <w:bottom w:val="single" w:sz="2" w:space="0" w:color="auto"/>
              <w:right w:val="single" w:sz="2" w:space="0" w:color="auto"/>
            </w:tcBorders>
            <w:vAlign w:val="center"/>
          </w:tcPr>
          <w:p w14:paraId="6559EBA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公司已委托第三</w:t>
            </w:r>
            <w:r w:rsidRPr="00F614F9">
              <w:rPr>
                <w:rFonts w:ascii="Times New Roman" w:eastAsia="宋体" w:hAnsi="Times New Roman" w:cs="宋体"/>
                <w:sz w:val="18"/>
                <w:szCs w:val="18"/>
              </w:rPr>
              <w:lastRenderedPageBreak/>
              <w:t>方机构对磷酸盐进行监测。本次处罚不会对公司生产经营产生重大不利影响。</w:t>
            </w:r>
          </w:p>
        </w:tc>
        <w:tc>
          <w:tcPr>
            <w:tcW w:w="1752" w:type="dxa"/>
            <w:tcBorders>
              <w:top w:val="single" w:sz="2" w:space="0" w:color="auto"/>
              <w:left w:val="single" w:sz="2" w:space="0" w:color="auto"/>
              <w:bottom w:val="single" w:sz="2" w:space="0" w:color="auto"/>
              <w:right w:val="single" w:sz="2" w:space="0" w:color="auto"/>
            </w:tcBorders>
            <w:vAlign w:val="center"/>
          </w:tcPr>
          <w:p w14:paraId="45B214F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按照排污许可证要求</w:t>
            </w:r>
            <w:r w:rsidRPr="00F614F9">
              <w:rPr>
                <w:rFonts w:ascii="Times New Roman" w:eastAsia="宋体" w:hAnsi="Times New Roman" w:cs="宋体"/>
                <w:sz w:val="18"/>
                <w:szCs w:val="18"/>
              </w:rPr>
              <w:lastRenderedPageBreak/>
              <w:t>进行自行监测</w:t>
            </w:r>
          </w:p>
        </w:tc>
      </w:tr>
    </w:tbl>
    <w:p w14:paraId="59A490D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其他应当公开的环境信息</w:t>
      </w:r>
    </w:p>
    <w:p w14:paraId="1956243C" w14:textId="77777777" w:rsidR="00872599" w:rsidRPr="00F614F9" w:rsidRDefault="00000000">
      <w:pPr>
        <w:pStyle w:val="a3"/>
        <w:divId w:val="674266926"/>
        <w:rPr>
          <w:rFonts w:ascii="Times New Roman" w:hAnsi="Times New Roman"/>
          <w:sz w:val="18"/>
          <w:szCs w:val="18"/>
        </w:rPr>
      </w:pPr>
      <w:r w:rsidRPr="00F614F9">
        <w:rPr>
          <w:rFonts w:ascii="Times New Roman" w:hAnsi="Times New Roman" w:hint="eastAsia"/>
          <w:sz w:val="18"/>
          <w:szCs w:val="18"/>
        </w:rPr>
        <w:t>无</w:t>
      </w:r>
    </w:p>
    <w:p w14:paraId="18B8E33F"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其他环保相关信息</w:t>
      </w:r>
    </w:p>
    <w:p w14:paraId="07F2AC60" w14:textId="77777777" w:rsidR="00872599" w:rsidRPr="00F614F9" w:rsidRDefault="00000000">
      <w:pPr>
        <w:pStyle w:val="a3"/>
        <w:divId w:val="1196650668"/>
        <w:rPr>
          <w:rFonts w:ascii="Times New Roman" w:hAnsi="Times New Roman"/>
          <w:sz w:val="18"/>
          <w:szCs w:val="18"/>
        </w:rPr>
      </w:pPr>
      <w:r w:rsidRPr="00F614F9">
        <w:rPr>
          <w:rFonts w:ascii="Times New Roman" w:hAnsi="Times New Roman" w:hint="eastAsia"/>
          <w:sz w:val="18"/>
          <w:szCs w:val="18"/>
        </w:rPr>
        <w:t>无</w:t>
      </w:r>
    </w:p>
    <w:p w14:paraId="03CB931B"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31" w:name="_Toc988982"/>
      <w:bookmarkStart w:id="132" w:name="_Toc164024786"/>
      <w:r w:rsidRPr="00F614F9">
        <w:rPr>
          <w:rFonts w:ascii="Times New Roman" w:eastAsia="宋体" w:hAnsi="Times New Roman" w:cs="宋体"/>
          <w:b/>
          <w:bCs/>
          <w:sz w:val="24"/>
          <w:szCs w:val="24"/>
        </w:rPr>
        <w:t>二、社会责任情况</w:t>
      </w:r>
      <w:bookmarkEnd w:id="131"/>
      <w:bookmarkEnd w:id="132"/>
    </w:p>
    <w:p w14:paraId="33D71713" w14:textId="77777777" w:rsidR="003D1157" w:rsidRPr="00F614F9" w:rsidRDefault="00000000">
      <w:pPr>
        <w:pStyle w:val="a3"/>
        <w:divId w:val="523398070"/>
        <w:rPr>
          <w:rFonts w:ascii="Times New Roman" w:hAnsi="Times New Roman"/>
          <w:sz w:val="18"/>
          <w:szCs w:val="18"/>
        </w:rPr>
      </w:pPr>
      <w:r w:rsidRPr="00F614F9">
        <w:rPr>
          <w:rFonts w:ascii="Times New Roman" w:hAnsi="Times New Roman" w:hint="eastAsia"/>
          <w:sz w:val="18"/>
          <w:szCs w:val="18"/>
        </w:rPr>
        <w:t>   </w:t>
      </w:r>
      <w:r w:rsidRPr="00F614F9">
        <w:rPr>
          <w:rFonts w:ascii="Times New Roman" w:hAnsi="Times New Roman" w:hint="eastAsia"/>
          <w:sz w:val="18"/>
          <w:szCs w:val="18"/>
        </w:rPr>
        <w:t>报告期内，公司不断优化生产经营管理，积极开拓市场，在公司发展壮大的同时，积极履行社会责任。</w:t>
      </w:r>
      <w:r w:rsidRPr="00F614F9">
        <w:rPr>
          <w:rFonts w:ascii="Times New Roman" w:hAnsi="Times New Roman" w:hint="eastAsia"/>
          <w:sz w:val="18"/>
          <w:szCs w:val="18"/>
        </w:rPr>
        <w:t xml:space="preserve"> </w:t>
      </w:r>
    </w:p>
    <w:p w14:paraId="5D9D0A71" w14:textId="77777777" w:rsidR="003D1157" w:rsidRPr="00F614F9" w:rsidRDefault="00000000" w:rsidP="003D1157">
      <w:pPr>
        <w:spacing w:line="276" w:lineRule="auto"/>
        <w:ind w:firstLineChars="200" w:firstLine="360"/>
        <w:divId w:val="523398070"/>
        <w:rPr>
          <w:rFonts w:ascii="Times New Roman" w:eastAsia="宋体" w:hAnsi="Times New Roman" w:cs="Times New Roman"/>
          <w:sz w:val="18"/>
          <w:szCs w:val="18"/>
        </w:rPr>
      </w:pPr>
      <w:r w:rsidRPr="00F614F9">
        <w:rPr>
          <w:rFonts w:ascii="Times New Roman" w:eastAsia="宋体" w:hAnsi="Times New Roman" w:cs="Times New Roman"/>
          <w:sz w:val="18"/>
          <w:szCs w:val="18"/>
        </w:rPr>
        <w:t xml:space="preserve">  1</w:t>
      </w:r>
      <w:r w:rsidRPr="00F614F9">
        <w:rPr>
          <w:rFonts w:ascii="Times New Roman" w:eastAsia="宋体" w:hAnsi="Times New Roman" w:cs="Times New Roman"/>
          <w:sz w:val="18"/>
          <w:szCs w:val="18"/>
        </w:rPr>
        <w:t>、公司治理</w:t>
      </w:r>
      <w:r w:rsidRPr="00F614F9">
        <w:rPr>
          <w:rFonts w:ascii="Times New Roman" w:eastAsia="宋体" w:hAnsi="Times New Roman" w:cs="Times New Roman"/>
          <w:sz w:val="18"/>
          <w:szCs w:val="18"/>
        </w:rPr>
        <w:t xml:space="preserve"> </w:t>
      </w:r>
    </w:p>
    <w:p w14:paraId="6CA68962" w14:textId="77777777" w:rsidR="003D1157" w:rsidRPr="00F614F9" w:rsidRDefault="00000000" w:rsidP="003D1157">
      <w:pPr>
        <w:spacing w:line="276" w:lineRule="auto"/>
        <w:ind w:firstLineChars="200" w:firstLine="360"/>
        <w:divId w:val="523398070"/>
        <w:rPr>
          <w:rFonts w:ascii="Times New Roman" w:eastAsia="宋体" w:hAnsi="Times New Roman" w:cs="Times New Roman"/>
          <w:sz w:val="18"/>
          <w:szCs w:val="18"/>
        </w:rPr>
      </w:pPr>
      <w:r w:rsidRPr="00F614F9">
        <w:rPr>
          <w:rFonts w:ascii="Times New Roman" w:eastAsia="宋体" w:hAnsi="Times New Roman" w:cs="Times New Roman"/>
          <w:sz w:val="18"/>
          <w:szCs w:val="18"/>
        </w:rPr>
        <w:t xml:space="preserve">  </w:t>
      </w:r>
      <w:r w:rsidRPr="00F614F9">
        <w:rPr>
          <w:rFonts w:ascii="Times New Roman" w:eastAsia="宋体" w:hAnsi="Times New Roman" w:cs="Times New Roman"/>
          <w:sz w:val="18"/>
          <w:szCs w:val="18"/>
        </w:rPr>
        <w:t>公司按照《中华人民共和国公司法》《中华人民共和国证券法》《上市公司治理准则》和《深圳证券交易所股票上市规则》等法律、法规和规章的要求，建立了规范的公司治理结构，制定了符合公司发展的规则和制度，明确决策、执行、监督等方面的职责权限，形成了有效的职责分工和制衡机制，并不断完善和优化公司治理结构。股东大会、董事会和监事会，以及董事会下设的战略委员会、审计委员会、薪酬与考核委员会、提名委员会分别按其职责行使决策权、执行权和监督权。</w:t>
      </w:r>
      <w:r w:rsidRPr="00F614F9">
        <w:rPr>
          <w:rFonts w:ascii="Times New Roman" w:eastAsia="宋体" w:hAnsi="Times New Roman" w:cs="Times New Roman"/>
          <w:sz w:val="18"/>
          <w:szCs w:val="18"/>
        </w:rPr>
        <w:t xml:space="preserve"> </w:t>
      </w:r>
      <w:r w:rsidRPr="00F614F9">
        <w:rPr>
          <w:rFonts w:ascii="Times New Roman" w:eastAsia="宋体" w:hAnsi="Times New Roman" w:cs="Times New Roman"/>
          <w:sz w:val="18"/>
          <w:szCs w:val="18"/>
        </w:rPr>
        <w:t>加强内部控制体系建设，积极推进内控管理变革，推动公司各领域的关键内控点建设工作，优化了公司管理流程，完善了风险机制，提升了风险防范能力，为公司经营管理合法合</w:t>
      </w:r>
      <w:proofErr w:type="gramStart"/>
      <w:r w:rsidRPr="00F614F9">
        <w:rPr>
          <w:rFonts w:ascii="Times New Roman" w:eastAsia="宋体" w:hAnsi="Times New Roman" w:cs="Times New Roman"/>
          <w:sz w:val="18"/>
          <w:szCs w:val="18"/>
        </w:rPr>
        <w:t>规</w:t>
      </w:r>
      <w:proofErr w:type="gramEnd"/>
      <w:r w:rsidRPr="00F614F9">
        <w:rPr>
          <w:rFonts w:ascii="Times New Roman" w:eastAsia="宋体" w:hAnsi="Times New Roman" w:cs="Times New Roman"/>
          <w:sz w:val="18"/>
          <w:szCs w:val="18"/>
        </w:rPr>
        <w:t>、资产安全、财务报告及相关信息的真实、完整提供了合理保障。公司制定了信息披露基本制度，切实履行信息披露义务，严格按照公平、公正、及时的信息披露原则，通过业绩说明会、投资者互动平台、路演等方式，与投资者保持良好沟通，并根据中国证监会和深圳证券交易所的有关要求不断完善信息披露制度，更好地履行信息披露义务。</w:t>
      </w:r>
    </w:p>
    <w:p w14:paraId="4BF169DD" w14:textId="77777777" w:rsidR="003D1157" w:rsidRPr="00F614F9" w:rsidRDefault="00000000" w:rsidP="003D1157">
      <w:pPr>
        <w:spacing w:line="276" w:lineRule="auto"/>
        <w:ind w:firstLineChars="200" w:firstLine="360"/>
        <w:divId w:val="523398070"/>
        <w:rPr>
          <w:rFonts w:ascii="Times New Roman" w:eastAsia="宋体" w:hAnsi="Times New Roman" w:cs="Times New Roman"/>
          <w:sz w:val="18"/>
          <w:szCs w:val="18"/>
        </w:rPr>
      </w:pPr>
      <w:r w:rsidRPr="00F614F9">
        <w:rPr>
          <w:rFonts w:ascii="Times New Roman" w:eastAsia="宋体" w:hAnsi="Times New Roman" w:cs="Times New Roman"/>
          <w:sz w:val="18"/>
          <w:szCs w:val="18"/>
        </w:rPr>
        <w:t> 2</w:t>
      </w:r>
      <w:r w:rsidRPr="00F614F9">
        <w:rPr>
          <w:rFonts w:ascii="Times New Roman" w:eastAsia="宋体" w:hAnsi="Times New Roman" w:cs="Times New Roman"/>
          <w:sz w:val="18"/>
          <w:szCs w:val="18"/>
        </w:rPr>
        <w:t>、安全生产</w:t>
      </w:r>
    </w:p>
    <w:p w14:paraId="07772778" w14:textId="77777777" w:rsidR="003D1157" w:rsidRPr="00F614F9" w:rsidRDefault="00000000" w:rsidP="003D1157">
      <w:pPr>
        <w:spacing w:line="276" w:lineRule="auto"/>
        <w:ind w:firstLineChars="200" w:firstLine="360"/>
        <w:divId w:val="523398070"/>
        <w:rPr>
          <w:rFonts w:ascii="Times New Roman" w:eastAsia="宋体" w:hAnsi="Times New Roman" w:cs="Times New Roman"/>
          <w:sz w:val="18"/>
          <w:szCs w:val="18"/>
        </w:rPr>
      </w:pPr>
      <w:r w:rsidRPr="00F614F9">
        <w:rPr>
          <w:rFonts w:ascii="Times New Roman" w:eastAsia="宋体" w:hAnsi="Times New Roman" w:cs="Times New Roman"/>
          <w:sz w:val="18"/>
          <w:szCs w:val="18"/>
        </w:rPr>
        <w:t xml:space="preserve">  </w:t>
      </w:r>
      <w:r w:rsidRPr="00F614F9">
        <w:rPr>
          <w:rFonts w:ascii="Times New Roman" w:eastAsia="宋体" w:hAnsi="Times New Roman" w:cs="Times New Roman"/>
          <w:sz w:val="18"/>
          <w:szCs w:val="18"/>
        </w:rPr>
        <w:t>报告期内，公司未发生重大生产安全事故。公司对生产岗位新进员工进行安全培训，帮助员工树立安全意识，并制定了一系列安全生产管理方面的规章制度，重点要求员工在工作期间必须穿戴好劳动防护用品；公司成立安全管理委员会，实行信息报告制度，要求各单位安全管理机构须每天、每月向安全管理委员会汇报安全管理工作开展情况，对工作中发现的安全隐患，必须同时向各单位负责人和安全管理委员会反馈，确保以合理的方案快速解决。设备安全管理方面，公司采取多种形式对生产设备进行保护，并及时维修设备，排除安全生产隐患；消防安全方面，定期组织消防值班人员及员工进行消防器械操练实</w:t>
      </w:r>
      <w:proofErr w:type="gramStart"/>
      <w:r w:rsidRPr="00F614F9">
        <w:rPr>
          <w:rFonts w:ascii="Times New Roman" w:eastAsia="宋体" w:hAnsi="Times New Roman" w:cs="Times New Roman"/>
          <w:sz w:val="18"/>
          <w:szCs w:val="18"/>
        </w:rPr>
        <w:t>训以及</w:t>
      </w:r>
      <w:proofErr w:type="gramEnd"/>
      <w:r w:rsidRPr="00F614F9">
        <w:rPr>
          <w:rFonts w:ascii="Times New Roman" w:eastAsia="宋体" w:hAnsi="Times New Roman" w:cs="Times New Roman"/>
          <w:sz w:val="18"/>
          <w:szCs w:val="18"/>
        </w:rPr>
        <w:t>紧急应急演练，确保厂区紧急事件能及时快速处理；同时，不定期组织公司员工进行消防紧急疏散、自救逃生等应急培训及演练，提升员工的消防应急处置能力，维护员工的健康安全权利。</w:t>
      </w:r>
    </w:p>
    <w:p w14:paraId="0131D474" w14:textId="77777777" w:rsidR="003D1157" w:rsidRPr="00F614F9" w:rsidRDefault="00000000" w:rsidP="003D1157">
      <w:pPr>
        <w:spacing w:line="276" w:lineRule="auto"/>
        <w:ind w:firstLineChars="200" w:firstLine="360"/>
        <w:divId w:val="523398070"/>
        <w:rPr>
          <w:rFonts w:ascii="Times New Roman" w:eastAsia="宋体" w:hAnsi="Times New Roman" w:cs="Times New Roman"/>
          <w:sz w:val="18"/>
          <w:szCs w:val="18"/>
        </w:rPr>
      </w:pPr>
      <w:r w:rsidRPr="00F614F9">
        <w:rPr>
          <w:rFonts w:ascii="Times New Roman" w:eastAsia="宋体" w:hAnsi="Times New Roman" w:cs="Times New Roman"/>
          <w:sz w:val="18"/>
          <w:szCs w:val="18"/>
        </w:rPr>
        <w:t>  3</w:t>
      </w:r>
      <w:r w:rsidRPr="00F614F9">
        <w:rPr>
          <w:rFonts w:ascii="Times New Roman" w:eastAsia="宋体" w:hAnsi="Times New Roman" w:cs="Times New Roman"/>
          <w:sz w:val="18"/>
          <w:szCs w:val="18"/>
        </w:rPr>
        <w:t>、环境保护</w:t>
      </w:r>
      <w:r w:rsidRPr="00F614F9">
        <w:rPr>
          <w:rFonts w:ascii="Times New Roman" w:eastAsia="宋体" w:hAnsi="Times New Roman" w:cs="Times New Roman"/>
          <w:sz w:val="18"/>
          <w:szCs w:val="18"/>
        </w:rPr>
        <w:t xml:space="preserve"> </w:t>
      </w:r>
    </w:p>
    <w:p w14:paraId="6FB01FE8" w14:textId="77777777" w:rsidR="003D1157" w:rsidRPr="00F614F9" w:rsidRDefault="00000000" w:rsidP="003D1157">
      <w:pPr>
        <w:spacing w:line="276" w:lineRule="auto"/>
        <w:ind w:firstLineChars="200" w:firstLine="360"/>
        <w:divId w:val="523398070"/>
        <w:rPr>
          <w:rFonts w:ascii="Times New Roman" w:eastAsia="宋体" w:hAnsi="Times New Roman" w:cs="Times New Roman"/>
          <w:sz w:val="18"/>
          <w:szCs w:val="18"/>
        </w:rPr>
      </w:pPr>
      <w:r w:rsidRPr="00F614F9">
        <w:rPr>
          <w:rFonts w:ascii="Times New Roman" w:eastAsia="宋体" w:hAnsi="Times New Roman" w:cs="Times New Roman"/>
          <w:sz w:val="18"/>
          <w:szCs w:val="18"/>
        </w:rPr>
        <w:t xml:space="preserve"> </w:t>
      </w:r>
      <w:r w:rsidRPr="00F614F9">
        <w:rPr>
          <w:rFonts w:ascii="Times New Roman" w:eastAsia="宋体" w:hAnsi="Times New Roman" w:cs="Times New Roman"/>
          <w:sz w:val="18"/>
          <w:szCs w:val="18"/>
        </w:rPr>
        <w:t>报告期内，公司未发生过环境污染事故。公司重视环保投入，建设节约型企业，积极推动节能减排工作，力争把环境保护工作做到最优。公司严格遵守国家和地方法规的规定，废水、废气、噪声达标排放、工业固废处置符合环保规定要求，并加强对相关责任部门人员的环保法律法规培训。</w:t>
      </w:r>
      <w:r w:rsidRPr="00F614F9">
        <w:rPr>
          <w:rFonts w:ascii="Times New Roman" w:eastAsia="宋体" w:hAnsi="Times New Roman" w:cs="Times New Roman"/>
          <w:sz w:val="18"/>
          <w:szCs w:val="18"/>
        </w:rPr>
        <w:t xml:space="preserve"> </w:t>
      </w:r>
      <w:r w:rsidRPr="00F614F9">
        <w:rPr>
          <w:rFonts w:ascii="Times New Roman" w:eastAsia="宋体" w:hAnsi="Times New Roman" w:cs="Times New Roman"/>
          <w:sz w:val="18"/>
          <w:szCs w:val="18"/>
        </w:rPr>
        <w:t>积极进行环保技术创新，例如为满足待宰圈和猪场无害化处理方面的环保要求，实施了生食待宰圈雾化除臭项目和焚烧炉代替发酵棚项目，极大的改善了厂区周围的大气环境。探索和打造</w:t>
      </w:r>
      <w:r w:rsidRPr="00F614F9">
        <w:rPr>
          <w:rFonts w:ascii="Times New Roman" w:eastAsia="宋体" w:hAnsi="Times New Roman" w:cs="Times New Roman"/>
          <w:sz w:val="18"/>
          <w:szCs w:val="18"/>
        </w:rPr>
        <w:lastRenderedPageBreak/>
        <w:t>生态农业循环经济，猪场采取源头减排、过程控制、综合利用的生态发展模式，采用现代化养殖设施最大程度控制污水产生。光山猪场的粪污处理实行了种养结合的新模式，不仅使粪污处理无害化、资源化，而且改良了土壤、培育了地力，提高了农产品品质，实现了经济效益和生态效益的双丰收，实现了农业生产和环境保护相融的理想状态。广泛采用新技术推进碳中和实现落地，例如通过引进人工智能技术，使用母猪智能化饲喂系统进行实时监测管理，满足猪群动态营养需求，实现低碳养殖。在原料端，</w:t>
      </w:r>
      <w:proofErr w:type="gramStart"/>
      <w:r w:rsidRPr="00F614F9">
        <w:rPr>
          <w:rFonts w:ascii="Times New Roman" w:eastAsia="宋体" w:hAnsi="Times New Roman" w:cs="Times New Roman"/>
          <w:sz w:val="18"/>
          <w:szCs w:val="18"/>
        </w:rPr>
        <w:t>加大低</w:t>
      </w:r>
      <w:proofErr w:type="gramEnd"/>
      <w:r w:rsidRPr="00F614F9">
        <w:rPr>
          <w:rFonts w:ascii="Times New Roman" w:eastAsia="宋体" w:hAnsi="Times New Roman" w:cs="Times New Roman"/>
          <w:sz w:val="18"/>
          <w:szCs w:val="18"/>
        </w:rPr>
        <w:t>蛋白日粮研发力度，力争减少猪排泄物中</w:t>
      </w:r>
      <w:r w:rsidRPr="00F614F9">
        <w:rPr>
          <w:rFonts w:ascii="Times New Roman" w:eastAsia="宋体" w:hAnsi="Times New Roman" w:cs="Times New Roman"/>
          <w:sz w:val="18"/>
          <w:szCs w:val="18"/>
        </w:rPr>
        <w:t>10%-15%</w:t>
      </w:r>
      <w:r w:rsidRPr="00F614F9">
        <w:rPr>
          <w:rFonts w:ascii="Times New Roman" w:eastAsia="宋体" w:hAnsi="Times New Roman" w:cs="Times New Roman"/>
          <w:sz w:val="18"/>
          <w:szCs w:val="18"/>
        </w:rPr>
        <w:t>的氮排放。未来，拟采用土壤微生物活性剂的技术，可减少</w:t>
      </w:r>
      <w:r w:rsidRPr="00F614F9">
        <w:rPr>
          <w:rFonts w:ascii="Times New Roman" w:eastAsia="宋体" w:hAnsi="Times New Roman" w:cs="Times New Roman"/>
          <w:sz w:val="18"/>
          <w:szCs w:val="18"/>
        </w:rPr>
        <w:t>40%</w:t>
      </w:r>
      <w:r w:rsidRPr="00F614F9">
        <w:rPr>
          <w:rFonts w:ascii="Times New Roman" w:eastAsia="宋体" w:hAnsi="Times New Roman" w:cs="Times New Roman"/>
          <w:sz w:val="18"/>
          <w:szCs w:val="18"/>
        </w:rPr>
        <w:t>以上的污泥产生，并将充分利用空地和建筑物</w:t>
      </w:r>
      <w:proofErr w:type="gramStart"/>
      <w:r w:rsidRPr="00F614F9">
        <w:rPr>
          <w:rFonts w:ascii="Times New Roman" w:eastAsia="宋体" w:hAnsi="Times New Roman" w:cs="Times New Roman"/>
          <w:sz w:val="18"/>
          <w:szCs w:val="18"/>
        </w:rPr>
        <w:t>搭建光</w:t>
      </w:r>
      <w:proofErr w:type="gramEnd"/>
      <w:r w:rsidRPr="00F614F9">
        <w:rPr>
          <w:rFonts w:ascii="Times New Roman" w:eastAsia="宋体" w:hAnsi="Times New Roman" w:cs="Times New Roman"/>
          <w:sz w:val="18"/>
          <w:szCs w:val="18"/>
        </w:rPr>
        <w:t>伏设施，降低能源性消耗，减少碳排放。</w:t>
      </w:r>
    </w:p>
    <w:p w14:paraId="52C50935" w14:textId="77777777" w:rsidR="003D1157" w:rsidRPr="00F614F9" w:rsidRDefault="00000000" w:rsidP="003D1157">
      <w:pPr>
        <w:spacing w:line="276" w:lineRule="auto"/>
        <w:ind w:firstLineChars="200" w:firstLine="360"/>
        <w:jc w:val="both"/>
        <w:divId w:val="523398070"/>
        <w:rPr>
          <w:rFonts w:ascii="Times New Roman" w:eastAsia="宋体" w:hAnsi="Times New Roman" w:cs="Times New Roman"/>
          <w:sz w:val="18"/>
          <w:szCs w:val="18"/>
        </w:rPr>
      </w:pPr>
      <w:r w:rsidRPr="00F614F9">
        <w:rPr>
          <w:rFonts w:ascii="Times New Roman" w:eastAsia="宋体" w:hAnsi="Times New Roman" w:cs="Times New Roman"/>
          <w:sz w:val="18"/>
          <w:szCs w:val="18"/>
        </w:rPr>
        <w:t> 4</w:t>
      </w:r>
      <w:r w:rsidRPr="00F614F9">
        <w:rPr>
          <w:rFonts w:ascii="Times New Roman" w:eastAsia="宋体" w:hAnsi="Times New Roman" w:cs="Times New Roman"/>
          <w:sz w:val="18"/>
          <w:szCs w:val="18"/>
        </w:rPr>
        <w:t>、尊重员工</w:t>
      </w:r>
    </w:p>
    <w:p w14:paraId="6BFF1A48" w14:textId="77777777" w:rsidR="003D1157" w:rsidRPr="00F614F9" w:rsidRDefault="00000000" w:rsidP="003D1157">
      <w:pPr>
        <w:spacing w:line="276" w:lineRule="auto"/>
        <w:ind w:firstLineChars="200" w:firstLine="360"/>
        <w:jc w:val="both"/>
        <w:divId w:val="523398070"/>
        <w:rPr>
          <w:rFonts w:ascii="Times New Roman" w:eastAsia="宋体" w:hAnsi="Times New Roman" w:cs="Times New Roman"/>
          <w:sz w:val="18"/>
          <w:szCs w:val="18"/>
        </w:rPr>
      </w:pPr>
      <w:r w:rsidRPr="00F614F9">
        <w:rPr>
          <w:rFonts w:ascii="Times New Roman" w:eastAsia="宋体" w:hAnsi="Times New Roman" w:cs="Times New Roman"/>
          <w:sz w:val="18"/>
          <w:szCs w:val="18"/>
        </w:rPr>
        <w:t xml:space="preserve">  </w:t>
      </w:r>
      <w:r w:rsidRPr="00F614F9">
        <w:rPr>
          <w:rFonts w:ascii="Times New Roman" w:eastAsia="宋体" w:hAnsi="Times New Roman" w:cs="Times New Roman"/>
          <w:sz w:val="18"/>
          <w:szCs w:val="18"/>
        </w:rPr>
        <w:t>公司规定招聘、晋升、薪酬等方面没有种族、性别、国籍、年龄、怀孕或残疾等方面的歧视，自公司成立至今，未发生歧视事件，亦未收到歧视方面的投诉。同时，建立和实施了较科学的聘用、培训、轮岗、考核、晋升等人事管理制度，完善员工激励机制，并定期开展优秀团队、优秀员工评选活动，挖掘贡献卓越的优秀团队和员工，提高员工工作积极性，实现员工与企业共同发展、共同成长。公司针对员工专业能力和领导力提升需求，成立龙大美食学院，通过董事长公开课、总裁公开课等线下课程，增强员工的核心竞争力。同时，创新员工学习模式，成立龙大美食网络学院，正式搭建起完善的人才培养体系，为员工提供全程、全方位、系统化的培训，促进员工专业技能和素质能力的提升，以人才培养增强企业核心竞争力。</w:t>
      </w:r>
      <w:r w:rsidRPr="00F614F9">
        <w:rPr>
          <w:rFonts w:ascii="Times New Roman" w:eastAsia="宋体" w:hAnsi="Times New Roman" w:cs="Times New Roman"/>
          <w:sz w:val="18"/>
          <w:szCs w:val="18"/>
        </w:rPr>
        <w:t xml:space="preserve"> </w:t>
      </w:r>
      <w:r w:rsidRPr="00F614F9">
        <w:rPr>
          <w:rFonts w:ascii="Times New Roman" w:eastAsia="宋体" w:hAnsi="Times New Roman" w:cs="Times New Roman"/>
          <w:sz w:val="18"/>
          <w:szCs w:val="18"/>
        </w:rPr>
        <w:t>加强企业文化建设，举办了一系列如</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职场闪耀</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巾帼魅力</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美好</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食</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光</w:t>
      </w:r>
      <w:r w:rsidRPr="00F614F9">
        <w:rPr>
          <w:rFonts w:ascii="Times New Roman" w:eastAsia="宋体" w:hAnsi="Times New Roman" w:cs="Times New Roman"/>
          <w:sz w:val="18"/>
          <w:szCs w:val="18"/>
        </w:rPr>
        <w:t xml:space="preserve"> </w:t>
      </w:r>
      <w:r w:rsidRPr="00F614F9">
        <w:rPr>
          <w:rFonts w:ascii="Times New Roman" w:eastAsia="宋体" w:hAnsi="Times New Roman" w:cs="Times New Roman"/>
          <w:sz w:val="18"/>
          <w:szCs w:val="18"/>
        </w:rPr>
        <w:t>共筑成长</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团圆中秋，喜迎国庆</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等丰富多彩的文体活动，丰富了员工的业余生活。时刻关心员工心理健康建设，营造良好的工作舆论环境，帮助员工克服焦虑心理，建立良好心态，凝聚起全员健康向上的强大正能量。</w:t>
      </w:r>
    </w:p>
    <w:p w14:paraId="34A028CE" w14:textId="77777777" w:rsidR="003D1157" w:rsidRPr="00F614F9" w:rsidRDefault="00000000" w:rsidP="003D1157">
      <w:pPr>
        <w:spacing w:line="276" w:lineRule="auto"/>
        <w:ind w:firstLineChars="200" w:firstLine="360"/>
        <w:jc w:val="both"/>
        <w:divId w:val="523398070"/>
        <w:rPr>
          <w:rFonts w:ascii="Times New Roman" w:eastAsia="宋体" w:hAnsi="Times New Roman" w:cs="Times New Roman"/>
          <w:sz w:val="18"/>
          <w:szCs w:val="18"/>
        </w:rPr>
      </w:pPr>
      <w:r w:rsidRPr="00F614F9">
        <w:rPr>
          <w:rFonts w:ascii="Times New Roman" w:eastAsia="宋体" w:hAnsi="Times New Roman" w:cs="Times New Roman"/>
          <w:sz w:val="18"/>
          <w:szCs w:val="18"/>
        </w:rPr>
        <w:t>  5</w:t>
      </w:r>
      <w:r w:rsidRPr="00F614F9">
        <w:rPr>
          <w:rFonts w:ascii="Times New Roman" w:eastAsia="宋体" w:hAnsi="Times New Roman" w:cs="Times New Roman"/>
          <w:sz w:val="18"/>
          <w:szCs w:val="18"/>
        </w:rPr>
        <w:t>、食品安全</w:t>
      </w:r>
    </w:p>
    <w:p w14:paraId="7F4A28FE" w14:textId="77777777" w:rsidR="003D1157" w:rsidRPr="00F614F9" w:rsidRDefault="00000000" w:rsidP="003D1157">
      <w:pPr>
        <w:spacing w:line="276" w:lineRule="auto"/>
        <w:ind w:firstLineChars="200" w:firstLine="360"/>
        <w:jc w:val="both"/>
        <w:divId w:val="523398070"/>
        <w:rPr>
          <w:rFonts w:ascii="Times New Roman" w:eastAsia="宋体" w:hAnsi="Times New Roman" w:cs="Times New Roman"/>
          <w:sz w:val="18"/>
          <w:szCs w:val="18"/>
        </w:rPr>
      </w:pPr>
      <w:r w:rsidRPr="00F614F9">
        <w:rPr>
          <w:rFonts w:ascii="Times New Roman" w:eastAsia="宋体" w:hAnsi="Times New Roman" w:cs="Times New Roman"/>
          <w:sz w:val="18"/>
          <w:szCs w:val="18"/>
        </w:rPr>
        <w:t>  </w:t>
      </w:r>
      <w:r w:rsidRPr="00F614F9">
        <w:rPr>
          <w:rFonts w:ascii="Times New Roman" w:eastAsia="宋体" w:hAnsi="Times New Roman" w:cs="Times New Roman"/>
          <w:sz w:val="18"/>
          <w:szCs w:val="18"/>
        </w:rPr>
        <w:t>在保障食品安全方面，公司建立了一系列标准化制度和技术规范，实现标准化管理，并建立了严格的食品安全保障体系和</w:t>
      </w:r>
      <w:proofErr w:type="gramStart"/>
      <w:r w:rsidRPr="00F614F9">
        <w:rPr>
          <w:rFonts w:ascii="Times New Roman" w:eastAsia="宋体" w:hAnsi="Times New Roman" w:cs="Times New Roman"/>
          <w:sz w:val="18"/>
          <w:szCs w:val="18"/>
        </w:rPr>
        <w:t>可</w:t>
      </w:r>
      <w:proofErr w:type="gramEnd"/>
      <w:r w:rsidRPr="00F614F9">
        <w:rPr>
          <w:rFonts w:ascii="Times New Roman" w:eastAsia="宋体" w:hAnsi="Times New Roman" w:cs="Times New Roman"/>
          <w:sz w:val="18"/>
          <w:szCs w:val="18"/>
        </w:rPr>
        <w:t>追溯体系。公司在生产过程中严格落实</w:t>
      </w:r>
      <w:r w:rsidRPr="00F614F9">
        <w:rPr>
          <w:rFonts w:ascii="Times New Roman" w:eastAsia="宋体" w:hAnsi="Times New Roman" w:cs="Times New Roman"/>
          <w:sz w:val="18"/>
          <w:szCs w:val="18"/>
        </w:rPr>
        <w:t xml:space="preserve"> HACCP</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ISO9001</w:t>
      </w:r>
      <w:r w:rsidRPr="00F614F9">
        <w:rPr>
          <w:rFonts w:ascii="Times New Roman" w:eastAsia="宋体" w:hAnsi="Times New Roman" w:cs="Times New Roman"/>
          <w:sz w:val="18"/>
          <w:szCs w:val="18"/>
        </w:rPr>
        <w:t>质量控制体系要求，全面系统分析全</w:t>
      </w:r>
      <w:proofErr w:type="gramStart"/>
      <w:r w:rsidRPr="00F614F9">
        <w:rPr>
          <w:rFonts w:ascii="Times New Roman" w:eastAsia="宋体" w:hAnsi="Times New Roman" w:cs="Times New Roman"/>
          <w:sz w:val="18"/>
          <w:szCs w:val="18"/>
        </w:rPr>
        <w:t>产业链各主要</w:t>
      </w:r>
      <w:proofErr w:type="gramEnd"/>
      <w:r w:rsidRPr="00F614F9">
        <w:rPr>
          <w:rFonts w:ascii="Times New Roman" w:eastAsia="宋体" w:hAnsi="Times New Roman" w:cs="Times New Roman"/>
          <w:sz w:val="18"/>
          <w:szCs w:val="18"/>
        </w:rPr>
        <w:t>环节，重点控制食品安全的关键影响点。通过建立的三级质量管控体系，形成严谨完善的食品安全把控体系，实现了全</w:t>
      </w:r>
      <w:proofErr w:type="gramStart"/>
      <w:r w:rsidRPr="00F614F9">
        <w:rPr>
          <w:rFonts w:ascii="Times New Roman" w:eastAsia="宋体" w:hAnsi="Times New Roman" w:cs="Times New Roman"/>
          <w:sz w:val="18"/>
          <w:szCs w:val="18"/>
        </w:rPr>
        <w:t>产业链全过程</w:t>
      </w:r>
      <w:proofErr w:type="gramEnd"/>
      <w:r w:rsidRPr="00F614F9">
        <w:rPr>
          <w:rFonts w:ascii="Times New Roman" w:eastAsia="宋体" w:hAnsi="Times New Roman" w:cs="Times New Roman"/>
          <w:sz w:val="18"/>
          <w:szCs w:val="18"/>
        </w:rPr>
        <w:t>的品质把关。面对非洲猪瘟等危险因素，公司实行严格的检验检疫，由驻场官方兽医和屠宰场肉检员同步进行检疫和检验，全程紧盯监督，切断并杜绝非洲猪瘟病毒传播途径与扩散风险，确保为消费者提供</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安全、放心、健康、新鲜</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的产品。下属全资子公司烟台杰科检测服务有限公司，在严格按照国家检疫流程和国际标准下，提供从原料到成品全方位的检测服务，实现对原料、生产、产品的全过程品质把关，包括饲料检验、兽药检验、出栏检验、加工过程中的十八道检验、配送车辆</w:t>
      </w:r>
      <w:r w:rsidRPr="00F614F9">
        <w:rPr>
          <w:rFonts w:ascii="Times New Roman" w:eastAsia="宋体" w:hAnsi="Times New Roman" w:cs="Times New Roman"/>
          <w:sz w:val="18"/>
          <w:szCs w:val="18"/>
        </w:rPr>
        <w:t xml:space="preserve"> GPS </w:t>
      </w:r>
      <w:r w:rsidRPr="00F614F9">
        <w:rPr>
          <w:rFonts w:ascii="Times New Roman" w:eastAsia="宋体" w:hAnsi="Times New Roman" w:cs="Times New Roman"/>
          <w:sz w:val="18"/>
          <w:szCs w:val="18"/>
        </w:rPr>
        <w:t>温度控制、终端官能检验等各重要环节，并通过批次管理和报表记录做到可追溯，真正实现全程可控、全程追溯，确保终端产品的食品安全，让老百姓的</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菜篮子</w:t>
      </w:r>
      <w:r w:rsidRPr="00F614F9">
        <w:rPr>
          <w:rFonts w:ascii="Times New Roman" w:eastAsia="宋体" w:hAnsi="Times New Roman" w:cs="Times New Roman"/>
          <w:sz w:val="18"/>
          <w:szCs w:val="18"/>
        </w:rPr>
        <w:t>”</w:t>
      </w:r>
      <w:r w:rsidRPr="00F614F9">
        <w:rPr>
          <w:rFonts w:ascii="Times New Roman" w:eastAsia="宋体" w:hAnsi="Times New Roman" w:cs="Times New Roman"/>
          <w:sz w:val="18"/>
          <w:szCs w:val="18"/>
        </w:rPr>
        <w:t>更加安全、放心。</w:t>
      </w:r>
    </w:p>
    <w:p w14:paraId="5B13A763" w14:textId="77777777" w:rsidR="00872599" w:rsidRPr="00F614F9" w:rsidRDefault="00000000" w:rsidP="003D1157">
      <w:pPr>
        <w:spacing w:line="276" w:lineRule="auto"/>
        <w:ind w:firstLineChars="200" w:firstLine="360"/>
        <w:jc w:val="both"/>
        <w:divId w:val="523398070"/>
        <w:rPr>
          <w:rFonts w:ascii="Times New Roman" w:eastAsia="宋体" w:hAnsi="Times New Roman" w:cs="Times New Roman"/>
          <w:sz w:val="18"/>
          <w:szCs w:val="18"/>
        </w:rPr>
      </w:pPr>
      <w:r w:rsidRPr="00F614F9">
        <w:rPr>
          <w:rFonts w:ascii="Times New Roman" w:eastAsia="宋体" w:hAnsi="Times New Roman" w:cs="Times New Roman"/>
          <w:sz w:val="18"/>
          <w:szCs w:val="18"/>
        </w:rPr>
        <w:t>  6</w:t>
      </w:r>
      <w:r w:rsidRPr="00F614F9">
        <w:rPr>
          <w:rFonts w:ascii="Times New Roman" w:eastAsia="宋体" w:hAnsi="Times New Roman" w:cs="Times New Roman"/>
          <w:sz w:val="18"/>
          <w:szCs w:val="18"/>
        </w:rPr>
        <w:t>、人才引进</w:t>
      </w:r>
      <w:r w:rsidRPr="00F614F9">
        <w:rPr>
          <w:rFonts w:ascii="Times New Roman" w:eastAsia="宋体" w:hAnsi="Times New Roman" w:cs="Times New Roman"/>
          <w:sz w:val="18"/>
          <w:szCs w:val="18"/>
        </w:rPr>
        <w:t>   </w:t>
      </w:r>
      <w:r w:rsidRPr="00F614F9">
        <w:rPr>
          <w:rFonts w:ascii="Times New Roman" w:eastAsia="宋体" w:hAnsi="Times New Roman" w:cs="Times New Roman"/>
          <w:sz w:val="18"/>
          <w:szCs w:val="18"/>
        </w:rPr>
        <w:t>公司每年引进大批锐意创新、追求卓越的新兴力量，一方面为公司的中长期发展注入了新鲜的血液，另一方面也通过就业岗位的提供缓解社会就业难的问题。公司未来将继续参与到新型创新人才模式的建设中去，培养更多的高技能、高素质人才。始终贯彻以社会效益为首要原则，将企业发展与社会责任相链接，在新时代下肩负新的使命和担当。</w:t>
      </w:r>
    </w:p>
    <w:p w14:paraId="1C095869"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33" w:name="_Toc988983"/>
      <w:bookmarkStart w:id="134" w:name="_Toc164024787"/>
      <w:r w:rsidRPr="00F614F9">
        <w:rPr>
          <w:rFonts w:ascii="Times New Roman" w:eastAsia="宋体" w:hAnsi="Times New Roman" w:cs="宋体"/>
          <w:b/>
          <w:bCs/>
          <w:sz w:val="24"/>
          <w:szCs w:val="24"/>
        </w:rPr>
        <w:t>三、巩固拓展脱贫攻坚成果、乡村振兴的情况</w:t>
      </w:r>
      <w:bookmarkEnd w:id="133"/>
      <w:bookmarkEnd w:id="134"/>
    </w:p>
    <w:p w14:paraId="2D9166A6" w14:textId="77777777" w:rsidR="00872599" w:rsidRPr="00F614F9" w:rsidRDefault="00000000" w:rsidP="00E90415">
      <w:pPr>
        <w:pStyle w:val="a3"/>
        <w:spacing w:line="276" w:lineRule="auto"/>
        <w:ind w:firstLineChars="200" w:firstLine="360"/>
        <w:jc w:val="both"/>
        <w:divId w:val="1388649130"/>
        <w:rPr>
          <w:rFonts w:ascii="Times New Roman" w:hAnsi="Times New Roman" w:cs="Times New Roman"/>
          <w:sz w:val="18"/>
          <w:szCs w:val="18"/>
        </w:rPr>
      </w:pPr>
      <w:r w:rsidRPr="00F614F9">
        <w:rPr>
          <w:rFonts w:ascii="Times New Roman" w:hAnsi="Times New Roman" w:cs="Times New Roman"/>
          <w:sz w:val="18"/>
          <w:szCs w:val="18"/>
        </w:rPr>
        <w:t>  </w:t>
      </w:r>
      <w:r w:rsidRPr="00F614F9">
        <w:rPr>
          <w:rFonts w:ascii="Times New Roman" w:hAnsi="Times New Roman" w:cs="Times New Roman"/>
          <w:sz w:val="18"/>
          <w:szCs w:val="18"/>
        </w:rPr>
        <w:t>通过</w:t>
      </w:r>
      <w:r w:rsidRPr="00F614F9">
        <w:rPr>
          <w:rFonts w:ascii="Times New Roman" w:hAnsi="Times New Roman" w:cs="Times New Roman"/>
          <w:sz w:val="18"/>
          <w:szCs w:val="18"/>
        </w:rPr>
        <w:t>“</w:t>
      </w:r>
      <w:r w:rsidRPr="00F614F9">
        <w:rPr>
          <w:rFonts w:ascii="Times New Roman" w:hAnsi="Times New Roman" w:cs="Times New Roman"/>
          <w:sz w:val="18"/>
          <w:szCs w:val="18"/>
        </w:rPr>
        <w:t>公司</w:t>
      </w:r>
      <w:r w:rsidRPr="00F614F9">
        <w:rPr>
          <w:rFonts w:ascii="Times New Roman" w:hAnsi="Times New Roman" w:cs="Times New Roman"/>
          <w:sz w:val="18"/>
          <w:szCs w:val="18"/>
        </w:rPr>
        <w:t>+</w:t>
      </w:r>
      <w:r w:rsidRPr="00F614F9">
        <w:rPr>
          <w:rFonts w:ascii="Times New Roman" w:hAnsi="Times New Roman" w:cs="Times New Roman"/>
          <w:sz w:val="18"/>
          <w:szCs w:val="18"/>
        </w:rPr>
        <w:t>农户</w:t>
      </w:r>
      <w:r w:rsidRPr="00F614F9">
        <w:rPr>
          <w:rFonts w:ascii="Times New Roman" w:hAnsi="Times New Roman" w:cs="Times New Roman"/>
          <w:sz w:val="18"/>
          <w:szCs w:val="18"/>
        </w:rPr>
        <w:t>”</w:t>
      </w:r>
      <w:r w:rsidRPr="00F614F9">
        <w:rPr>
          <w:rFonts w:ascii="Times New Roman" w:hAnsi="Times New Roman" w:cs="Times New Roman"/>
          <w:sz w:val="18"/>
          <w:szCs w:val="18"/>
        </w:rPr>
        <w:t>的生猪养殖模式，有效地将公司的业务和农户增收相结合。为深入推进乡村振兴与生猪稳产保供，公司建立了</w:t>
      </w:r>
      <w:r w:rsidRPr="00F614F9">
        <w:rPr>
          <w:rFonts w:ascii="Times New Roman" w:hAnsi="Times New Roman" w:cs="Times New Roman"/>
          <w:sz w:val="18"/>
          <w:szCs w:val="18"/>
        </w:rPr>
        <w:t>“</w:t>
      </w:r>
      <w:r w:rsidRPr="00F614F9">
        <w:rPr>
          <w:rFonts w:ascii="Times New Roman" w:hAnsi="Times New Roman" w:cs="Times New Roman"/>
          <w:sz w:val="18"/>
          <w:szCs w:val="18"/>
        </w:rPr>
        <w:t>三提供</w:t>
      </w:r>
      <w:r w:rsidRPr="00F614F9">
        <w:rPr>
          <w:rFonts w:ascii="Times New Roman" w:hAnsi="Times New Roman" w:cs="Times New Roman"/>
          <w:sz w:val="18"/>
          <w:szCs w:val="18"/>
        </w:rPr>
        <w:t>+</w:t>
      </w:r>
      <w:r w:rsidRPr="00F614F9">
        <w:rPr>
          <w:rFonts w:ascii="Times New Roman" w:hAnsi="Times New Roman" w:cs="Times New Roman"/>
          <w:sz w:val="18"/>
          <w:szCs w:val="18"/>
        </w:rPr>
        <w:t>两担保</w:t>
      </w:r>
      <w:r w:rsidRPr="00F614F9">
        <w:rPr>
          <w:rFonts w:ascii="Times New Roman" w:hAnsi="Times New Roman" w:cs="Times New Roman"/>
          <w:sz w:val="18"/>
          <w:szCs w:val="18"/>
        </w:rPr>
        <w:t>”</w:t>
      </w:r>
      <w:r w:rsidRPr="00F614F9">
        <w:rPr>
          <w:rFonts w:ascii="Times New Roman" w:hAnsi="Times New Roman" w:cs="Times New Roman"/>
          <w:sz w:val="18"/>
          <w:szCs w:val="18"/>
        </w:rPr>
        <w:t>的</w:t>
      </w:r>
      <w:proofErr w:type="gramStart"/>
      <w:r w:rsidRPr="00F614F9">
        <w:rPr>
          <w:rFonts w:ascii="Times New Roman" w:hAnsi="Times New Roman" w:cs="Times New Roman"/>
          <w:sz w:val="18"/>
          <w:szCs w:val="18"/>
        </w:rPr>
        <w:t>养殖扶贫</w:t>
      </w:r>
      <w:proofErr w:type="gramEnd"/>
      <w:r w:rsidRPr="00F614F9">
        <w:rPr>
          <w:rFonts w:ascii="Times New Roman" w:hAnsi="Times New Roman" w:cs="Times New Roman"/>
          <w:sz w:val="18"/>
          <w:szCs w:val="18"/>
        </w:rPr>
        <w:t>模式，叠加政府一系列助</w:t>
      </w:r>
      <w:proofErr w:type="gramStart"/>
      <w:r w:rsidRPr="00F614F9">
        <w:rPr>
          <w:rFonts w:ascii="Times New Roman" w:hAnsi="Times New Roman" w:cs="Times New Roman"/>
          <w:sz w:val="18"/>
          <w:szCs w:val="18"/>
        </w:rPr>
        <w:t>农扶贫</w:t>
      </w:r>
      <w:proofErr w:type="gramEnd"/>
      <w:r w:rsidRPr="00F614F9">
        <w:rPr>
          <w:rFonts w:ascii="Times New Roman" w:hAnsi="Times New Roman" w:cs="Times New Roman"/>
          <w:sz w:val="18"/>
          <w:szCs w:val="18"/>
        </w:rPr>
        <w:t>政策，带动农户增收致富。</w:t>
      </w:r>
      <w:r w:rsidRPr="00F614F9">
        <w:rPr>
          <w:rFonts w:ascii="Times New Roman" w:hAnsi="Times New Roman" w:cs="Times New Roman"/>
          <w:sz w:val="18"/>
          <w:szCs w:val="18"/>
        </w:rPr>
        <w:t xml:space="preserve"> “</w:t>
      </w:r>
      <w:r w:rsidRPr="00F614F9">
        <w:rPr>
          <w:rFonts w:ascii="Times New Roman" w:hAnsi="Times New Roman" w:cs="Times New Roman"/>
          <w:sz w:val="18"/>
          <w:szCs w:val="18"/>
        </w:rPr>
        <w:t>三提供</w:t>
      </w:r>
      <w:r w:rsidRPr="00F614F9">
        <w:rPr>
          <w:rFonts w:ascii="Times New Roman" w:hAnsi="Times New Roman" w:cs="Times New Roman"/>
          <w:sz w:val="18"/>
          <w:szCs w:val="18"/>
        </w:rPr>
        <w:t>”</w:t>
      </w:r>
      <w:r w:rsidRPr="00F614F9">
        <w:rPr>
          <w:rFonts w:ascii="Times New Roman" w:hAnsi="Times New Roman" w:cs="Times New Roman"/>
          <w:sz w:val="18"/>
          <w:szCs w:val="18"/>
        </w:rPr>
        <w:t>是通过引进国内外优质种猪经自我繁育，性状改良优化后，提供品质优良的三元猪猪苗；通过建立完善的供给体系，</w:t>
      </w:r>
      <w:r w:rsidRPr="00F614F9">
        <w:rPr>
          <w:rFonts w:ascii="Times New Roman" w:hAnsi="Times New Roman" w:cs="Times New Roman"/>
          <w:sz w:val="18"/>
          <w:szCs w:val="18"/>
        </w:rPr>
        <w:t>100%</w:t>
      </w:r>
      <w:r w:rsidRPr="00F614F9">
        <w:rPr>
          <w:rFonts w:ascii="Times New Roman" w:hAnsi="Times New Roman" w:cs="Times New Roman"/>
          <w:sz w:val="18"/>
          <w:szCs w:val="18"/>
        </w:rPr>
        <w:t>统一提供饲料并配送到家；深入农户上门走访，及时提供技术帮带与药品等服务支持，驻场帮助农户改善养殖环境，促进健康养殖。</w:t>
      </w:r>
      <w:r w:rsidRPr="00F614F9">
        <w:rPr>
          <w:rFonts w:ascii="Times New Roman" w:hAnsi="Times New Roman" w:cs="Times New Roman"/>
          <w:sz w:val="18"/>
          <w:szCs w:val="18"/>
        </w:rPr>
        <w:t xml:space="preserve"> “</w:t>
      </w:r>
      <w:r w:rsidRPr="00F614F9">
        <w:rPr>
          <w:rFonts w:ascii="Times New Roman" w:hAnsi="Times New Roman" w:cs="Times New Roman"/>
          <w:sz w:val="18"/>
          <w:szCs w:val="18"/>
        </w:rPr>
        <w:t>两担保</w:t>
      </w:r>
      <w:r w:rsidRPr="00F614F9">
        <w:rPr>
          <w:rFonts w:ascii="Times New Roman" w:hAnsi="Times New Roman" w:cs="Times New Roman"/>
          <w:sz w:val="18"/>
          <w:szCs w:val="18"/>
        </w:rPr>
        <w:t>”</w:t>
      </w:r>
      <w:r w:rsidRPr="00F614F9">
        <w:rPr>
          <w:rFonts w:ascii="Times New Roman" w:hAnsi="Times New Roman" w:cs="Times New Roman"/>
          <w:sz w:val="18"/>
          <w:szCs w:val="18"/>
        </w:rPr>
        <w:t>是通过回收担保，对养殖场户实行生猪</w:t>
      </w:r>
      <w:r w:rsidRPr="00F614F9">
        <w:rPr>
          <w:rFonts w:ascii="Times New Roman" w:hAnsi="Times New Roman" w:cs="Times New Roman"/>
          <w:sz w:val="18"/>
          <w:szCs w:val="18"/>
        </w:rPr>
        <w:t>100%</w:t>
      </w:r>
      <w:r w:rsidRPr="00F614F9">
        <w:rPr>
          <w:rFonts w:ascii="Times New Roman" w:hAnsi="Times New Roman" w:cs="Times New Roman"/>
          <w:sz w:val="18"/>
          <w:szCs w:val="18"/>
        </w:rPr>
        <w:t>回购，并以全产业协同发展的优势，立足于产业资源统筹，充分打通了生产加工、物流运输与终端销售服务等环节，在做好农产品产销对接基础上，突出消费扶贫的作用，让养殖户无后顾之</w:t>
      </w:r>
      <w:r w:rsidRPr="00F614F9">
        <w:rPr>
          <w:rFonts w:ascii="Times New Roman" w:hAnsi="Times New Roman" w:cs="Times New Roman"/>
          <w:sz w:val="18"/>
          <w:szCs w:val="18"/>
        </w:rPr>
        <w:lastRenderedPageBreak/>
        <w:t>忧的同时，也带动农业升级增效，促进农民增收创收。在面对农业养殖行业融资难、融资渠道窄等问题，为切实帮助养殖户解决资金问题，公司积极了解农户发展生猪养殖方面的资金需求，助力农户对接银行，有效解决了农产业发展中资金短缺问题。</w:t>
      </w:r>
    </w:p>
    <w:p w14:paraId="3E1BB21E" w14:textId="77777777" w:rsidR="001D26E7" w:rsidRPr="00F614F9" w:rsidRDefault="00000000">
      <w:pPr>
        <w:rPr>
          <w:rFonts w:ascii="Times New Roman" w:hAnsi="Times New Roman"/>
        </w:rPr>
      </w:pPr>
      <w:r w:rsidRPr="00F614F9">
        <w:rPr>
          <w:rFonts w:ascii="Times New Roman" w:hAnsi="Times New Roman"/>
        </w:rPr>
        <w:br w:type="page"/>
      </w:r>
    </w:p>
    <w:p w14:paraId="478CEB23" w14:textId="77777777" w:rsidR="001D26E7" w:rsidRPr="00F614F9" w:rsidRDefault="00000000">
      <w:pPr>
        <w:pStyle w:val="headingh1"/>
        <w:spacing w:before="340" w:after="330" w:line="773" w:lineRule="exact"/>
        <w:jc w:val="center"/>
        <w:rPr>
          <w:rFonts w:ascii="Times New Roman" w:eastAsia="宋体" w:hAnsi="Times New Roman" w:cs="宋体"/>
          <w:b/>
          <w:bCs/>
          <w:sz w:val="32"/>
          <w:szCs w:val="32"/>
        </w:rPr>
      </w:pPr>
      <w:bookmarkStart w:id="135" w:name="_Toc164024788"/>
      <w:r w:rsidRPr="00F614F9">
        <w:rPr>
          <w:rFonts w:ascii="Times New Roman" w:eastAsia="宋体" w:hAnsi="Times New Roman" w:cs="宋体"/>
          <w:b/>
          <w:bCs/>
          <w:sz w:val="32"/>
          <w:szCs w:val="32"/>
        </w:rPr>
        <w:lastRenderedPageBreak/>
        <w:t>第六节</w:t>
      </w:r>
      <w:r w:rsidRPr="00F614F9">
        <w:rPr>
          <w:rFonts w:ascii="Times New Roman" w:eastAsia="宋体" w:hAnsi="Times New Roman" w:cs="宋体"/>
          <w:b/>
          <w:bCs/>
          <w:sz w:val="32"/>
          <w:szCs w:val="32"/>
        </w:rPr>
        <w:t xml:space="preserve"> </w:t>
      </w:r>
      <w:r w:rsidRPr="00F614F9">
        <w:rPr>
          <w:rFonts w:ascii="Times New Roman" w:eastAsia="宋体" w:hAnsi="Times New Roman" w:cs="宋体"/>
          <w:b/>
          <w:bCs/>
          <w:sz w:val="32"/>
          <w:szCs w:val="32"/>
        </w:rPr>
        <w:t>重要事项</w:t>
      </w:r>
      <w:bookmarkEnd w:id="135"/>
    </w:p>
    <w:p w14:paraId="04256713"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36" w:name="_Toc988985"/>
      <w:bookmarkStart w:id="137" w:name="_Toc164024789"/>
      <w:r w:rsidRPr="00F614F9">
        <w:rPr>
          <w:rFonts w:ascii="Times New Roman" w:eastAsia="宋体" w:hAnsi="Times New Roman" w:cs="宋体"/>
          <w:b/>
          <w:bCs/>
          <w:sz w:val="24"/>
          <w:szCs w:val="24"/>
        </w:rPr>
        <w:t>一、承诺事项履行情况</w:t>
      </w:r>
      <w:bookmarkEnd w:id="136"/>
      <w:bookmarkEnd w:id="137"/>
    </w:p>
    <w:p w14:paraId="29EFF0B6" w14:textId="77777777" w:rsidR="001D26E7" w:rsidRPr="00F614F9" w:rsidRDefault="00000000">
      <w:pPr>
        <w:pStyle w:val="3"/>
        <w:spacing w:line="280" w:lineRule="exact"/>
        <w:jc w:val="left"/>
        <w:rPr>
          <w:rFonts w:ascii="Times New Roman" w:hAnsi="Times New Roman" w:cs="宋体"/>
          <w:b/>
          <w:bCs/>
        </w:rPr>
      </w:pPr>
      <w:bookmarkStart w:id="138" w:name="_Toc988986"/>
      <w:r w:rsidRPr="00F614F9">
        <w:rPr>
          <w:rFonts w:ascii="Times New Roman" w:hAnsi="Times New Roman" w:cs="宋体"/>
          <w:b/>
          <w:bCs/>
        </w:rPr>
        <w:t>1</w:t>
      </w:r>
      <w:r w:rsidRPr="00F614F9">
        <w:rPr>
          <w:rFonts w:ascii="Times New Roman" w:hAnsi="Times New Roman" w:cs="宋体"/>
          <w:b/>
          <w:bCs/>
        </w:rPr>
        <w:t>、公司实际控制人、股东、关联方、收购人以及公司等承诺相关方在报告期内履行完毕及截至报告期末尚未履行完毕的承诺事项</w:t>
      </w:r>
      <w:bookmarkEnd w:id="138"/>
    </w:p>
    <w:p w14:paraId="74F2416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074"/>
        <w:gridCol w:w="3685"/>
        <w:gridCol w:w="992"/>
        <w:gridCol w:w="567"/>
        <w:gridCol w:w="567"/>
      </w:tblGrid>
      <w:tr w:rsidR="001D26E7" w:rsidRPr="00F614F9" w14:paraId="7BEE4F76" w14:textId="77777777" w:rsidTr="00A3396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CC494C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承诺事由</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C8BF67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承诺方</w:t>
            </w:r>
          </w:p>
        </w:tc>
        <w:tc>
          <w:tcPr>
            <w:tcW w:w="1074" w:type="dxa"/>
            <w:tcBorders>
              <w:top w:val="single" w:sz="2" w:space="0" w:color="auto"/>
              <w:left w:val="single" w:sz="2" w:space="0" w:color="auto"/>
              <w:bottom w:val="single" w:sz="2" w:space="0" w:color="auto"/>
              <w:right w:val="single" w:sz="2" w:space="0" w:color="auto"/>
            </w:tcBorders>
            <w:shd w:val="clear" w:color="auto" w:fill="D3D3D3"/>
            <w:vAlign w:val="center"/>
          </w:tcPr>
          <w:p w14:paraId="507A6C0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承诺类型</w:t>
            </w:r>
          </w:p>
        </w:tc>
        <w:tc>
          <w:tcPr>
            <w:tcW w:w="3685" w:type="dxa"/>
            <w:tcBorders>
              <w:top w:val="single" w:sz="2" w:space="0" w:color="auto"/>
              <w:left w:val="single" w:sz="2" w:space="0" w:color="auto"/>
              <w:bottom w:val="single" w:sz="2" w:space="0" w:color="auto"/>
              <w:right w:val="single" w:sz="2" w:space="0" w:color="auto"/>
            </w:tcBorders>
            <w:shd w:val="clear" w:color="auto" w:fill="D3D3D3"/>
            <w:vAlign w:val="center"/>
          </w:tcPr>
          <w:p w14:paraId="038FF34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承诺内容</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4474F2B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承诺时间</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55901CF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承诺期限</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14B4ECD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履行情况</w:t>
            </w:r>
          </w:p>
        </w:tc>
      </w:tr>
      <w:tr w:rsidR="001D26E7" w:rsidRPr="00F614F9" w14:paraId="13CF5A10" w14:textId="77777777" w:rsidTr="00A3396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06B68E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收购报告书或权益变动报告书中所作承诺</w:t>
            </w:r>
          </w:p>
        </w:tc>
        <w:tc>
          <w:tcPr>
            <w:tcW w:w="1377" w:type="dxa"/>
            <w:tcBorders>
              <w:top w:val="single" w:sz="2" w:space="0" w:color="auto"/>
              <w:left w:val="single" w:sz="2" w:space="0" w:color="auto"/>
              <w:bottom w:val="single" w:sz="2" w:space="0" w:color="auto"/>
              <w:right w:val="single" w:sz="2" w:space="0" w:color="auto"/>
            </w:tcBorders>
            <w:vAlign w:val="center"/>
          </w:tcPr>
          <w:p w14:paraId="33A3B29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戴学斌</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董翔</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蓝润发展控股集团有限公司</w:t>
            </w:r>
          </w:p>
        </w:tc>
        <w:tc>
          <w:tcPr>
            <w:tcW w:w="1074" w:type="dxa"/>
            <w:tcBorders>
              <w:top w:val="single" w:sz="2" w:space="0" w:color="auto"/>
              <w:left w:val="single" w:sz="2" w:space="0" w:color="auto"/>
              <w:bottom w:val="single" w:sz="2" w:space="0" w:color="auto"/>
              <w:right w:val="single" w:sz="2" w:space="0" w:color="auto"/>
            </w:tcBorders>
            <w:vAlign w:val="center"/>
          </w:tcPr>
          <w:p w14:paraId="2A073AC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关于同业竞争、关联交易、资金占用方面的承诺</w:t>
            </w:r>
          </w:p>
        </w:tc>
        <w:tc>
          <w:tcPr>
            <w:tcW w:w="3685" w:type="dxa"/>
            <w:tcBorders>
              <w:top w:val="single" w:sz="2" w:space="0" w:color="auto"/>
              <w:left w:val="single" w:sz="2" w:space="0" w:color="auto"/>
              <w:bottom w:val="single" w:sz="2" w:space="0" w:color="auto"/>
              <w:right w:val="single" w:sz="2" w:space="0" w:color="auto"/>
            </w:tcBorders>
            <w:vAlign w:val="center"/>
          </w:tcPr>
          <w:p w14:paraId="726797A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、本公司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本人承诺未来从事的与上市公司存在同业竞争的项目将仅限于四川省巴中市、达州市、南充市三市的生猪养殖项目；</w:t>
            </w:r>
          </w:p>
          <w:p w14:paraId="0B33088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、上述生猪养殖项目实施过程中，资金来源为自有资金或自筹资金，不会占用上市公司及其控股子公司资金，亦不会让上市公司及其控股子公司提供担保；</w:t>
            </w:r>
          </w:p>
          <w:p w14:paraId="3FDAED2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、上述项目建成投产后，本公司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本人将尽量避免上述生猪养殖项目实施主体与上市公司之间的关联交易；对于无法避免或者有合理原因而发生的关联交易，上述生猪养殖项目实施主体将根据有关法律、法规和规范性文件以及公司章程的规定，遵循平等、自愿、等价和有偿的一般商业原则，与上市公司签订关联交易协议，并确保关联交易的价格公允，原则上不偏离市场</w:t>
            </w:r>
            <w:proofErr w:type="gramStart"/>
            <w:r w:rsidRPr="00F614F9">
              <w:rPr>
                <w:rFonts w:ascii="Times New Roman" w:eastAsia="宋体" w:hAnsi="Times New Roman" w:cs="宋体"/>
                <w:sz w:val="18"/>
                <w:szCs w:val="18"/>
              </w:rPr>
              <w:t>独立第三</w:t>
            </w:r>
            <w:proofErr w:type="gramEnd"/>
            <w:r w:rsidRPr="00F614F9">
              <w:rPr>
                <w:rFonts w:ascii="Times New Roman" w:eastAsia="宋体" w:hAnsi="Times New Roman" w:cs="宋体"/>
                <w:sz w:val="18"/>
                <w:szCs w:val="18"/>
              </w:rPr>
              <w:t>方的价格或收费的标准，以维护上市公司及其中小股东的利益；</w:t>
            </w:r>
          </w:p>
          <w:p w14:paraId="4CC896E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、上述生猪养殖项目的经营主体</w:t>
            </w:r>
            <w:proofErr w:type="gramStart"/>
            <w:r w:rsidRPr="00F614F9">
              <w:rPr>
                <w:rFonts w:ascii="Times New Roman" w:eastAsia="宋体" w:hAnsi="Times New Roman" w:cs="宋体"/>
                <w:sz w:val="18"/>
                <w:szCs w:val="18"/>
              </w:rPr>
              <w:t>为五仓农牧</w:t>
            </w:r>
            <w:proofErr w:type="gramEnd"/>
            <w:r w:rsidRPr="00F614F9">
              <w:rPr>
                <w:rFonts w:ascii="Times New Roman" w:eastAsia="宋体" w:hAnsi="Times New Roman" w:cs="宋体"/>
                <w:sz w:val="18"/>
                <w:szCs w:val="18"/>
              </w:rPr>
              <w:t>集团有限公司及其下属各地子公司。在上述项目建设完成，且项目经营</w:t>
            </w:r>
            <w:proofErr w:type="gramStart"/>
            <w:r w:rsidRPr="00F614F9">
              <w:rPr>
                <w:rFonts w:ascii="Times New Roman" w:eastAsia="宋体" w:hAnsi="Times New Roman" w:cs="宋体"/>
                <w:sz w:val="18"/>
                <w:szCs w:val="18"/>
              </w:rPr>
              <w:t>主体五仓农牧</w:t>
            </w:r>
            <w:proofErr w:type="gramEnd"/>
            <w:r w:rsidRPr="00F614F9">
              <w:rPr>
                <w:rFonts w:ascii="Times New Roman" w:eastAsia="宋体" w:hAnsi="Times New Roman" w:cs="宋体"/>
                <w:sz w:val="18"/>
                <w:szCs w:val="18"/>
              </w:rPr>
              <w:t>符合注入上市公司条件后</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年内，本公司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本人承诺</w:t>
            </w:r>
            <w:proofErr w:type="gramStart"/>
            <w:r w:rsidRPr="00F614F9">
              <w:rPr>
                <w:rFonts w:ascii="Times New Roman" w:eastAsia="宋体" w:hAnsi="Times New Roman" w:cs="宋体"/>
                <w:sz w:val="18"/>
                <w:szCs w:val="18"/>
              </w:rPr>
              <w:t>将五仓农牧</w:t>
            </w:r>
            <w:proofErr w:type="gramEnd"/>
            <w:r w:rsidRPr="00F614F9">
              <w:rPr>
                <w:rFonts w:ascii="Times New Roman" w:eastAsia="宋体" w:hAnsi="Times New Roman" w:cs="宋体"/>
                <w:sz w:val="18"/>
                <w:szCs w:val="18"/>
              </w:rPr>
              <w:t>按法定程序以市场公允价格注入上市公司，若上市公司明确放弃上述收购权利，则本公司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本人将采取向无关联第三方</w:t>
            </w:r>
            <w:proofErr w:type="gramStart"/>
            <w:r w:rsidRPr="00F614F9">
              <w:rPr>
                <w:rFonts w:ascii="Times New Roman" w:eastAsia="宋体" w:hAnsi="Times New Roman" w:cs="宋体"/>
                <w:sz w:val="18"/>
                <w:szCs w:val="18"/>
              </w:rPr>
              <w:t>转让五仓农牧</w:t>
            </w:r>
            <w:proofErr w:type="gramEnd"/>
            <w:r w:rsidRPr="00F614F9">
              <w:rPr>
                <w:rFonts w:ascii="Times New Roman" w:eastAsia="宋体" w:hAnsi="Times New Roman" w:cs="宋体"/>
                <w:sz w:val="18"/>
                <w:szCs w:val="18"/>
              </w:rPr>
              <w:t>股权等方式妥善解决同业竞争；当同时满足以下条件时，</w:t>
            </w:r>
            <w:proofErr w:type="gramStart"/>
            <w:r w:rsidRPr="00F614F9">
              <w:rPr>
                <w:rFonts w:ascii="Times New Roman" w:eastAsia="宋体" w:hAnsi="Times New Roman" w:cs="宋体"/>
                <w:sz w:val="18"/>
                <w:szCs w:val="18"/>
              </w:rPr>
              <w:t>五仓农牧</w:t>
            </w:r>
            <w:proofErr w:type="gramEnd"/>
            <w:r w:rsidRPr="00F614F9">
              <w:rPr>
                <w:rFonts w:ascii="Times New Roman" w:eastAsia="宋体" w:hAnsi="Times New Roman" w:cs="宋体"/>
                <w:sz w:val="18"/>
                <w:szCs w:val="18"/>
              </w:rPr>
              <w:t>将视为符合前述所约定的资产注入条件：</w:t>
            </w:r>
          </w:p>
          <w:p w14:paraId="4653174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）生产经营符合法律、行政法规和公司章程的规定，符合国家产业政策和有关环境保护、土地管理、反垄断等法律和行政法规的规定；</w:t>
            </w:r>
          </w:p>
          <w:p w14:paraId="7CB0F16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）所涉及的股权权属清晰，股权过户或者转移不存在法律障碍，相关债权债务处理合法；</w:t>
            </w:r>
          </w:p>
          <w:p w14:paraId="2B2B05B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w:t>
            </w:r>
            <w:proofErr w:type="gramStart"/>
            <w:r w:rsidRPr="00F614F9">
              <w:rPr>
                <w:rFonts w:ascii="Times New Roman" w:eastAsia="宋体" w:hAnsi="Times New Roman" w:cs="宋体"/>
                <w:sz w:val="18"/>
                <w:szCs w:val="18"/>
              </w:rPr>
              <w:t>五仓农牧</w:t>
            </w:r>
            <w:proofErr w:type="gramEnd"/>
            <w:r w:rsidRPr="00F614F9">
              <w:rPr>
                <w:rFonts w:ascii="Times New Roman" w:eastAsia="宋体" w:hAnsi="Times New Roman" w:cs="宋体"/>
                <w:sz w:val="18"/>
                <w:szCs w:val="18"/>
              </w:rPr>
              <w:t>最近一年实现的扣除非经常性损益后归属于母公司股东净利润（合并口径）为正，上述财务数据需经具有证券资格的会计师事务所审计；</w:t>
            </w:r>
          </w:p>
          <w:p w14:paraId="2C8727F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4</w:t>
            </w:r>
            <w:r w:rsidRPr="00F614F9">
              <w:rPr>
                <w:rFonts w:ascii="Times New Roman" w:eastAsia="宋体" w:hAnsi="Times New Roman" w:cs="宋体"/>
                <w:sz w:val="18"/>
                <w:szCs w:val="18"/>
              </w:rPr>
              <w:t>）符合相关法律法规及规范性文件、证券监管机构的相关监管要求；</w:t>
            </w:r>
          </w:p>
          <w:p w14:paraId="581499C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本公司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本人承诺最迟不超过</w:t>
            </w:r>
            <w:r w:rsidRPr="00F614F9">
              <w:rPr>
                <w:rFonts w:ascii="Times New Roman" w:eastAsia="宋体" w:hAnsi="Times New Roman" w:cs="宋体"/>
                <w:sz w:val="18"/>
                <w:szCs w:val="18"/>
              </w:rPr>
              <w:t>2025</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31</w:t>
            </w:r>
            <w:r w:rsidRPr="00F614F9">
              <w:rPr>
                <w:rFonts w:ascii="Times New Roman" w:eastAsia="宋体" w:hAnsi="Times New Roman" w:cs="宋体"/>
                <w:sz w:val="18"/>
                <w:szCs w:val="18"/>
              </w:rPr>
              <w:t>日前完成</w:t>
            </w:r>
            <w:proofErr w:type="gramStart"/>
            <w:r w:rsidRPr="00F614F9">
              <w:rPr>
                <w:rFonts w:ascii="Times New Roman" w:eastAsia="宋体" w:hAnsi="Times New Roman" w:cs="宋体"/>
                <w:sz w:val="18"/>
                <w:szCs w:val="18"/>
              </w:rPr>
              <w:t>将五仓农牧</w:t>
            </w:r>
            <w:proofErr w:type="gramEnd"/>
            <w:r w:rsidRPr="00F614F9">
              <w:rPr>
                <w:rFonts w:ascii="Times New Roman" w:eastAsia="宋体" w:hAnsi="Times New Roman" w:cs="宋体"/>
                <w:sz w:val="18"/>
                <w:szCs w:val="18"/>
              </w:rPr>
              <w:t>的股权注入上市公司的协议签署，在上市公司明确放弃上述收购权利时，最迟不超过</w:t>
            </w:r>
            <w:r w:rsidRPr="00F614F9">
              <w:rPr>
                <w:rFonts w:ascii="Times New Roman" w:eastAsia="宋体" w:hAnsi="Times New Roman" w:cs="宋体"/>
                <w:sz w:val="18"/>
                <w:szCs w:val="18"/>
              </w:rPr>
              <w:t>2025</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31</w:t>
            </w:r>
            <w:r w:rsidRPr="00F614F9">
              <w:rPr>
                <w:rFonts w:ascii="Times New Roman" w:eastAsia="宋体" w:hAnsi="Times New Roman" w:cs="宋体"/>
                <w:sz w:val="18"/>
                <w:szCs w:val="18"/>
              </w:rPr>
              <w:t>日前向无关联第三方</w:t>
            </w:r>
            <w:proofErr w:type="gramStart"/>
            <w:r w:rsidRPr="00F614F9">
              <w:rPr>
                <w:rFonts w:ascii="Times New Roman" w:eastAsia="宋体" w:hAnsi="Times New Roman" w:cs="宋体"/>
                <w:sz w:val="18"/>
                <w:szCs w:val="18"/>
              </w:rPr>
              <w:t>转让五仓农牧</w:t>
            </w:r>
            <w:proofErr w:type="gramEnd"/>
            <w:r w:rsidRPr="00F614F9">
              <w:rPr>
                <w:rFonts w:ascii="Times New Roman" w:eastAsia="宋体" w:hAnsi="Times New Roman" w:cs="宋体"/>
                <w:sz w:val="18"/>
                <w:szCs w:val="18"/>
              </w:rPr>
              <w:t>股权；</w:t>
            </w:r>
          </w:p>
          <w:p w14:paraId="295B39F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5</w:t>
            </w:r>
            <w:r w:rsidRPr="00F614F9">
              <w:rPr>
                <w:rFonts w:ascii="Times New Roman" w:eastAsia="宋体" w:hAnsi="Times New Roman" w:cs="宋体"/>
                <w:sz w:val="18"/>
                <w:szCs w:val="18"/>
              </w:rPr>
              <w:t>、本公司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本人及本公司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本人控制的除上市公司外的其他成员因违反前述声明、承诺而获得的收益由上市公司享有，如造成上市公司经济损失的，本公司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本人同意赔偿上市公司相应损失；</w:t>
            </w:r>
          </w:p>
          <w:p w14:paraId="2BCC4D3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6</w:t>
            </w:r>
            <w:r w:rsidRPr="00F614F9">
              <w:rPr>
                <w:rFonts w:ascii="Times New Roman" w:eastAsia="宋体" w:hAnsi="Times New Roman" w:cs="宋体"/>
                <w:sz w:val="18"/>
                <w:szCs w:val="18"/>
              </w:rPr>
              <w:t>、本公司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本人分别于</w:t>
            </w:r>
            <w:r w:rsidRPr="00F614F9">
              <w:rPr>
                <w:rFonts w:ascii="Times New Roman" w:eastAsia="宋体" w:hAnsi="Times New Roman" w:cs="宋体"/>
                <w:sz w:val="18"/>
                <w:szCs w:val="18"/>
              </w:rPr>
              <w:t>2019</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24</w:t>
            </w:r>
            <w:r w:rsidRPr="00F614F9">
              <w:rPr>
                <w:rFonts w:ascii="Times New Roman" w:eastAsia="宋体" w:hAnsi="Times New Roman" w:cs="宋体"/>
                <w:sz w:val="18"/>
                <w:szCs w:val="18"/>
              </w:rPr>
              <w:t>日、</w:t>
            </w:r>
            <w:r w:rsidRPr="00F614F9">
              <w:rPr>
                <w:rFonts w:ascii="Times New Roman" w:eastAsia="宋体" w:hAnsi="Times New Roman" w:cs="宋体"/>
                <w:sz w:val="18"/>
                <w:szCs w:val="18"/>
              </w:rPr>
              <w:t>2019</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15</w:t>
            </w:r>
            <w:r w:rsidRPr="00F614F9">
              <w:rPr>
                <w:rFonts w:ascii="Times New Roman" w:eastAsia="宋体" w:hAnsi="Times New Roman" w:cs="宋体"/>
                <w:sz w:val="18"/>
                <w:szCs w:val="18"/>
              </w:rPr>
              <w:t>日、</w:t>
            </w:r>
            <w:r w:rsidRPr="00F614F9">
              <w:rPr>
                <w:rFonts w:ascii="Times New Roman" w:eastAsia="宋体" w:hAnsi="Times New Roman" w:cs="宋体"/>
                <w:sz w:val="18"/>
                <w:szCs w:val="18"/>
              </w:rPr>
              <w:t>2019</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r w:rsidRPr="00F614F9">
              <w:rPr>
                <w:rFonts w:ascii="Times New Roman" w:eastAsia="宋体" w:hAnsi="Times New Roman" w:cs="宋体"/>
                <w:sz w:val="18"/>
                <w:szCs w:val="18"/>
              </w:rPr>
              <w:t>2020</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roofErr w:type="gramStart"/>
            <w:r w:rsidRPr="00F614F9">
              <w:rPr>
                <w:rFonts w:ascii="Times New Roman" w:eastAsia="宋体" w:hAnsi="Times New Roman" w:cs="宋体"/>
                <w:sz w:val="18"/>
                <w:szCs w:val="18"/>
              </w:rPr>
              <w:t>作出</w:t>
            </w:r>
            <w:proofErr w:type="gramEnd"/>
            <w:r w:rsidRPr="00F614F9">
              <w:rPr>
                <w:rFonts w:ascii="Times New Roman" w:eastAsia="宋体" w:hAnsi="Times New Roman" w:cs="宋体"/>
                <w:sz w:val="18"/>
                <w:szCs w:val="18"/>
              </w:rPr>
              <w:t>的《关于避免同业竞争的承诺》中与</w:t>
            </w:r>
            <w:proofErr w:type="gramStart"/>
            <w:r w:rsidRPr="00F614F9">
              <w:rPr>
                <w:rFonts w:ascii="Times New Roman" w:eastAsia="宋体" w:hAnsi="Times New Roman" w:cs="宋体"/>
                <w:sz w:val="18"/>
                <w:szCs w:val="18"/>
              </w:rPr>
              <w:t>本承诺</w:t>
            </w:r>
            <w:proofErr w:type="gramEnd"/>
            <w:r w:rsidRPr="00F614F9">
              <w:rPr>
                <w:rFonts w:ascii="Times New Roman" w:eastAsia="宋体" w:hAnsi="Times New Roman" w:cs="宋体"/>
                <w:sz w:val="18"/>
                <w:szCs w:val="18"/>
              </w:rPr>
              <w:t>内容不一致的，以</w:t>
            </w:r>
            <w:proofErr w:type="gramStart"/>
            <w:r w:rsidRPr="00F614F9">
              <w:rPr>
                <w:rFonts w:ascii="Times New Roman" w:eastAsia="宋体" w:hAnsi="Times New Roman" w:cs="宋体"/>
                <w:sz w:val="18"/>
                <w:szCs w:val="18"/>
              </w:rPr>
              <w:t>本承诺</w:t>
            </w:r>
            <w:proofErr w:type="gramEnd"/>
            <w:r w:rsidRPr="00F614F9">
              <w:rPr>
                <w:rFonts w:ascii="Times New Roman" w:eastAsia="宋体" w:hAnsi="Times New Roman" w:cs="宋体"/>
                <w:sz w:val="18"/>
                <w:szCs w:val="18"/>
              </w:rPr>
              <w:t>内容为准；除上述情况外，其余承诺内容均继续履行。</w:t>
            </w:r>
          </w:p>
        </w:tc>
        <w:tc>
          <w:tcPr>
            <w:tcW w:w="992" w:type="dxa"/>
            <w:tcBorders>
              <w:top w:val="single" w:sz="2" w:space="0" w:color="auto"/>
              <w:left w:val="single" w:sz="2" w:space="0" w:color="auto"/>
              <w:bottom w:val="single" w:sz="2" w:space="0" w:color="auto"/>
              <w:right w:val="single" w:sz="2" w:space="0" w:color="auto"/>
            </w:tcBorders>
            <w:vAlign w:val="center"/>
          </w:tcPr>
          <w:p w14:paraId="57BB1A8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3FF6C92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长期</w:t>
            </w:r>
          </w:p>
        </w:tc>
        <w:tc>
          <w:tcPr>
            <w:tcW w:w="567" w:type="dxa"/>
            <w:tcBorders>
              <w:top w:val="single" w:sz="2" w:space="0" w:color="auto"/>
              <w:left w:val="single" w:sz="2" w:space="0" w:color="auto"/>
              <w:bottom w:val="single" w:sz="2" w:space="0" w:color="auto"/>
              <w:right w:val="single" w:sz="2" w:space="0" w:color="auto"/>
            </w:tcBorders>
            <w:vAlign w:val="center"/>
          </w:tcPr>
          <w:p w14:paraId="798F918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正常履行中</w:t>
            </w:r>
          </w:p>
        </w:tc>
      </w:tr>
      <w:tr w:rsidR="001D26E7" w:rsidRPr="00F614F9" w14:paraId="774817A2" w14:textId="77777777" w:rsidTr="00A3396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4BEE64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收购报告书或权益变动报告书中所作承诺</w:t>
            </w:r>
          </w:p>
        </w:tc>
        <w:tc>
          <w:tcPr>
            <w:tcW w:w="1377" w:type="dxa"/>
            <w:tcBorders>
              <w:top w:val="single" w:sz="2" w:space="0" w:color="auto"/>
              <w:left w:val="single" w:sz="2" w:space="0" w:color="auto"/>
              <w:bottom w:val="single" w:sz="2" w:space="0" w:color="auto"/>
              <w:right w:val="single" w:sz="2" w:space="0" w:color="auto"/>
            </w:tcBorders>
            <w:vAlign w:val="center"/>
          </w:tcPr>
          <w:p w14:paraId="7A9478F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w:t>
            </w:r>
          </w:p>
        </w:tc>
        <w:tc>
          <w:tcPr>
            <w:tcW w:w="1074" w:type="dxa"/>
            <w:tcBorders>
              <w:top w:val="single" w:sz="2" w:space="0" w:color="auto"/>
              <w:left w:val="single" w:sz="2" w:space="0" w:color="auto"/>
              <w:bottom w:val="single" w:sz="2" w:space="0" w:color="auto"/>
              <w:right w:val="single" w:sz="2" w:space="0" w:color="auto"/>
            </w:tcBorders>
            <w:vAlign w:val="center"/>
          </w:tcPr>
          <w:p w14:paraId="2CF2B49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关于同业竞争、关联交易、资金占用方面的承诺</w:t>
            </w:r>
          </w:p>
        </w:tc>
        <w:tc>
          <w:tcPr>
            <w:tcW w:w="3685" w:type="dxa"/>
            <w:tcBorders>
              <w:top w:val="single" w:sz="2" w:space="0" w:color="auto"/>
              <w:left w:val="single" w:sz="2" w:space="0" w:color="auto"/>
              <w:bottom w:val="single" w:sz="2" w:space="0" w:color="auto"/>
              <w:right w:val="single" w:sz="2" w:space="0" w:color="auto"/>
            </w:tcBorders>
            <w:vAlign w:val="center"/>
          </w:tcPr>
          <w:p w14:paraId="7607CD1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为规范和解决同业竞争问题，本公司做出如下承诺：</w:t>
            </w:r>
          </w:p>
          <w:p w14:paraId="2454C8D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、本公司拥有上市公司控制权期间，本公司不会利用自身的控制地位限制上市公司正常的商业机会，不进行损害上市公司及其他股东利益的经营活动。</w:t>
            </w:r>
          </w:p>
          <w:p w14:paraId="63A900B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本公司拥有上市公司控制权期间，无论何种原因，若本公司获得有关与上市公司具有直接竞争关系的投资、开发及经营机会，本公司承诺上市公司优先享有上述投资、开发及经营机会。若上市公司放弃上述投资、开发及经营机会，则本公司可以先行进行投资、开发及经营，或与上市公司共同进行投资、开发及经营（本公司控股、上市公司参股），并承诺在前述先行投资、开发及经营的业务和资产规范运作、符合资产注入上市公司条件的前提下，将该等业务和资产按法定程序以市场公允价格注入上市公司，若上市公司明确放弃上述收购权利，则本公司将采取托管给上市公司或向无关联第三方转让该等业务和资产的方式妥善解决同业竞争。</w:t>
            </w:r>
          </w:p>
          <w:p w14:paraId="658D8A4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、截止</w:t>
            </w:r>
            <w:proofErr w:type="gramStart"/>
            <w:r w:rsidRPr="00F614F9">
              <w:rPr>
                <w:rFonts w:ascii="Times New Roman" w:eastAsia="宋体" w:hAnsi="Times New Roman" w:cs="宋体"/>
                <w:sz w:val="18"/>
                <w:szCs w:val="18"/>
              </w:rPr>
              <w:t>本承诺</w:t>
            </w:r>
            <w:proofErr w:type="gramEnd"/>
            <w:r w:rsidRPr="00F614F9">
              <w:rPr>
                <w:rFonts w:ascii="Times New Roman" w:eastAsia="宋体" w:hAnsi="Times New Roman" w:cs="宋体"/>
                <w:sz w:val="18"/>
                <w:szCs w:val="18"/>
              </w:rPr>
              <w:t>函出具日，本公司下属公司已与万源市人民政府签署了生猪养殖及深加工项目投资的相关协议，拟在万源市辖区内，新建生猪集中养殖区，在万源市工业园区等地新建饲料、猪肉制品、仓储等配套设施的加工区；同时，本公司已分别在巴中市、达州市开展了两个生猪养殖、猪肉制品等拟投资项目的前期</w:t>
            </w:r>
            <w:proofErr w:type="gramStart"/>
            <w:r w:rsidRPr="00F614F9">
              <w:rPr>
                <w:rFonts w:ascii="Times New Roman" w:eastAsia="宋体" w:hAnsi="Times New Roman" w:cs="宋体"/>
                <w:sz w:val="18"/>
                <w:szCs w:val="18"/>
              </w:rPr>
              <w:t>研</w:t>
            </w:r>
            <w:proofErr w:type="gramEnd"/>
            <w:r w:rsidRPr="00F614F9">
              <w:rPr>
                <w:rFonts w:ascii="Times New Roman" w:eastAsia="宋体" w:hAnsi="Times New Roman" w:cs="宋体"/>
                <w:sz w:val="18"/>
                <w:szCs w:val="18"/>
              </w:rPr>
              <w:t>判和可行性分析，与属地政府已达成初步合作意向，</w:t>
            </w:r>
            <w:proofErr w:type="gramStart"/>
            <w:r w:rsidRPr="00F614F9">
              <w:rPr>
                <w:rFonts w:ascii="Times New Roman" w:eastAsia="宋体" w:hAnsi="Times New Roman" w:cs="宋体"/>
                <w:sz w:val="18"/>
                <w:szCs w:val="18"/>
              </w:rPr>
              <w:t>待政府</w:t>
            </w:r>
            <w:proofErr w:type="gramEnd"/>
            <w:r w:rsidRPr="00F614F9">
              <w:rPr>
                <w:rFonts w:ascii="Times New Roman" w:eastAsia="宋体" w:hAnsi="Times New Roman" w:cs="宋体"/>
                <w:sz w:val="18"/>
                <w:szCs w:val="18"/>
              </w:rPr>
              <w:t>通过审批后，拟进入协议签署阶段。</w:t>
            </w:r>
          </w:p>
          <w:p w14:paraId="01FEB42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就上述拟投资新建的同业竞争业务，由上市公司优先享有投资、开发和经营的机会，如上市公司放弃该等机会，则由本公司先行进行投资，且本公司承诺将在上述投资建设项目建设完成并按照相关法律法规促使上述投资项目符合注入上市公司条件时（最长期限不超过本公司成为上市公司控股股东之日起</w:t>
            </w:r>
            <w:r w:rsidRPr="00F614F9">
              <w:rPr>
                <w:rFonts w:ascii="Times New Roman" w:eastAsia="宋体" w:hAnsi="Times New Roman" w:cs="宋体"/>
                <w:sz w:val="18"/>
                <w:szCs w:val="18"/>
              </w:rPr>
              <w:t>6</w:t>
            </w:r>
            <w:r w:rsidRPr="00F614F9">
              <w:rPr>
                <w:rFonts w:ascii="Times New Roman" w:eastAsia="宋体" w:hAnsi="Times New Roman" w:cs="宋体"/>
                <w:sz w:val="18"/>
                <w:szCs w:val="18"/>
              </w:rPr>
              <w:t>年），将该等业务和资产按法定程序以市场公允价格注入上市公司，若上市公司明确放弃上述收购权利，则本公司将采取托管给上市公司或向无关联第三方转让该等业务和资</w:t>
            </w:r>
            <w:r w:rsidRPr="00F614F9">
              <w:rPr>
                <w:rFonts w:ascii="Times New Roman" w:eastAsia="宋体" w:hAnsi="Times New Roman" w:cs="宋体"/>
                <w:sz w:val="18"/>
                <w:szCs w:val="18"/>
              </w:rPr>
              <w:lastRenderedPageBreak/>
              <w:t>产的方式妥善解决同业竞争。</w:t>
            </w:r>
          </w:p>
          <w:p w14:paraId="2352781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、本公司拥有上市公司控制权期间，除上述需要解决的潜在同业竞争外，本公司将依法采取必要及可能的措施避免发生与上市公司及其控制的企业构成潜在同业竞争的业务或活动。</w:t>
            </w:r>
          </w:p>
          <w:p w14:paraId="2DD5D31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5</w:t>
            </w:r>
            <w:r w:rsidRPr="00F614F9">
              <w:rPr>
                <w:rFonts w:ascii="Times New Roman" w:eastAsia="宋体" w:hAnsi="Times New Roman" w:cs="宋体"/>
                <w:sz w:val="18"/>
                <w:szCs w:val="18"/>
              </w:rPr>
              <w:t>、本公司在避免和解决潜在同业竞争方面所做的各项承诺，同样适用于本公司直接或间接控制的其他企业。本公司有义务督促并确保上述其他企业执行本文件所述各事项安排并严格遵守全部承诺。</w:t>
            </w:r>
          </w:p>
        </w:tc>
        <w:tc>
          <w:tcPr>
            <w:tcW w:w="992" w:type="dxa"/>
            <w:tcBorders>
              <w:top w:val="single" w:sz="2" w:space="0" w:color="auto"/>
              <w:left w:val="single" w:sz="2" w:space="0" w:color="auto"/>
              <w:bottom w:val="single" w:sz="2" w:space="0" w:color="auto"/>
              <w:right w:val="single" w:sz="2" w:space="0" w:color="auto"/>
            </w:tcBorders>
            <w:vAlign w:val="center"/>
          </w:tcPr>
          <w:p w14:paraId="7F10D85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2019</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4447CB5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长期</w:t>
            </w:r>
          </w:p>
        </w:tc>
        <w:tc>
          <w:tcPr>
            <w:tcW w:w="567" w:type="dxa"/>
            <w:tcBorders>
              <w:top w:val="single" w:sz="2" w:space="0" w:color="auto"/>
              <w:left w:val="single" w:sz="2" w:space="0" w:color="auto"/>
              <w:bottom w:val="single" w:sz="2" w:space="0" w:color="auto"/>
              <w:right w:val="single" w:sz="2" w:space="0" w:color="auto"/>
            </w:tcBorders>
            <w:vAlign w:val="center"/>
          </w:tcPr>
          <w:p w14:paraId="11514EC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正常履行中</w:t>
            </w:r>
          </w:p>
        </w:tc>
      </w:tr>
      <w:tr w:rsidR="001D26E7" w:rsidRPr="00F614F9" w14:paraId="0F4F02A8" w14:textId="77777777" w:rsidTr="00A3396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3BF9EE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收购报告书或权益变动报告书中所作承诺</w:t>
            </w:r>
          </w:p>
        </w:tc>
        <w:tc>
          <w:tcPr>
            <w:tcW w:w="1377" w:type="dxa"/>
            <w:tcBorders>
              <w:top w:val="single" w:sz="2" w:space="0" w:color="auto"/>
              <w:left w:val="single" w:sz="2" w:space="0" w:color="auto"/>
              <w:bottom w:val="single" w:sz="2" w:space="0" w:color="auto"/>
              <w:right w:val="single" w:sz="2" w:space="0" w:color="auto"/>
            </w:tcBorders>
            <w:vAlign w:val="center"/>
          </w:tcPr>
          <w:p w14:paraId="09400A4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074" w:type="dxa"/>
            <w:tcBorders>
              <w:top w:val="single" w:sz="2" w:space="0" w:color="auto"/>
              <w:left w:val="single" w:sz="2" w:space="0" w:color="auto"/>
              <w:bottom w:val="single" w:sz="2" w:space="0" w:color="auto"/>
              <w:right w:val="single" w:sz="2" w:space="0" w:color="auto"/>
            </w:tcBorders>
            <w:vAlign w:val="center"/>
          </w:tcPr>
          <w:p w14:paraId="78D6A05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关于同业竞争、关联交易、资金占用方面的承诺</w:t>
            </w:r>
          </w:p>
        </w:tc>
        <w:tc>
          <w:tcPr>
            <w:tcW w:w="3685" w:type="dxa"/>
            <w:tcBorders>
              <w:top w:val="single" w:sz="2" w:space="0" w:color="auto"/>
              <w:left w:val="single" w:sz="2" w:space="0" w:color="auto"/>
              <w:bottom w:val="single" w:sz="2" w:space="0" w:color="auto"/>
              <w:right w:val="single" w:sz="2" w:space="0" w:color="auto"/>
            </w:tcBorders>
            <w:vAlign w:val="center"/>
          </w:tcPr>
          <w:p w14:paraId="5CD1973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为减少和规范未来可能存在的关联交易，本公司</w:t>
            </w:r>
            <w:proofErr w:type="gramStart"/>
            <w:r w:rsidRPr="00F614F9">
              <w:rPr>
                <w:rFonts w:ascii="Times New Roman" w:eastAsia="宋体" w:hAnsi="Times New Roman" w:cs="宋体"/>
                <w:sz w:val="18"/>
                <w:szCs w:val="18"/>
              </w:rPr>
              <w:t>作出</w:t>
            </w:r>
            <w:proofErr w:type="gramEnd"/>
            <w:r w:rsidRPr="00F614F9">
              <w:rPr>
                <w:rFonts w:ascii="Times New Roman" w:eastAsia="宋体" w:hAnsi="Times New Roman" w:cs="宋体"/>
                <w:sz w:val="18"/>
                <w:szCs w:val="18"/>
              </w:rPr>
              <w:t>如下承诺：</w:t>
            </w:r>
          </w:p>
          <w:p w14:paraId="6FA438E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本公司将尽量减少并规范与上市公司之间的关联交易。对于无法避免或有合理原因而发生的关联交易，本公司及本公司的关联方将在严格遵循市场公开、公平、公正的原则基础上以公允、合理的市场价格进行，并根据有关法律、法规及规范性文件的规定履行关联交易决策程序，依法履行信息披露义务，以保证上市公司的利益不受损害。</w:t>
            </w:r>
          </w:p>
          <w:p w14:paraId="0A28012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如违反上述承诺，本公司愿意承担由此产生的全部责任，充分赔偿或补偿由此给上市公司造成的所有直接或间接损失。</w:t>
            </w:r>
          </w:p>
        </w:tc>
        <w:tc>
          <w:tcPr>
            <w:tcW w:w="992" w:type="dxa"/>
            <w:tcBorders>
              <w:top w:val="single" w:sz="2" w:space="0" w:color="auto"/>
              <w:left w:val="single" w:sz="2" w:space="0" w:color="auto"/>
              <w:bottom w:val="single" w:sz="2" w:space="0" w:color="auto"/>
              <w:right w:val="single" w:sz="2" w:space="0" w:color="auto"/>
            </w:tcBorders>
            <w:vAlign w:val="center"/>
          </w:tcPr>
          <w:p w14:paraId="3BC0621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2019</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5E7F3BE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长期</w:t>
            </w:r>
          </w:p>
        </w:tc>
        <w:tc>
          <w:tcPr>
            <w:tcW w:w="567" w:type="dxa"/>
            <w:tcBorders>
              <w:top w:val="single" w:sz="2" w:space="0" w:color="auto"/>
              <w:left w:val="single" w:sz="2" w:space="0" w:color="auto"/>
              <w:bottom w:val="single" w:sz="2" w:space="0" w:color="auto"/>
              <w:right w:val="single" w:sz="2" w:space="0" w:color="auto"/>
            </w:tcBorders>
            <w:vAlign w:val="center"/>
          </w:tcPr>
          <w:p w14:paraId="522923C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正常履行中</w:t>
            </w:r>
          </w:p>
        </w:tc>
      </w:tr>
      <w:tr w:rsidR="001D26E7" w:rsidRPr="00F614F9" w14:paraId="422BD80A" w14:textId="77777777" w:rsidTr="00A3396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525ADB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收购报告书或权益变动报告书中所作承诺</w:t>
            </w:r>
          </w:p>
        </w:tc>
        <w:tc>
          <w:tcPr>
            <w:tcW w:w="1377" w:type="dxa"/>
            <w:tcBorders>
              <w:top w:val="single" w:sz="2" w:space="0" w:color="auto"/>
              <w:left w:val="single" w:sz="2" w:space="0" w:color="auto"/>
              <w:bottom w:val="single" w:sz="2" w:space="0" w:color="auto"/>
              <w:right w:val="single" w:sz="2" w:space="0" w:color="auto"/>
            </w:tcBorders>
            <w:vAlign w:val="center"/>
          </w:tcPr>
          <w:p w14:paraId="71851DC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074" w:type="dxa"/>
            <w:tcBorders>
              <w:top w:val="single" w:sz="2" w:space="0" w:color="auto"/>
              <w:left w:val="single" w:sz="2" w:space="0" w:color="auto"/>
              <w:bottom w:val="single" w:sz="2" w:space="0" w:color="auto"/>
              <w:right w:val="single" w:sz="2" w:space="0" w:color="auto"/>
            </w:tcBorders>
            <w:vAlign w:val="center"/>
          </w:tcPr>
          <w:p w14:paraId="1AD4BAF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其他承诺</w:t>
            </w:r>
          </w:p>
        </w:tc>
        <w:tc>
          <w:tcPr>
            <w:tcW w:w="3685" w:type="dxa"/>
            <w:tcBorders>
              <w:top w:val="single" w:sz="2" w:space="0" w:color="auto"/>
              <w:left w:val="single" w:sz="2" w:space="0" w:color="auto"/>
              <w:bottom w:val="single" w:sz="2" w:space="0" w:color="auto"/>
              <w:right w:val="single" w:sz="2" w:space="0" w:color="auto"/>
            </w:tcBorders>
            <w:vAlign w:val="center"/>
          </w:tcPr>
          <w:p w14:paraId="6E15041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本公司取得龙大肉食股份后，为了保持上市公司独立性，本公司</w:t>
            </w:r>
            <w:proofErr w:type="gramStart"/>
            <w:r w:rsidRPr="00F614F9">
              <w:rPr>
                <w:rFonts w:ascii="Times New Roman" w:eastAsia="宋体" w:hAnsi="Times New Roman" w:cs="宋体"/>
                <w:sz w:val="18"/>
                <w:szCs w:val="18"/>
              </w:rPr>
              <w:t>作出</w:t>
            </w:r>
            <w:proofErr w:type="gramEnd"/>
            <w:r w:rsidRPr="00F614F9">
              <w:rPr>
                <w:rFonts w:ascii="Times New Roman" w:eastAsia="宋体" w:hAnsi="Times New Roman" w:cs="宋体"/>
                <w:sz w:val="18"/>
                <w:szCs w:val="18"/>
              </w:rPr>
              <w:t>以下承诺：</w:t>
            </w:r>
            <w:r w:rsidRPr="00F614F9">
              <w:rPr>
                <w:rFonts w:ascii="Times New Roman" w:eastAsia="宋体" w:hAnsi="Times New Roman" w:cs="宋体"/>
                <w:sz w:val="18"/>
                <w:szCs w:val="18"/>
              </w:rPr>
              <w:t xml:space="preserve"> </w:t>
            </w:r>
          </w:p>
          <w:p w14:paraId="374BFF2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、人员独立</w:t>
            </w:r>
            <w:r w:rsidRPr="00F614F9">
              <w:rPr>
                <w:rFonts w:ascii="Times New Roman" w:eastAsia="宋体" w:hAnsi="Times New Roman" w:cs="宋体"/>
                <w:sz w:val="18"/>
                <w:szCs w:val="18"/>
              </w:rPr>
              <w:t xml:space="preserve"> </w:t>
            </w:r>
          </w:p>
          <w:p w14:paraId="7988C94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）保证上市公司总经理、副总经理、财务负责人、董事会秘书等高级管理人员</w:t>
            </w:r>
            <w:proofErr w:type="gramStart"/>
            <w:r w:rsidRPr="00F614F9">
              <w:rPr>
                <w:rFonts w:ascii="Times New Roman" w:eastAsia="宋体" w:hAnsi="Times New Roman" w:cs="宋体"/>
                <w:sz w:val="18"/>
                <w:szCs w:val="18"/>
              </w:rPr>
              <w:t>专职在</w:t>
            </w:r>
            <w:proofErr w:type="gramEnd"/>
            <w:r w:rsidRPr="00F614F9">
              <w:rPr>
                <w:rFonts w:ascii="Times New Roman" w:eastAsia="宋体" w:hAnsi="Times New Roman" w:cs="宋体"/>
                <w:sz w:val="18"/>
                <w:szCs w:val="18"/>
              </w:rPr>
              <w:t>上市公司工作，并在上市公司领取薪酬，不在本公司及本公司控制的其他企业兼职担任高级管理人员。</w:t>
            </w:r>
          </w:p>
          <w:p w14:paraId="0F9F36B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）保证上市公司的财务人员独立，不在本公司及本公司控制的其他企业中兼职或领取报酬。</w:t>
            </w:r>
          </w:p>
          <w:p w14:paraId="6A01BBE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）保证上市公司拥有完整独立的劳动、人事及薪酬管理体系，该等体系和本公司及本公司控制的其他企业之间完全独立。</w:t>
            </w:r>
          </w:p>
          <w:p w14:paraId="5F926F1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4</w:t>
            </w:r>
            <w:r w:rsidRPr="00F614F9">
              <w:rPr>
                <w:rFonts w:ascii="Times New Roman" w:eastAsia="宋体" w:hAnsi="Times New Roman" w:cs="宋体"/>
                <w:sz w:val="18"/>
                <w:szCs w:val="18"/>
              </w:rPr>
              <w:t>）保证本公司未来推荐出任上市公司董事、监事和高级管理人员的人选均通过合法程序进行，本公司不干预上市公司董事会和股东大会做出的人事任免决定。</w:t>
            </w:r>
          </w:p>
          <w:p w14:paraId="0FBC03C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、资产独立</w:t>
            </w:r>
            <w:r w:rsidRPr="00F614F9">
              <w:rPr>
                <w:rFonts w:ascii="Times New Roman" w:eastAsia="宋体" w:hAnsi="Times New Roman" w:cs="宋体"/>
                <w:sz w:val="18"/>
                <w:szCs w:val="18"/>
              </w:rPr>
              <w:t xml:space="preserve"> </w:t>
            </w:r>
          </w:p>
          <w:p w14:paraId="3AEA5F0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）保证上市公司及其子公司资产的独立完整。</w:t>
            </w:r>
          </w:p>
          <w:p w14:paraId="4C4D93E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）保证本公司及本公司控制的其他企业</w:t>
            </w:r>
            <w:proofErr w:type="gramStart"/>
            <w:r w:rsidRPr="00F614F9">
              <w:rPr>
                <w:rFonts w:ascii="Times New Roman" w:eastAsia="宋体" w:hAnsi="Times New Roman" w:cs="宋体"/>
                <w:sz w:val="18"/>
                <w:szCs w:val="18"/>
              </w:rPr>
              <w:t>不</w:t>
            </w:r>
            <w:proofErr w:type="gramEnd"/>
            <w:r w:rsidRPr="00F614F9">
              <w:rPr>
                <w:rFonts w:ascii="Times New Roman" w:eastAsia="宋体" w:hAnsi="Times New Roman" w:cs="宋体"/>
                <w:sz w:val="18"/>
                <w:szCs w:val="18"/>
              </w:rPr>
              <w:t>违规占用上市公司及其子公司资产、资金及其他资源。</w:t>
            </w:r>
          </w:p>
          <w:p w14:paraId="572FA30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）保证不以上市公司的资产为本公司及本公司控制的其他企业的债务违规提供担保。</w:t>
            </w:r>
          </w:p>
          <w:p w14:paraId="598E913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、财务独立</w:t>
            </w:r>
            <w:r w:rsidRPr="00F614F9">
              <w:rPr>
                <w:rFonts w:ascii="Times New Roman" w:eastAsia="宋体" w:hAnsi="Times New Roman" w:cs="宋体"/>
                <w:sz w:val="18"/>
                <w:szCs w:val="18"/>
              </w:rPr>
              <w:t xml:space="preserve"> </w:t>
            </w:r>
          </w:p>
          <w:p w14:paraId="4D66025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）保证上市公司及其子公司设置独立的财务会计部门和拥有独立的财务核算体系和财务管理制度。</w:t>
            </w:r>
            <w:r w:rsidRPr="00F614F9">
              <w:rPr>
                <w:rFonts w:ascii="Times New Roman" w:eastAsia="宋体" w:hAnsi="Times New Roman" w:cs="宋体"/>
                <w:sz w:val="18"/>
                <w:szCs w:val="18"/>
              </w:rPr>
              <w:t xml:space="preserve"> </w:t>
            </w:r>
          </w:p>
          <w:p w14:paraId="5D7473C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）保证上市公司及其子公司在财务决策方面保持独立，本公司及本公司控制的其他企业不干涉上市公司及其子公司的资金使</w:t>
            </w:r>
            <w:r w:rsidRPr="00F614F9">
              <w:rPr>
                <w:rFonts w:ascii="Times New Roman" w:eastAsia="宋体" w:hAnsi="Times New Roman" w:cs="宋体"/>
                <w:sz w:val="18"/>
                <w:szCs w:val="18"/>
              </w:rPr>
              <w:lastRenderedPageBreak/>
              <w:t>用。</w:t>
            </w:r>
            <w:r w:rsidRPr="00F614F9">
              <w:rPr>
                <w:rFonts w:ascii="Times New Roman" w:eastAsia="宋体" w:hAnsi="Times New Roman" w:cs="宋体"/>
                <w:sz w:val="18"/>
                <w:szCs w:val="18"/>
              </w:rPr>
              <w:t xml:space="preserve"> </w:t>
            </w:r>
          </w:p>
          <w:p w14:paraId="578AB7F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）保证上市公司及其子公司保持自己独立的银行账户，不与本公司及本公司控制的其他企业共用一个银行账户。</w:t>
            </w:r>
            <w:r w:rsidRPr="00F614F9">
              <w:rPr>
                <w:rFonts w:ascii="Times New Roman" w:eastAsia="宋体" w:hAnsi="Times New Roman" w:cs="宋体"/>
                <w:sz w:val="18"/>
                <w:szCs w:val="18"/>
              </w:rPr>
              <w:t xml:space="preserve"> </w:t>
            </w:r>
          </w:p>
          <w:p w14:paraId="7FC15A2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、机构独立</w:t>
            </w:r>
            <w:r w:rsidRPr="00F614F9">
              <w:rPr>
                <w:rFonts w:ascii="Times New Roman" w:eastAsia="宋体" w:hAnsi="Times New Roman" w:cs="宋体"/>
                <w:sz w:val="18"/>
                <w:szCs w:val="18"/>
              </w:rPr>
              <w:t xml:space="preserve"> </w:t>
            </w:r>
          </w:p>
          <w:p w14:paraId="37AD2E1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保证上市公司及其子公司已经建立和完善法人治理结构，并与本公司及本公司控制的其他企业的机构完全分开；保证上市公司及其子公司与本公司及本公司控制的其他企业之间在办公机构和生产经营场所等方面完全分开。</w:t>
            </w:r>
          </w:p>
          <w:p w14:paraId="09CDF59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）保证上市公司及其子公司独立自主运作，保证上市公司的股东大会、董事会、独立董事、监事会、高级管理人员等依照法律、法规和公司章程独立行使职权。</w:t>
            </w:r>
          </w:p>
          <w:p w14:paraId="3D541F9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5</w:t>
            </w:r>
            <w:r w:rsidRPr="00F614F9">
              <w:rPr>
                <w:rFonts w:ascii="Times New Roman" w:eastAsia="宋体" w:hAnsi="Times New Roman" w:cs="宋体"/>
                <w:sz w:val="18"/>
                <w:szCs w:val="18"/>
              </w:rPr>
              <w:t>、业务独立</w:t>
            </w:r>
            <w:r w:rsidRPr="00F614F9">
              <w:rPr>
                <w:rFonts w:ascii="Times New Roman" w:eastAsia="宋体" w:hAnsi="Times New Roman" w:cs="宋体"/>
                <w:sz w:val="18"/>
                <w:szCs w:val="18"/>
              </w:rPr>
              <w:t xml:space="preserve"> </w:t>
            </w:r>
          </w:p>
          <w:p w14:paraId="5F4BB28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保证上市公司及其子公司拥有独立的生产和销售体系；在本次权益变动后拥有独立开展经营活动的资产、人员、资质及已具有独立面向市场自主经营的能力，在产、供、销环节不依赖于本公司及本公司控制的其他企业。</w:t>
            </w:r>
            <w:r w:rsidRPr="00F614F9">
              <w:rPr>
                <w:rFonts w:ascii="Times New Roman" w:eastAsia="宋体" w:hAnsi="Times New Roman" w:cs="宋体"/>
                <w:sz w:val="18"/>
                <w:szCs w:val="18"/>
              </w:rPr>
              <w:t xml:space="preserve"> </w:t>
            </w:r>
          </w:p>
          <w:p w14:paraId="760BB48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保证严格控制关联交易事项，尽可能减少上市公司及其子公司与本公司控制的其他企业之间的关联交易。杜绝非法占用上市公司资金、资产的行为，并不要求上市公司及其子公司向本公司及本公司控制的其他企业提供任何形式的担保。对于无法避免的关联交易将本着</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公平、公正、公开</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的原则，与对非关联企业的交易价格保持一致，并及时进行信息披露。确保上市公司与控股股东、实际控制人及其控制的其他企业间不存在显失公平的关联交易。</w:t>
            </w:r>
          </w:p>
          <w:p w14:paraId="3A18E18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）保证不通过单独或一致行动途径，以依法行使股东权利以外的任何方式，干预上市公司的重大决策事项，影响上市公司资产、人员、财务、机构、业务的独立性。</w:t>
            </w:r>
          </w:p>
        </w:tc>
        <w:tc>
          <w:tcPr>
            <w:tcW w:w="992" w:type="dxa"/>
            <w:tcBorders>
              <w:top w:val="single" w:sz="2" w:space="0" w:color="auto"/>
              <w:left w:val="single" w:sz="2" w:space="0" w:color="auto"/>
              <w:bottom w:val="single" w:sz="2" w:space="0" w:color="auto"/>
              <w:right w:val="single" w:sz="2" w:space="0" w:color="auto"/>
            </w:tcBorders>
            <w:vAlign w:val="center"/>
          </w:tcPr>
          <w:p w14:paraId="6790CD1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2019</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3918A50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长期</w:t>
            </w:r>
          </w:p>
        </w:tc>
        <w:tc>
          <w:tcPr>
            <w:tcW w:w="567" w:type="dxa"/>
            <w:tcBorders>
              <w:top w:val="single" w:sz="2" w:space="0" w:color="auto"/>
              <w:left w:val="single" w:sz="2" w:space="0" w:color="auto"/>
              <w:bottom w:val="single" w:sz="2" w:space="0" w:color="auto"/>
              <w:right w:val="single" w:sz="2" w:space="0" w:color="auto"/>
            </w:tcBorders>
            <w:vAlign w:val="center"/>
          </w:tcPr>
          <w:p w14:paraId="0180B85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正常履行中</w:t>
            </w:r>
          </w:p>
        </w:tc>
      </w:tr>
      <w:tr w:rsidR="001D26E7" w:rsidRPr="00F614F9" w14:paraId="3E7E078A" w14:textId="77777777" w:rsidTr="00A3396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70BBE9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首次公开发行或再融资时所作承诺</w:t>
            </w:r>
          </w:p>
        </w:tc>
        <w:tc>
          <w:tcPr>
            <w:tcW w:w="1377" w:type="dxa"/>
            <w:tcBorders>
              <w:top w:val="single" w:sz="2" w:space="0" w:color="auto"/>
              <w:left w:val="single" w:sz="2" w:space="0" w:color="auto"/>
              <w:bottom w:val="single" w:sz="2" w:space="0" w:color="auto"/>
              <w:right w:val="single" w:sz="2" w:space="0" w:color="auto"/>
            </w:tcBorders>
            <w:vAlign w:val="center"/>
          </w:tcPr>
          <w:p w14:paraId="089B8CB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龙大食品集团有限公司</w:t>
            </w:r>
          </w:p>
        </w:tc>
        <w:tc>
          <w:tcPr>
            <w:tcW w:w="1074" w:type="dxa"/>
            <w:tcBorders>
              <w:top w:val="single" w:sz="2" w:space="0" w:color="auto"/>
              <w:left w:val="single" w:sz="2" w:space="0" w:color="auto"/>
              <w:bottom w:val="single" w:sz="2" w:space="0" w:color="auto"/>
              <w:right w:val="single" w:sz="2" w:space="0" w:color="auto"/>
            </w:tcBorders>
            <w:vAlign w:val="center"/>
          </w:tcPr>
          <w:p w14:paraId="5270E9A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股份回购承诺</w:t>
            </w:r>
          </w:p>
        </w:tc>
        <w:tc>
          <w:tcPr>
            <w:tcW w:w="3685" w:type="dxa"/>
            <w:tcBorders>
              <w:top w:val="single" w:sz="2" w:space="0" w:color="auto"/>
              <w:left w:val="single" w:sz="2" w:space="0" w:color="auto"/>
              <w:bottom w:val="single" w:sz="2" w:space="0" w:color="auto"/>
              <w:right w:val="single" w:sz="2" w:space="0" w:color="auto"/>
            </w:tcBorders>
            <w:vAlign w:val="center"/>
          </w:tcPr>
          <w:p w14:paraId="50C0312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股份回购承诺内容如下：如发行人招股说明书有虚假记载、误导性陈述或者重大遗漏，对判断发行人是否符合法律规定的发行条件构成重大、实质影响的，本公司将督促发行人依法回购首次公开发行的全部新股，并且本公司将依法购回发行人首次公开发行股票时本公司公开发售的股份。本公司将在中国证监会认定有关违法事实的当日通过公司进行公告，并在上述事项认定后</w:t>
            </w:r>
            <w:r w:rsidRPr="00F614F9">
              <w:rPr>
                <w:rFonts w:ascii="Times New Roman" w:eastAsia="宋体" w:hAnsi="Times New Roman" w:cs="宋体"/>
                <w:sz w:val="18"/>
                <w:szCs w:val="18"/>
              </w:rPr>
              <w:t>15</w:t>
            </w:r>
            <w:r w:rsidRPr="00F614F9">
              <w:rPr>
                <w:rFonts w:ascii="Times New Roman" w:eastAsia="宋体" w:hAnsi="Times New Roman" w:cs="宋体"/>
                <w:sz w:val="18"/>
                <w:szCs w:val="18"/>
              </w:rPr>
              <w:t>个交易日内启动购回事项，采用二级市场集中竞价交易、大宗交易、协议转让或要约收购等方式购回发行人首次公开发行股票时本公司公开发售的股份。本公司承诺按市场价格且不低于发行价格进行回购，如因中国证监会认定有关违法事实导致公司启动股份回购措施时公司股票已经停牌，则回购价格为公司股票停牌前一个交易日平均交易价格（平均交易价格</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当日总成交额</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当日总成交量）且不低于发行价格。公司上市后发生除权除息事项的，上述购回价格及购回股份数量应做相应调整。</w:t>
            </w:r>
          </w:p>
          <w:p w14:paraId="7829EF8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如发行人招股说明书有虚假记载、误导性陈述或者重大遗漏，致使投资者在证券交易中遭受损失的，本公司将依法赔偿投资者损失。在该等违法事实被中国证监会、证券交易所或司法机关认定后，将本着简化程序、积极协商、先行赔付、切实保障投资者特别是中小投资者利益的原则，按照投资者直接遭受的可测算的经济损失选择与投资者和解、通过第三方与投资者调解及设立投资者赔偿基金等方式积极赔偿投资者由此遭受的直接经济损失。</w:t>
            </w:r>
          </w:p>
        </w:tc>
        <w:tc>
          <w:tcPr>
            <w:tcW w:w="992" w:type="dxa"/>
            <w:tcBorders>
              <w:top w:val="single" w:sz="2" w:space="0" w:color="auto"/>
              <w:left w:val="single" w:sz="2" w:space="0" w:color="auto"/>
              <w:bottom w:val="single" w:sz="2" w:space="0" w:color="auto"/>
              <w:right w:val="single" w:sz="2" w:space="0" w:color="auto"/>
            </w:tcBorders>
            <w:vAlign w:val="center"/>
          </w:tcPr>
          <w:p w14:paraId="7BD6990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2014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16</w:t>
            </w:r>
            <w:r w:rsidRPr="00F614F9">
              <w:rPr>
                <w:rFonts w:ascii="Times New Roman" w:eastAsia="宋体" w:hAnsi="Times New Roman" w:cs="宋体"/>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72BAA2E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长期</w:t>
            </w:r>
          </w:p>
        </w:tc>
        <w:tc>
          <w:tcPr>
            <w:tcW w:w="567" w:type="dxa"/>
            <w:tcBorders>
              <w:top w:val="single" w:sz="2" w:space="0" w:color="auto"/>
              <w:left w:val="single" w:sz="2" w:space="0" w:color="auto"/>
              <w:bottom w:val="single" w:sz="2" w:space="0" w:color="auto"/>
              <w:right w:val="single" w:sz="2" w:space="0" w:color="auto"/>
            </w:tcBorders>
            <w:vAlign w:val="center"/>
          </w:tcPr>
          <w:p w14:paraId="7D08324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正常履行中</w:t>
            </w:r>
          </w:p>
        </w:tc>
      </w:tr>
      <w:tr w:rsidR="001D26E7" w:rsidRPr="00F614F9" w14:paraId="2FD2A51A" w14:textId="77777777" w:rsidTr="00A3396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3F41E1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首次公开发行或再融资时所作承诺</w:t>
            </w:r>
          </w:p>
        </w:tc>
        <w:tc>
          <w:tcPr>
            <w:tcW w:w="1377" w:type="dxa"/>
            <w:tcBorders>
              <w:top w:val="single" w:sz="2" w:space="0" w:color="auto"/>
              <w:left w:val="single" w:sz="2" w:space="0" w:color="auto"/>
              <w:bottom w:val="single" w:sz="2" w:space="0" w:color="auto"/>
              <w:right w:val="single" w:sz="2" w:space="0" w:color="auto"/>
            </w:tcBorders>
            <w:vAlign w:val="center"/>
          </w:tcPr>
          <w:p w14:paraId="473218FD"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董瑞旭</w:t>
            </w:r>
            <w:proofErr w:type="gramEnd"/>
            <w:r w:rsidRPr="00F614F9">
              <w:rPr>
                <w:rFonts w:ascii="Times New Roman" w:eastAsia="宋体" w:hAnsi="Times New Roman" w:cs="宋体"/>
                <w:sz w:val="18"/>
                <w:szCs w:val="18"/>
              </w:rPr>
              <w:t>;</w:t>
            </w:r>
            <w:r w:rsidRPr="00F614F9">
              <w:rPr>
                <w:rFonts w:ascii="Times New Roman" w:eastAsia="宋体" w:hAnsi="Times New Roman" w:cs="宋体"/>
                <w:sz w:val="18"/>
                <w:szCs w:val="18"/>
              </w:rPr>
              <w:t>宫明杰</w:t>
            </w:r>
            <w:r w:rsidRPr="00F614F9">
              <w:rPr>
                <w:rFonts w:ascii="Times New Roman" w:eastAsia="宋体" w:hAnsi="Times New Roman" w:cs="宋体"/>
                <w:sz w:val="18"/>
                <w:szCs w:val="18"/>
              </w:rPr>
              <w:t>;</w:t>
            </w:r>
            <w:proofErr w:type="gramStart"/>
            <w:r w:rsidRPr="00F614F9">
              <w:rPr>
                <w:rFonts w:ascii="Times New Roman" w:eastAsia="宋体" w:hAnsi="Times New Roman" w:cs="宋体"/>
                <w:sz w:val="18"/>
                <w:szCs w:val="18"/>
              </w:rPr>
              <w:t>宫旭杰</w:t>
            </w:r>
            <w:proofErr w:type="gramEnd"/>
            <w:r w:rsidRPr="00F614F9">
              <w:rPr>
                <w:rFonts w:ascii="Times New Roman" w:eastAsia="宋体" w:hAnsi="Times New Roman" w:cs="宋体"/>
                <w:sz w:val="18"/>
                <w:szCs w:val="18"/>
              </w:rPr>
              <w:t>;</w:t>
            </w:r>
            <w:r w:rsidRPr="00F614F9">
              <w:rPr>
                <w:rFonts w:ascii="Times New Roman" w:eastAsia="宋体" w:hAnsi="Times New Roman" w:cs="宋体"/>
                <w:sz w:val="18"/>
                <w:szCs w:val="18"/>
              </w:rPr>
              <w:t>宫学斌</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郭延亮</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纪鹏斌</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刘惠荣</w:t>
            </w:r>
            <w:r w:rsidRPr="00F614F9">
              <w:rPr>
                <w:rFonts w:ascii="Times New Roman" w:eastAsia="宋体" w:hAnsi="Times New Roman" w:cs="宋体"/>
                <w:sz w:val="18"/>
                <w:szCs w:val="18"/>
              </w:rPr>
              <w:t>;</w:t>
            </w:r>
            <w:proofErr w:type="gramStart"/>
            <w:r w:rsidRPr="00F614F9">
              <w:rPr>
                <w:rFonts w:ascii="Times New Roman" w:eastAsia="宋体" w:hAnsi="Times New Roman" w:cs="宋体"/>
                <w:sz w:val="18"/>
                <w:szCs w:val="18"/>
              </w:rPr>
              <w:t>刘克连</w:t>
            </w:r>
            <w:proofErr w:type="gramEnd"/>
            <w:r w:rsidRPr="00F614F9">
              <w:rPr>
                <w:rFonts w:ascii="Times New Roman" w:eastAsia="宋体" w:hAnsi="Times New Roman" w:cs="宋体"/>
                <w:sz w:val="18"/>
                <w:szCs w:val="18"/>
              </w:rPr>
              <w:t>;</w:t>
            </w:r>
            <w:proofErr w:type="gramStart"/>
            <w:r w:rsidRPr="00F614F9">
              <w:rPr>
                <w:rFonts w:ascii="Times New Roman" w:eastAsia="宋体" w:hAnsi="Times New Roman" w:cs="宋体"/>
                <w:sz w:val="18"/>
                <w:szCs w:val="18"/>
              </w:rPr>
              <w:t>秋山刚</w:t>
            </w:r>
            <w:proofErr w:type="gramEnd"/>
            <w:r w:rsidRPr="00F614F9">
              <w:rPr>
                <w:rFonts w:ascii="Times New Roman" w:eastAsia="宋体" w:hAnsi="Times New Roman" w:cs="宋体"/>
                <w:sz w:val="18"/>
                <w:szCs w:val="18"/>
              </w:rPr>
              <w:t>;</w:t>
            </w:r>
            <w:proofErr w:type="gramStart"/>
            <w:r w:rsidRPr="00F614F9">
              <w:rPr>
                <w:rFonts w:ascii="Times New Roman" w:eastAsia="宋体" w:hAnsi="Times New Roman" w:cs="宋体"/>
                <w:sz w:val="18"/>
                <w:szCs w:val="18"/>
              </w:rPr>
              <w:t>谭喆</w:t>
            </w:r>
            <w:proofErr w:type="gramEnd"/>
            <w:r w:rsidRPr="00F614F9">
              <w:rPr>
                <w:rFonts w:ascii="Times New Roman" w:eastAsia="宋体" w:hAnsi="Times New Roman" w:cs="宋体"/>
                <w:sz w:val="18"/>
                <w:szCs w:val="18"/>
              </w:rPr>
              <w:t>夫</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土桥晃</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王辉</w:t>
            </w:r>
            <w:r w:rsidRPr="00F614F9">
              <w:rPr>
                <w:rFonts w:ascii="Times New Roman" w:eastAsia="宋体" w:hAnsi="Times New Roman" w:cs="宋体"/>
                <w:sz w:val="18"/>
                <w:szCs w:val="18"/>
              </w:rPr>
              <w:t>;</w:t>
            </w:r>
            <w:proofErr w:type="gramStart"/>
            <w:r w:rsidRPr="00F614F9">
              <w:rPr>
                <w:rFonts w:ascii="Times New Roman" w:eastAsia="宋体" w:hAnsi="Times New Roman" w:cs="宋体"/>
                <w:sz w:val="18"/>
                <w:szCs w:val="18"/>
              </w:rPr>
              <w:t>王蔚松</w:t>
            </w:r>
            <w:proofErr w:type="gramEnd"/>
            <w:r w:rsidRPr="00F614F9">
              <w:rPr>
                <w:rFonts w:ascii="Times New Roman" w:eastAsia="宋体" w:hAnsi="Times New Roman" w:cs="宋体"/>
                <w:sz w:val="18"/>
                <w:szCs w:val="18"/>
              </w:rPr>
              <w:t>;</w:t>
            </w:r>
            <w:r w:rsidRPr="00F614F9">
              <w:rPr>
                <w:rFonts w:ascii="Times New Roman" w:eastAsia="宋体" w:hAnsi="Times New Roman" w:cs="宋体"/>
                <w:sz w:val="18"/>
                <w:szCs w:val="18"/>
              </w:rPr>
              <w:t>张德润</w:t>
            </w:r>
            <w:r w:rsidRPr="00F614F9">
              <w:rPr>
                <w:rFonts w:ascii="Times New Roman" w:eastAsia="宋体" w:hAnsi="Times New Roman" w:cs="宋体"/>
                <w:sz w:val="18"/>
                <w:szCs w:val="18"/>
              </w:rPr>
              <w:t>;</w:t>
            </w:r>
            <w:proofErr w:type="gramStart"/>
            <w:r w:rsidRPr="00F614F9">
              <w:rPr>
                <w:rFonts w:ascii="Times New Roman" w:eastAsia="宋体" w:hAnsi="Times New Roman" w:cs="宋体"/>
                <w:sz w:val="18"/>
                <w:szCs w:val="18"/>
              </w:rPr>
              <w:t>赵方胜</w:t>
            </w:r>
            <w:proofErr w:type="gramEnd"/>
          </w:p>
        </w:tc>
        <w:tc>
          <w:tcPr>
            <w:tcW w:w="1074" w:type="dxa"/>
            <w:tcBorders>
              <w:top w:val="single" w:sz="2" w:space="0" w:color="auto"/>
              <w:left w:val="single" w:sz="2" w:space="0" w:color="auto"/>
              <w:bottom w:val="single" w:sz="2" w:space="0" w:color="auto"/>
              <w:right w:val="single" w:sz="2" w:space="0" w:color="auto"/>
            </w:tcBorders>
            <w:vAlign w:val="center"/>
          </w:tcPr>
          <w:p w14:paraId="67F57F3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其他承诺</w:t>
            </w:r>
          </w:p>
        </w:tc>
        <w:tc>
          <w:tcPr>
            <w:tcW w:w="3685" w:type="dxa"/>
            <w:tcBorders>
              <w:top w:val="single" w:sz="2" w:space="0" w:color="auto"/>
              <w:left w:val="single" w:sz="2" w:space="0" w:color="auto"/>
              <w:bottom w:val="single" w:sz="2" w:space="0" w:color="auto"/>
              <w:right w:val="single" w:sz="2" w:space="0" w:color="auto"/>
            </w:tcBorders>
            <w:vAlign w:val="center"/>
          </w:tcPr>
          <w:p w14:paraId="501D807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关于发行人招股书披露瑕疵致使投资者在证券交易中遭受损失的赔偿承诺：如发行人招股说明书有虚假记载、误导性陈述或者重大遗漏，致使投资者在证券交易中遭受损失的，本人将依法赔偿投资者损失。在该等违法事实被中国证监会、证券交易所或司法机关认定后，将本着简化程序、积极协商、先行赔付、切实保障投资者特别是中小投资者利益的原则，按照投资者直接遭受的可测算的经济损失选择与投资者和解、通过第三方与投资者调解及设立投资者赔偿基金等方式积极赔偿投资者由此遭受的直接经济损失。</w:t>
            </w:r>
          </w:p>
          <w:p w14:paraId="16D67D9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若本人违反上述承诺，则将在发行人股东大会及中国证监会指定报刊上公开就未履行上述赔偿措施向发行人股东和社会公众投资者道歉，并在违反上述赔偿措施发生之日起</w:t>
            </w:r>
            <w:r w:rsidRPr="00F614F9">
              <w:rPr>
                <w:rFonts w:ascii="Times New Roman" w:eastAsia="宋体" w:hAnsi="Times New Roman" w:cs="宋体"/>
                <w:sz w:val="18"/>
                <w:szCs w:val="18"/>
              </w:rPr>
              <w:t>5</w:t>
            </w:r>
            <w:r w:rsidRPr="00F614F9">
              <w:rPr>
                <w:rFonts w:ascii="Times New Roman" w:eastAsia="宋体" w:hAnsi="Times New Roman" w:cs="宋体"/>
                <w:sz w:val="18"/>
                <w:szCs w:val="18"/>
              </w:rPr>
              <w:t>个工作日内，停止在发行人处领取薪酬（或津贴）及股东分红（如有），同时本人持有的发行人股份（如有）将不得转让，直至本人按上述承诺采取相应的赔偿措施并实施完毕时为止。</w:t>
            </w:r>
          </w:p>
        </w:tc>
        <w:tc>
          <w:tcPr>
            <w:tcW w:w="992" w:type="dxa"/>
            <w:tcBorders>
              <w:top w:val="single" w:sz="2" w:space="0" w:color="auto"/>
              <w:left w:val="single" w:sz="2" w:space="0" w:color="auto"/>
              <w:bottom w:val="single" w:sz="2" w:space="0" w:color="auto"/>
              <w:right w:val="single" w:sz="2" w:space="0" w:color="auto"/>
            </w:tcBorders>
            <w:vAlign w:val="center"/>
          </w:tcPr>
          <w:p w14:paraId="3D9D0FA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2014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26</w:t>
            </w:r>
            <w:r w:rsidRPr="00F614F9">
              <w:rPr>
                <w:rFonts w:ascii="Times New Roman" w:eastAsia="宋体" w:hAnsi="Times New Roman" w:cs="宋体"/>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4D6F496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长期</w:t>
            </w:r>
          </w:p>
        </w:tc>
        <w:tc>
          <w:tcPr>
            <w:tcW w:w="567" w:type="dxa"/>
            <w:tcBorders>
              <w:top w:val="single" w:sz="2" w:space="0" w:color="auto"/>
              <w:left w:val="single" w:sz="2" w:space="0" w:color="auto"/>
              <w:bottom w:val="single" w:sz="2" w:space="0" w:color="auto"/>
              <w:right w:val="single" w:sz="2" w:space="0" w:color="auto"/>
            </w:tcBorders>
            <w:vAlign w:val="center"/>
          </w:tcPr>
          <w:p w14:paraId="41608B7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正常履行中</w:t>
            </w:r>
          </w:p>
        </w:tc>
      </w:tr>
      <w:tr w:rsidR="001D26E7" w:rsidRPr="00F614F9" w14:paraId="05347F4C"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F14A69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承诺是否按时履行</w:t>
            </w:r>
          </w:p>
        </w:tc>
        <w:tc>
          <w:tcPr>
            <w:tcW w:w="8262" w:type="dxa"/>
            <w:gridSpan w:val="6"/>
            <w:tcBorders>
              <w:top w:val="single" w:sz="2" w:space="0" w:color="auto"/>
              <w:left w:val="single" w:sz="2" w:space="0" w:color="auto"/>
              <w:bottom w:val="single" w:sz="2" w:space="0" w:color="auto"/>
              <w:right w:val="single" w:sz="2" w:space="0" w:color="auto"/>
            </w:tcBorders>
            <w:vAlign w:val="center"/>
          </w:tcPr>
          <w:p w14:paraId="1648E2E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是</w:t>
            </w:r>
          </w:p>
        </w:tc>
      </w:tr>
    </w:tbl>
    <w:p w14:paraId="4A044ADE" w14:textId="77777777" w:rsidR="001D26E7" w:rsidRPr="00F614F9" w:rsidRDefault="00000000" w:rsidP="00A3396D">
      <w:pPr>
        <w:pStyle w:val="3"/>
        <w:spacing w:line="276" w:lineRule="auto"/>
        <w:jc w:val="left"/>
        <w:rPr>
          <w:rFonts w:ascii="Times New Roman" w:hAnsi="Times New Roman" w:cs="宋体"/>
          <w:b/>
          <w:bCs/>
        </w:rPr>
      </w:pPr>
      <w:bookmarkStart w:id="139" w:name="_Toc988987"/>
      <w:r w:rsidRPr="00F614F9">
        <w:rPr>
          <w:rFonts w:ascii="Times New Roman" w:hAnsi="Times New Roman" w:cs="宋体"/>
          <w:b/>
          <w:bCs/>
        </w:rPr>
        <w:t>2</w:t>
      </w:r>
      <w:r w:rsidRPr="00F614F9">
        <w:rPr>
          <w:rFonts w:ascii="Times New Roman" w:hAnsi="Times New Roman" w:cs="宋体"/>
          <w:b/>
          <w:bCs/>
        </w:rPr>
        <w:t>、公司资产或项目存在盈利预测，</w:t>
      </w:r>
      <w:proofErr w:type="gramStart"/>
      <w:r w:rsidRPr="00F614F9">
        <w:rPr>
          <w:rFonts w:ascii="Times New Roman" w:hAnsi="Times New Roman" w:cs="宋体"/>
          <w:b/>
          <w:bCs/>
        </w:rPr>
        <w:t>且报告</w:t>
      </w:r>
      <w:proofErr w:type="gramEnd"/>
      <w:r w:rsidRPr="00F614F9">
        <w:rPr>
          <w:rFonts w:ascii="Times New Roman" w:hAnsi="Times New Roman" w:cs="宋体"/>
          <w:b/>
          <w:bCs/>
        </w:rPr>
        <w:t>期仍处在盈利预测期间，公司就资产或项目达到原盈利预测及其原因做出说明</w:t>
      </w:r>
      <w:bookmarkEnd w:id="139"/>
    </w:p>
    <w:p w14:paraId="21B912B2"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540F0DA8"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40" w:name="_Toc988988"/>
      <w:bookmarkStart w:id="141" w:name="_Toc164024790"/>
      <w:r w:rsidRPr="00F614F9">
        <w:rPr>
          <w:rFonts w:ascii="Times New Roman" w:eastAsia="宋体" w:hAnsi="Times New Roman" w:cs="宋体"/>
          <w:b/>
          <w:bCs/>
          <w:sz w:val="24"/>
          <w:szCs w:val="24"/>
        </w:rPr>
        <w:t>二、控股股东及其他关联方对上市公司的非经营性占用资金情况</w:t>
      </w:r>
      <w:bookmarkEnd w:id="140"/>
      <w:bookmarkEnd w:id="141"/>
    </w:p>
    <w:p w14:paraId="608BBB73"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6BA30750"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公司报告期不存在控股股东及其他关联方对上市公司的非经营性占用资金。</w:t>
      </w:r>
    </w:p>
    <w:p w14:paraId="685C6E6A"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42" w:name="_Toc988989"/>
      <w:bookmarkStart w:id="143" w:name="_Toc164024791"/>
      <w:r w:rsidRPr="00F614F9">
        <w:rPr>
          <w:rFonts w:ascii="Times New Roman" w:eastAsia="宋体" w:hAnsi="Times New Roman" w:cs="宋体"/>
          <w:b/>
          <w:bCs/>
          <w:sz w:val="24"/>
          <w:szCs w:val="24"/>
        </w:rPr>
        <w:t>三、违规对外担保情况</w:t>
      </w:r>
      <w:bookmarkEnd w:id="142"/>
      <w:bookmarkEnd w:id="143"/>
    </w:p>
    <w:p w14:paraId="3D04B725" w14:textId="77777777" w:rsidR="001D26E7" w:rsidRPr="00F614F9" w:rsidRDefault="00000000">
      <w:pPr>
        <w:spacing w:before="40" w:after="4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78F2C9B9"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公司报告期无违规对外担保情况。</w:t>
      </w:r>
    </w:p>
    <w:p w14:paraId="1531C2C2"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44" w:name="_Toc988990"/>
      <w:bookmarkStart w:id="145" w:name="_Toc164024792"/>
      <w:r w:rsidRPr="00F614F9">
        <w:rPr>
          <w:rFonts w:ascii="Times New Roman" w:eastAsia="宋体" w:hAnsi="Times New Roman" w:cs="宋体"/>
          <w:b/>
          <w:bCs/>
          <w:sz w:val="24"/>
          <w:szCs w:val="24"/>
        </w:rPr>
        <w:lastRenderedPageBreak/>
        <w:t>四、董事会对最近一期</w:t>
      </w:r>
      <w:r w:rsidRPr="00F614F9">
        <w:rPr>
          <w:rFonts w:ascii="Times New Roman" w:eastAsia="宋体" w:hAnsi="Times New Roman" w:cs="宋体"/>
          <w:b/>
          <w:bCs/>
          <w:sz w:val="24"/>
          <w:szCs w:val="24"/>
        </w:rPr>
        <w:t>“</w:t>
      </w:r>
      <w:r w:rsidRPr="00F614F9">
        <w:rPr>
          <w:rFonts w:ascii="Times New Roman" w:eastAsia="宋体" w:hAnsi="Times New Roman" w:cs="宋体"/>
          <w:b/>
          <w:bCs/>
          <w:sz w:val="24"/>
          <w:szCs w:val="24"/>
        </w:rPr>
        <w:t>非标准审计报告</w:t>
      </w:r>
      <w:r w:rsidRPr="00F614F9">
        <w:rPr>
          <w:rFonts w:ascii="Times New Roman" w:eastAsia="宋体" w:hAnsi="Times New Roman" w:cs="宋体"/>
          <w:b/>
          <w:bCs/>
          <w:sz w:val="24"/>
          <w:szCs w:val="24"/>
        </w:rPr>
        <w:t>”</w:t>
      </w:r>
      <w:r w:rsidRPr="00F614F9">
        <w:rPr>
          <w:rFonts w:ascii="Times New Roman" w:eastAsia="宋体" w:hAnsi="Times New Roman" w:cs="宋体"/>
          <w:b/>
          <w:bCs/>
          <w:sz w:val="24"/>
          <w:szCs w:val="24"/>
        </w:rPr>
        <w:t>相关情况的说明</w:t>
      </w:r>
      <w:bookmarkEnd w:id="144"/>
      <w:bookmarkEnd w:id="145"/>
    </w:p>
    <w:p w14:paraId="31094C64"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CC46FD8"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46" w:name="_Toc988991"/>
      <w:bookmarkStart w:id="147" w:name="_Toc164024793"/>
      <w:r w:rsidRPr="00F614F9">
        <w:rPr>
          <w:rFonts w:ascii="Times New Roman" w:eastAsia="宋体" w:hAnsi="Times New Roman" w:cs="宋体"/>
          <w:b/>
          <w:bCs/>
          <w:sz w:val="24"/>
          <w:szCs w:val="24"/>
        </w:rPr>
        <w:t>五、董事会、监事会、独立董事（如有）对会计师事务所本报告期</w:t>
      </w:r>
      <w:r w:rsidRPr="00F614F9">
        <w:rPr>
          <w:rFonts w:ascii="Times New Roman" w:eastAsia="宋体" w:hAnsi="Times New Roman" w:cs="宋体"/>
          <w:b/>
          <w:bCs/>
          <w:sz w:val="24"/>
          <w:szCs w:val="24"/>
        </w:rPr>
        <w:t>“</w:t>
      </w:r>
      <w:r w:rsidRPr="00F614F9">
        <w:rPr>
          <w:rFonts w:ascii="Times New Roman" w:eastAsia="宋体" w:hAnsi="Times New Roman" w:cs="宋体"/>
          <w:b/>
          <w:bCs/>
          <w:sz w:val="24"/>
          <w:szCs w:val="24"/>
        </w:rPr>
        <w:t>非标准审计报告</w:t>
      </w:r>
      <w:r w:rsidRPr="00F614F9">
        <w:rPr>
          <w:rFonts w:ascii="Times New Roman" w:eastAsia="宋体" w:hAnsi="Times New Roman" w:cs="宋体"/>
          <w:b/>
          <w:bCs/>
          <w:sz w:val="24"/>
          <w:szCs w:val="24"/>
        </w:rPr>
        <w:t>”</w:t>
      </w:r>
      <w:r w:rsidRPr="00F614F9">
        <w:rPr>
          <w:rFonts w:ascii="Times New Roman" w:eastAsia="宋体" w:hAnsi="Times New Roman" w:cs="宋体"/>
          <w:b/>
          <w:bCs/>
          <w:sz w:val="24"/>
          <w:szCs w:val="24"/>
        </w:rPr>
        <w:t>的说明</w:t>
      </w:r>
      <w:bookmarkEnd w:id="146"/>
      <w:bookmarkEnd w:id="147"/>
    </w:p>
    <w:p w14:paraId="2703914E"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EEA1D06"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48" w:name="_Toc164024794"/>
      <w:bookmarkStart w:id="149" w:name="_Toc988992"/>
      <w:r w:rsidRPr="00F614F9">
        <w:rPr>
          <w:rFonts w:ascii="Times New Roman" w:eastAsia="宋体" w:hAnsi="Times New Roman" w:cs="宋体"/>
          <w:b/>
          <w:bCs/>
          <w:sz w:val="24"/>
          <w:szCs w:val="24"/>
        </w:rPr>
        <w:t>六、与上年度财务报告相比，会计政策、会计估计变更或重大会计差错更正的情况说明</w:t>
      </w:r>
      <w:bookmarkEnd w:id="148"/>
      <w:r w:rsidRPr="00F614F9">
        <w:rPr>
          <w:rFonts w:ascii="Times New Roman" w:eastAsia="宋体" w:hAnsi="Times New Roman" w:cs="宋体"/>
          <w:b/>
          <w:bCs/>
          <w:sz w:val="24"/>
          <w:szCs w:val="24"/>
        </w:rPr>
        <w:t xml:space="preserve"> </w:t>
      </w:r>
      <w:bookmarkEnd w:id="149"/>
    </w:p>
    <w:p w14:paraId="06685828"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6C0ABC5D"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公司报告期无会计政策、会计估计变更或重大会计差错更正的情况。</w:t>
      </w:r>
    </w:p>
    <w:p w14:paraId="72E920B6"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50" w:name="_Toc988993"/>
      <w:bookmarkStart w:id="151" w:name="_Toc164024795"/>
      <w:r w:rsidRPr="00F614F9">
        <w:rPr>
          <w:rFonts w:ascii="Times New Roman" w:eastAsia="宋体" w:hAnsi="Times New Roman" w:cs="宋体"/>
          <w:b/>
          <w:bCs/>
          <w:sz w:val="24"/>
          <w:szCs w:val="24"/>
        </w:rPr>
        <w:t>七、与上年度财务报告相比，合并报表范围发生变化的情况说明</w:t>
      </w:r>
      <w:bookmarkEnd w:id="150"/>
      <w:bookmarkEnd w:id="151"/>
    </w:p>
    <w:p w14:paraId="7498D9B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26E5BF44" w14:textId="77777777" w:rsidR="00872599" w:rsidRPr="00F614F9" w:rsidRDefault="00000000" w:rsidP="00A3396D">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龙大美食</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北京</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食品科技有限公司于</w:t>
      </w:r>
      <w:r w:rsidRPr="00F614F9">
        <w:rPr>
          <w:rFonts w:ascii="Times New Roman" w:eastAsia="宋体" w:hAnsi="Times New Roman" w:hint="eastAsia"/>
          <w:sz w:val="18"/>
          <w:szCs w:val="18"/>
        </w:rPr>
        <w:t>2023</w:t>
      </w:r>
      <w:r w:rsidRPr="00F614F9">
        <w:rPr>
          <w:rFonts w:ascii="Times New Roman" w:eastAsia="宋体" w:hAnsi="Times New Roman" w:hint="eastAsia"/>
          <w:sz w:val="18"/>
          <w:szCs w:val="18"/>
        </w:rPr>
        <w:t>年</w:t>
      </w:r>
      <w:r w:rsidRPr="00F614F9">
        <w:rPr>
          <w:rFonts w:ascii="Times New Roman" w:eastAsia="宋体" w:hAnsi="Times New Roman" w:hint="eastAsia"/>
          <w:sz w:val="18"/>
          <w:szCs w:val="18"/>
        </w:rPr>
        <w:t>3</w:t>
      </w:r>
      <w:r w:rsidRPr="00F614F9">
        <w:rPr>
          <w:rFonts w:ascii="Times New Roman" w:eastAsia="宋体" w:hAnsi="Times New Roman" w:hint="eastAsia"/>
          <w:sz w:val="18"/>
          <w:szCs w:val="18"/>
        </w:rPr>
        <w:t>月</w:t>
      </w:r>
      <w:r w:rsidRPr="00F614F9">
        <w:rPr>
          <w:rFonts w:ascii="Times New Roman" w:eastAsia="宋体" w:hAnsi="Times New Roman" w:hint="eastAsia"/>
          <w:sz w:val="18"/>
          <w:szCs w:val="18"/>
        </w:rPr>
        <w:t>15</w:t>
      </w:r>
      <w:r w:rsidRPr="00F614F9">
        <w:rPr>
          <w:rFonts w:ascii="Times New Roman" w:eastAsia="宋体" w:hAnsi="Times New Roman" w:hint="eastAsia"/>
          <w:sz w:val="18"/>
          <w:szCs w:val="18"/>
        </w:rPr>
        <w:t>日纳入合并范围，新设主体；</w:t>
      </w:r>
    </w:p>
    <w:p w14:paraId="56E74F92" w14:textId="77777777" w:rsidR="00872599" w:rsidRPr="00F614F9" w:rsidRDefault="00000000" w:rsidP="00A3396D">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龙大美食</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上海</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食品科技有限公司于</w:t>
      </w:r>
      <w:r w:rsidRPr="00F614F9">
        <w:rPr>
          <w:rFonts w:ascii="Times New Roman" w:eastAsia="宋体" w:hAnsi="Times New Roman" w:hint="eastAsia"/>
          <w:sz w:val="18"/>
          <w:szCs w:val="18"/>
        </w:rPr>
        <w:t>2023</w:t>
      </w:r>
      <w:r w:rsidRPr="00F614F9">
        <w:rPr>
          <w:rFonts w:ascii="Times New Roman" w:eastAsia="宋体" w:hAnsi="Times New Roman" w:hint="eastAsia"/>
          <w:sz w:val="18"/>
          <w:szCs w:val="18"/>
        </w:rPr>
        <w:t>年</w:t>
      </w:r>
      <w:r w:rsidRPr="00F614F9">
        <w:rPr>
          <w:rFonts w:ascii="Times New Roman" w:eastAsia="宋体" w:hAnsi="Times New Roman" w:hint="eastAsia"/>
          <w:sz w:val="18"/>
          <w:szCs w:val="18"/>
        </w:rPr>
        <w:t>3</w:t>
      </w:r>
      <w:r w:rsidRPr="00F614F9">
        <w:rPr>
          <w:rFonts w:ascii="Times New Roman" w:eastAsia="宋体" w:hAnsi="Times New Roman" w:hint="eastAsia"/>
          <w:sz w:val="18"/>
          <w:szCs w:val="18"/>
        </w:rPr>
        <w:t>月</w:t>
      </w:r>
      <w:r w:rsidRPr="00F614F9">
        <w:rPr>
          <w:rFonts w:ascii="Times New Roman" w:eastAsia="宋体" w:hAnsi="Times New Roman" w:hint="eastAsia"/>
          <w:sz w:val="18"/>
          <w:szCs w:val="18"/>
        </w:rPr>
        <w:t>28</w:t>
      </w:r>
      <w:r w:rsidRPr="00F614F9">
        <w:rPr>
          <w:rFonts w:ascii="Times New Roman" w:eastAsia="宋体" w:hAnsi="Times New Roman" w:hint="eastAsia"/>
          <w:sz w:val="18"/>
          <w:szCs w:val="18"/>
        </w:rPr>
        <w:t>日纳入合并范围，新设主体；</w:t>
      </w:r>
    </w:p>
    <w:p w14:paraId="02E472E7" w14:textId="77777777" w:rsidR="00872599" w:rsidRPr="00F614F9" w:rsidRDefault="00000000" w:rsidP="00A3396D">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龙大美食</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广东</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食品科技有限公司于</w:t>
      </w:r>
      <w:r w:rsidRPr="00F614F9">
        <w:rPr>
          <w:rFonts w:ascii="Times New Roman" w:eastAsia="宋体" w:hAnsi="Times New Roman" w:hint="eastAsia"/>
          <w:sz w:val="18"/>
          <w:szCs w:val="18"/>
        </w:rPr>
        <w:t>2023</w:t>
      </w:r>
      <w:r w:rsidRPr="00F614F9">
        <w:rPr>
          <w:rFonts w:ascii="Times New Roman" w:eastAsia="宋体" w:hAnsi="Times New Roman" w:hint="eastAsia"/>
          <w:sz w:val="18"/>
          <w:szCs w:val="18"/>
        </w:rPr>
        <w:t>年</w:t>
      </w:r>
      <w:r w:rsidRPr="00F614F9">
        <w:rPr>
          <w:rFonts w:ascii="Times New Roman" w:eastAsia="宋体" w:hAnsi="Times New Roman" w:hint="eastAsia"/>
          <w:sz w:val="18"/>
          <w:szCs w:val="18"/>
        </w:rPr>
        <w:t>10</w:t>
      </w:r>
      <w:r w:rsidRPr="00F614F9">
        <w:rPr>
          <w:rFonts w:ascii="Times New Roman" w:eastAsia="宋体" w:hAnsi="Times New Roman" w:hint="eastAsia"/>
          <w:sz w:val="18"/>
          <w:szCs w:val="18"/>
        </w:rPr>
        <w:t>月</w:t>
      </w:r>
      <w:r w:rsidRPr="00F614F9">
        <w:rPr>
          <w:rFonts w:ascii="Times New Roman" w:eastAsia="宋体" w:hAnsi="Times New Roman" w:hint="eastAsia"/>
          <w:sz w:val="18"/>
          <w:szCs w:val="18"/>
        </w:rPr>
        <w:t>31</w:t>
      </w:r>
      <w:r w:rsidRPr="00F614F9">
        <w:rPr>
          <w:rFonts w:ascii="Times New Roman" w:eastAsia="宋体" w:hAnsi="Times New Roman" w:hint="eastAsia"/>
          <w:sz w:val="18"/>
          <w:szCs w:val="18"/>
        </w:rPr>
        <w:t>日纳入合并范围，新设主体。</w:t>
      </w:r>
    </w:p>
    <w:p w14:paraId="1118B9C0"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52" w:name="_Toc988994"/>
      <w:bookmarkStart w:id="153" w:name="_Toc164024796"/>
      <w:r w:rsidRPr="00F614F9">
        <w:rPr>
          <w:rFonts w:ascii="Times New Roman" w:eastAsia="宋体" w:hAnsi="Times New Roman" w:cs="宋体"/>
          <w:b/>
          <w:bCs/>
          <w:sz w:val="24"/>
          <w:szCs w:val="24"/>
        </w:rPr>
        <w:t>八、聘任、解聘会计师事务所情况</w:t>
      </w:r>
      <w:bookmarkEnd w:id="152"/>
      <w:bookmarkEnd w:id="153"/>
    </w:p>
    <w:p w14:paraId="7C9AA635"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现聘任的会计师事务所</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1D26E7" w:rsidRPr="00F614F9" w14:paraId="4CAF293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3E73D9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境内会计师事务所名称</w:t>
            </w:r>
          </w:p>
        </w:tc>
        <w:tc>
          <w:tcPr>
            <w:tcW w:w="4820" w:type="dxa"/>
            <w:tcBorders>
              <w:top w:val="single" w:sz="2" w:space="0" w:color="auto"/>
              <w:left w:val="single" w:sz="2" w:space="0" w:color="auto"/>
              <w:bottom w:val="single" w:sz="2" w:space="0" w:color="auto"/>
              <w:right w:val="single" w:sz="2" w:space="0" w:color="auto"/>
            </w:tcBorders>
            <w:vAlign w:val="center"/>
          </w:tcPr>
          <w:p w14:paraId="6932608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众华会计师事务所（特殊普通合伙）</w:t>
            </w:r>
          </w:p>
        </w:tc>
      </w:tr>
      <w:tr w:rsidR="001D26E7" w:rsidRPr="00F614F9" w14:paraId="2ED6C66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6CCDF9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境内会计师事务所报酬（万元）</w:t>
            </w:r>
          </w:p>
        </w:tc>
        <w:tc>
          <w:tcPr>
            <w:tcW w:w="4820" w:type="dxa"/>
            <w:tcBorders>
              <w:top w:val="single" w:sz="2" w:space="0" w:color="auto"/>
              <w:left w:val="single" w:sz="2" w:space="0" w:color="auto"/>
              <w:bottom w:val="single" w:sz="2" w:space="0" w:color="auto"/>
              <w:right w:val="single" w:sz="2" w:space="0" w:color="auto"/>
            </w:tcBorders>
            <w:vAlign w:val="center"/>
          </w:tcPr>
          <w:p w14:paraId="2CAAC86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150</w:t>
            </w:r>
          </w:p>
        </w:tc>
      </w:tr>
      <w:tr w:rsidR="001D26E7" w:rsidRPr="00F614F9" w14:paraId="3FBE4DE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0860CA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境内会计师事务所审计服务的连续年限</w:t>
            </w:r>
          </w:p>
        </w:tc>
        <w:tc>
          <w:tcPr>
            <w:tcW w:w="4820" w:type="dxa"/>
            <w:tcBorders>
              <w:top w:val="single" w:sz="2" w:space="0" w:color="auto"/>
              <w:left w:val="single" w:sz="2" w:space="0" w:color="auto"/>
              <w:bottom w:val="single" w:sz="2" w:space="0" w:color="auto"/>
              <w:right w:val="single" w:sz="2" w:space="0" w:color="auto"/>
            </w:tcBorders>
            <w:vAlign w:val="center"/>
          </w:tcPr>
          <w:p w14:paraId="319F1A3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w:t>
            </w:r>
          </w:p>
        </w:tc>
      </w:tr>
      <w:tr w:rsidR="001D26E7" w:rsidRPr="00F614F9" w14:paraId="6EFCCD7E"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2BFA80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境内会计师事务所注册会计师姓名</w:t>
            </w:r>
          </w:p>
        </w:tc>
        <w:tc>
          <w:tcPr>
            <w:tcW w:w="4820" w:type="dxa"/>
            <w:tcBorders>
              <w:top w:val="single" w:sz="2" w:space="0" w:color="auto"/>
              <w:left w:val="single" w:sz="2" w:space="0" w:color="auto"/>
              <w:bottom w:val="single" w:sz="2" w:space="0" w:color="auto"/>
              <w:right w:val="single" w:sz="2" w:space="0" w:color="auto"/>
            </w:tcBorders>
            <w:vAlign w:val="center"/>
          </w:tcPr>
          <w:p w14:paraId="0D9D84D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李立生、杨学燕</w:t>
            </w:r>
          </w:p>
        </w:tc>
      </w:tr>
      <w:tr w:rsidR="001D26E7" w:rsidRPr="00F614F9" w14:paraId="399FD82C"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36458E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境内会计师事务所注册会计师审计服务的连续年限</w:t>
            </w:r>
          </w:p>
        </w:tc>
        <w:tc>
          <w:tcPr>
            <w:tcW w:w="4820" w:type="dxa"/>
            <w:tcBorders>
              <w:top w:val="single" w:sz="2" w:space="0" w:color="auto"/>
              <w:left w:val="single" w:sz="2" w:space="0" w:color="auto"/>
              <w:bottom w:val="single" w:sz="2" w:space="0" w:color="auto"/>
              <w:right w:val="single" w:sz="2" w:space="0" w:color="auto"/>
            </w:tcBorders>
            <w:vAlign w:val="center"/>
          </w:tcPr>
          <w:p w14:paraId="6BB27E3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w:t>
            </w:r>
          </w:p>
        </w:tc>
      </w:tr>
      <w:tr w:rsidR="001D26E7" w:rsidRPr="00F614F9" w14:paraId="41040688"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434D6A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境外会计师事务所名称（如有）</w:t>
            </w:r>
          </w:p>
        </w:tc>
        <w:tc>
          <w:tcPr>
            <w:tcW w:w="4820" w:type="dxa"/>
            <w:tcBorders>
              <w:top w:val="single" w:sz="2" w:space="0" w:color="auto"/>
              <w:left w:val="single" w:sz="2" w:space="0" w:color="auto"/>
              <w:bottom w:val="single" w:sz="2" w:space="0" w:color="auto"/>
              <w:right w:val="single" w:sz="2" w:space="0" w:color="auto"/>
            </w:tcBorders>
            <w:vAlign w:val="center"/>
          </w:tcPr>
          <w:p w14:paraId="3A1B366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7836794B"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27B70D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境外会计师事务所报酬（万元）（如有）</w:t>
            </w:r>
          </w:p>
        </w:tc>
        <w:tc>
          <w:tcPr>
            <w:tcW w:w="4820" w:type="dxa"/>
            <w:tcBorders>
              <w:top w:val="single" w:sz="2" w:space="0" w:color="auto"/>
              <w:left w:val="single" w:sz="2" w:space="0" w:color="auto"/>
              <w:bottom w:val="single" w:sz="2" w:space="0" w:color="auto"/>
              <w:right w:val="single" w:sz="2" w:space="0" w:color="auto"/>
            </w:tcBorders>
            <w:vAlign w:val="center"/>
          </w:tcPr>
          <w:p w14:paraId="64A3BA7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7313EDBF"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CD8264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境外会计师事务所审计服务的连续年限（如有）</w:t>
            </w:r>
          </w:p>
        </w:tc>
        <w:tc>
          <w:tcPr>
            <w:tcW w:w="4820" w:type="dxa"/>
            <w:tcBorders>
              <w:top w:val="single" w:sz="2" w:space="0" w:color="auto"/>
              <w:left w:val="single" w:sz="2" w:space="0" w:color="auto"/>
              <w:bottom w:val="single" w:sz="2" w:space="0" w:color="auto"/>
              <w:right w:val="single" w:sz="2" w:space="0" w:color="auto"/>
            </w:tcBorders>
            <w:vAlign w:val="center"/>
          </w:tcPr>
          <w:p w14:paraId="6B428C7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49A67DDE"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E94B8E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境外会计师事务所注册会计师姓名（如有）</w:t>
            </w:r>
          </w:p>
        </w:tc>
        <w:tc>
          <w:tcPr>
            <w:tcW w:w="4820" w:type="dxa"/>
            <w:tcBorders>
              <w:top w:val="single" w:sz="2" w:space="0" w:color="auto"/>
              <w:left w:val="single" w:sz="2" w:space="0" w:color="auto"/>
              <w:bottom w:val="single" w:sz="2" w:space="0" w:color="auto"/>
              <w:right w:val="single" w:sz="2" w:space="0" w:color="auto"/>
            </w:tcBorders>
            <w:vAlign w:val="center"/>
          </w:tcPr>
          <w:p w14:paraId="0A85CA1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r w:rsidR="001D26E7" w:rsidRPr="00F614F9" w14:paraId="1A759FCC"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337794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境外会计师事务所注册会计师审计服务的连续年限（如有）</w:t>
            </w:r>
          </w:p>
        </w:tc>
        <w:tc>
          <w:tcPr>
            <w:tcW w:w="4820" w:type="dxa"/>
            <w:tcBorders>
              <w:top w:val="single" w:sz="2" w:space="0" w:color="auto"/>
              <w:left w:val="single" w:sz="2" w:space="0" w:color="auto"/>
              <w:bottom w:val="single" w:sz="2" w:space="0" w:color="auto"/>
              <w:right w:val="single" w:sz="2" w:space="0" w:color="auto"/>
            </w:tcBorders>
            <w:vAlign w:val="center"/>
          </w:tcPr>
          <w:p w14:paraId="523370A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不适用</w:t>
            </w:r>
          </w:p>
        </w:tc>
      </w:tr>
    </w:tbl>
    <w:p w14:paraId="2D800284"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当期是否改聘会计师事务所</w:t>
      </w:r>
    </w:p>
    <w:p w14:paraId="22ED5EA4"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否</w:t>
      </w:r>
    </w:p>
    <w:p w14:paraId="0754878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是否在审计期间改聘会计师事务所</w:t>
      </w:r>
    </w:p>
    <w:p w14:paraId="50DF361B"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否</w:t>
      </w:r>
    </w:p>
    <w:p w14:paraId="1E2B864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更换会计师事务所是否履行审批程序</w:t>
      </w:r>
    </w:p>
    <w:p w14:paraId="06CAE474"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否</w:t>
      </w:r>
    </w:p>
    <w:p w14:paraId="30AAF26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对改聘、变更会计师事务所情况的详细说明</w:t>
      </w:r>
    </w:p>
    <w:p w14:paraId="292174F1" w14:textId="77777777" w:rsidR="00872599" w:rsidRPr="00F614F9" w:rsidRDefault="00000000" w:rsidP="00A3396D">
      <w:pPr>
        <w:pStyle w:val="a3"/>
        <w:spacing w:before="0" w:beforeAutospacing="0" w:after="0" w:afterAutospacing="0"/>
        <w:ind w:firstLineChars="200" w:firstLine="360"/>
        <w:jc w:val="both"/>
        <w:divId w:val="1546214104"/>
        <w:rPr>
          <w:rFonts w:ascii="Times New Roman" w:eastAsia="等线" w:hAnsi="Times New Roman"/>
          <w:sz w:val="21"/>
          <w:szCs w:val="21"/>
        </w:rPr>
      </w:pPr>
      <w:r w:rsidRPr="00F614F9">
        <w:rPr>
          <w:rFonts w:ascii="Times New Roman" w:hAnsi="Times New Roman" w:hint="eastAsia"/>
          <w:sz w:val="18"/>
          <w:szCs w:val="18"/>
        </w:rPr>
        <w:t>（一）前任会计师事务所情况及上年度审计意见</w:t>
      </w:r>
    </w:p>
    <w:p w14:paraId="03900524" w14:textId="77777777" w:rsidR="00872599" w:rsidRPr="00F614F9" w:rsidRDefault="00000000" w:rsidP="00A3396D">
      <w:pPr>
        <w:pStyle w:val="a3"/>
        <w:spacing w:before="0" w:beforeAutospacing="0" w:after="0" w:afterAutospacing="0"/>
        <w:ind w:firstLineChars="200" w:firstLine="360"/>
        <w:jc w:val="both"/>
        <w:divId w:val="1546214104"/>
        <w:rPr>
          <w:rFonts w:ascii="Times New Roman" w:eastAsia="等线" w:hAnsi="Times New Roman"/>
          <w:sz w:val="21"/>
          <w:szCs w:val="21"/>
        </w:rPr>
      </w:pPr>
      <w:r w:rsidRPr="00F614F9">
        <w:rPr>
          <w:rFonts w:ascii="Times New Roman" w:hAnsi="Times New Roman" w:hint="eastAsia"/>
          <w:sz w:val="18"/>
          <w:szCs w:val="18"/>
        </w:rPr>
        <w:lastRenderedPageBreak/>
        <w:t xml:space="preserve">2022 </w:t>
      </w:r>
      <w:r w:rsidRPr="00F614F9">
        <w:rPr>
          <w:rFonts w:ascii="Times New Roman" w:hAnsi="Times New Roman" w:hint="eastAsia"/>
          <w:sz w:val="18"/>
          <w:szCs w:val="18"/>
        </w:rPr>
        <w:t>年度，中</w:t>
      </w:r>
      <w:proofErr w:type="gramStart"/>
      <w:r w:rsidRPr="00F614F9">
        <w:rPr>
          <w:rFonts w:ascii="Times New Roman" w:hAnsi="Times New Roman" w:hint="eastAsia"/>
          <w:sz w:val="18"/>
          <w:szCs w:val="18"/>
        </w:rPr>
        <w:t>审众环</w:t>
      </w:r>
      <w:proofErr w:type="gramEnd"/>
      <w:r w:rsidRPr="00F614F9">
        <w:rPr>
          <w:rFonts w:ascii="Times New Roman" w:hAnsi="Times New Roman" w:hint="eastAsia"/>
          <w:sz w:val="18"/>
          <w:szCs w:val="18"/>
        </w:rPr>
        <w:t>为公司出具了标准无保留意见的审计报告。在受聘期间，中</w:t>
      </w:r>
      <w:proofErr w:type="gramStart"/>
      <w:r w:rsidRPr="00F614F9">
        <w:rPr>
          <w:rFonts w:ascii="Times New Roman" w:hAnsi="Times New Roman" w:hint="eastAsia"/>
          <w:sz w:val="18"/>
          <w:szCs w:val="18"/>
        </w:rPr>
        <w:t>审众环</w:t>
      </w:r>
      <w:proofErr w:type="gramEnd"/>
      <w:r w:rsidRPr="00F614F9">
        <w:rPr>
          <w:rFonts w:ascii="Times New Roman" w:hAnsi="Times New Roman" w:hint="eastAsia"/>
          <w:sz w:val="18"/>
          <w:szCs w:val="18"/>
        </w:rPr>
        <w:t>恪尽职守，遵循</w:t>
      </w:r>
      <w:r w:rsidRPr="00F614F9">
        <w:rPr>
          <w:rFonts w:ascii="Times New Roman" w:hAnsi="Times New Roman" w:hint="eastAsia"/>
          <w:sz w:val="18"/>
          <w:szCs w:val="18"/>
        </w:rPr>
        <w:t xml:space="preserve"> </w:t>
      </w:r>
      <w:r w:rsidRPr="00F614F9">
        <w:rPr>
          <w:rFonts w:ascii="Times New Roman" w:hAnsi="Times New Roman" w:hint="eastAsia"/>
          <w:sz w:val="18"/>
          <w:szCs w:val="18"/>
        </w:rPr>
        <w:t>独立、客观、公正的执业准则，全面完成了审计相关工作，董事会对中</w:t>
      </w:r>
      <w:proofErr w:type="gramStart"/>
      <w:r w:rsidRPr="00F614F9">
        <w:rPr>
          <w:rFonts w:ascii="Times New Roman" w:hAnsi="Times New Roman" w:hint="eastAsia"/>
          <w:sz w:val="18"/>
          <w:szCs w:val="18"/>
        </w:rPr>
        <w:t>审众环提供</w:t>
      </w:r>
      <w:proofErr w:type="gramEnd"/>
      <w:r w:rsidRPr="00F614F9">
        <w:rPr>
          <w:rFonts w:ascii="Times New Roman" w:hAnsi="Times New Roman" w:hint="eastAsia"/>
          <w:sz w:val="18"/>
          <w:szCs w:val="18"/>
        </w:rPr>
        <w:t>的审计服务表示感谢。公司不存在已委托前任会计师事务所开展部分审计工作后又解聘前任会计师事务所的情况。</w:t>
      </w:r>
    </w:p>
    <w:p w14:paraId="4721E369" w14:textId="77777777" w:rsidR="00872599" w:rsidRPr="00F614F9" w:rsidRDefault="00000000" w:rsidP="00A3396D">
      <w:pPr>
        <w:pStyle w:val="a3"/>
        <w:spacing w:before="0" w:beforeAutospacing="0" w:after="0" w:afterAutospacing="0"/>
        <w:ind w:firstLineChars="200" w:firstLine="360"/>
        <w:jc w:val="both"/>
        <w:divId w:val="1546214104"/>
        <w:rPr>
          <w:rFonts w:ascii="Times New Roman" w:eastAsia="等线" w:hAnsi="Times New Roman"/>
          <w:sz w:val="21"/>
          <w:szCs w:val="21"/>
        </w:rPr>
      </w:pPr>
      <w:r w:rsidRPr="00F614F9">
        <w:rPr>
          <w:rFonts w:ascii="Times New Roman" w:hAnsi="Times New Roman" w:hint="eastAsia"/>
          <w:sz w:val="18"/>
          <w:szCs w:val="18"/>
        </w:rPr>
        <w:t>（二）拟变更会计师事务所原因</w:t>
      </w:r>
    </w:p>
    <w:p w14:paraId="7A1E08DC" w14:textId="77777777" w:rsidR="00872599" w:rsidRPr="00F614F9" w:rsidRDefault="00000000" w:rsidP="00A3396D">
      <w:pPr>
        <w:pStyle w:val="a3"/>
        <w:spacing w:before="0" w:beforeAutospacing="0" w:after="0" w:afterAutospacing="0"/>
        <w:ind w:firstLineChars="200" w:firstLine="360"/>
        <w:jc w:val="both"/>
        <w:divId w:val="1546214104"/>
        <w:rPr>
          <w:rFonts w:ascii="Times New Roman" w:eastAsia="等线" w:hAnsi="Times New Roman"/>
          <w:sz w:val="21"/>
          <w:szCs w:val="21"/>
        </w:rPr>
      </w:pPr>
      <w:r w:rsidRPr="00F614F9">
        <w:rPr>
          <w:rFonts w:ascii="Times New Roman" w:hAnsi="Times New Roman" w:hint="eastAsia"/>
          <w:sz w:val="18"/>
          <w:szCs w:val="18"/>
        </w:rPr>
        <w:t>鉴于中</w:t>
      </w:r>
      <w:proofErr w:type="gramStart"/>
      <w:r w:rsidRPr="00F614F9">
        <w:rPr>
          <w:rFonts w:ascii="Times New Roman" w:hAnsi="Times New Roman" w:hint="eastAsia"/>
          <w:sz w:val="18"/>
          <w:szCs w:val="18"/>
        </w:rPr>
        <w:t>审众环</w:t>
      </w:r>
      <w:proofErr w:type="gramEnd"/>
      <w:r w:rsidRPr="00F614F9">
        <w:rPr>
          <w:rFonts w:ascii="Times New Roman" w:hAnsi="Times New Roman" w:hint="eastAsia"/>
          <w:sz w:val="18"/>
          <w:szCs w:val="18"/>
        </w:rPr>
        <w:t>已经连续</w:t>
      </w:r>
      <w:r w:rsidRPr="00F614F9">
        <w:rPr>
          <w:rFonts w:ascii="Times New Roman" w:hAnsi="Times New Roman" w:hint="eastAsia"/>
          <w:sz w:val="18"/>
          <w:szCs w:val="18"/>
        </w:rPr>
        <w:t>5</w:t>
      </w:r>
      <w:r w:rsidRPr="00F614F9">
        <w:rPr>
          <w:rFonts w:ascii="Times New Roman" w:hAnsi="Times New Roman" w:hint="eastAsia"/>
          <w:sz w:val="18"/>
          <w:szCs w:val="18"/>
        </w:rPr>
        <w:t>年为公司提供审计服务，为保证公司审计工作的独立性和客观性，同时为更好的适应公司未来业务发展的需要。公司拟聘任众华会计师事务所（特殊普通合伙）为公司</w:t>
      </w:r>
      <w:r w:rsidRPr="00F614F9">
        <w:rPr>
          <w:rFonts w:ascii="Times New Roman" w:hAnsi="Times New Roman" w:hint="eastAsia"/>
          <w:sz w:val="18"/>
          <w:szCs w:val="18"/>
        </w:rPr>
        <w:t>2023</w:t>
      </w:r>
      <w:r w:rsidRPr="00F614F9">
        <w:rPr>
          <w:rFonts w:ascii="Times New Roman" w:hAnsi="Times New Roman" w:hint="eastAsia"/>
          <w:sz w:val="18"/>
          <w:szCs w:val="18"/>
        </w:rPr>
        <w:t>年度财务审计机构和内控审计机构，聘期一年。</w:t>
      </w:r>
    </w:p>
    <w:p w14:paraId="6D46D854" w14:textId="77777777" w:rsidR="00872599" w:rsidRPr="00F614F9" w:rsidRDefault="00000000" w:rsidP="00A3396D">
      <w:pPr>
        <w:pStyle w:val="a3"/>
        <w:spacing w:before="0" w:beforeAutospacing="0" w:after="0" w:afterAutospacing="0"/>
        <w:ind w:firstLineChars="200" w:firstLine="360"/>
        <w:jc w:val="both"/>
        <w:divId w:val="1546214104"/>
        <w:rPr>
          <w:rFonts w:ascii="Times New Roman" w:eastAsia="等线" w:hAnsi="Times New Roman"/>
          <w:sz w:val="21"/>
          <w:szCs w:val="21"/>
        </w:rPr>
      </w:pPr>
      <w:r w:rsidRPr="00F614F9">
        <w:rPr>
          <w:rFonts w:ascii="Times New Roman" w:hAnsi="Times New Roman" w:hint="eastAsia"/>
          <w:sz w:val="18"/>
          <w:szCs w:val="18"/>
        </w:rPr>
        <w:t>（三）公司与前后任会计师事务所的沟通情况</w:t>
      </w:r>
    </w:p>
    <w:p w14:paraId="51E60AD2" w14:textId="77777777" w:rsidR="00872599" w:rsidRPr="00F614F9" w:rsidRDefault="00000000" w:rsidP="00A3396D">
      <w:pPr>
        <w:pStyle w:val="a3"/>
        <w:spacing w:before="0" w:beforeAutospacing="0" w:after="0" w:afterAutospacing="0"/>
        <w:ind w:firstLineChars="200" w:firstLine="360"/>
        <w:jc w:val="both"/>
        <w:divId w:val="1546214104"/>
        <w:rPr>
          <w:rFonts w:ascii="Times New Roman" w:eastAsia="等线" w:hAnsi="Times New Roman"/>
          <w:sz w:val="21"/>
          <w:szCs w:val="21"/>
        </w:rPr>
      </w:pPr>
      <w:r w:rsidRPr="00F614F9">
        <w:rPr>
          <w:rFonts w:ascii="Times New Roman" w:hAnsi="Times New Roman" w:hint="eastAsia"/>
          <w:sz w:val="18"/>
          <w:szCs w:val="18"/>
        </w:rPr>
        <w:t>公司已就变更会计师事务所事项与前后任会计师事务所进行了充分沟通，各方均已明确知悉本事项并无异议。前后任会计师事务所将按照《中国注册会计师审计准则第</w:t>
      </w:r>
      <w:r w:rsidRPr="00F614F9">
        <w:rPr>
          <w:rFonts w:ascii="Times New Roman" w:hAnsi="Times New Roman" w:hint="eastAsia"/>
          <w:sz w:val="18"/>
          <w:szCs w:val="18"/>
        </w:rPr>
        <w:t xml:space="preserve"> 1153 </w:t>
      </w:r>
      <w:r w:rsidRPr="00F614F9">
        <w:rPr>
          <w:rFonts w:ascii="Times New Roman" w:hAnsi="Times New Roman" w:hint="eastAsia"/>
          <w:sz w:val="18"/>
          <w:szCs w:val="18"/>
        </w:rPr>
        <w:t>号—前任注册会计师和后任注册会计师的沟通》的有关规定，做好沟通及配合工作。</w:t>
      </w:r>
    </w:p>
    <w:p w14:paraId="013A015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聘请内部控制审计会计师事务所、财务顾问或保荐人情况</w:t>
      </w:r>
    </w:p>
    <w:p w14:paraId="295150E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2F99648B" w14:textId="77777777" w:rsidR="00872599" w:rsidRPr="00F614F9" w:rsidRDefault="00000000" w:rsidP="00A3396D">
      <w:pPr>
        <w:pStyle w:val="a3"/>
        <w:ind w:firstLineChars="200" w:firstLine="360"/>
        <w:divId w:val="1005286466"/>
        <w:rPr>
          <w:rFonts w:ascii="Times New Roman" w:hAnsi="Times New Roman"/>
          <w:sz w:val="18"/>
          <w:szCs w:val="18"/>
        </w:rPr>
      </w:pPr>
      <w:r w:rsidRPr="00F614F9">
        <w:rPr>
          <w:rFonts w:ascii="Times New Roman" w:hAnsi="Times New Roman" w:hint="eastAsia"/>
          <w:sz w:val="18"/>
          <w:szCs w:val="18"/>
        </w:rPr>
        <w:t>报告期内，公司聘请聘任众华会计师事务所（特殊普通合伙）为公司内控审计机构，期间支付内控审计费用</w:t>
      </w:r>
      <w:r w:rsidRPr="00F614F9">
        <w:rPr>
          <w:rFonts w:ascii="Times New Roman" w:hAnsi="Times New Roman" w:hint="eastAsia"/>
          <w:sz w:val="18"/>
          <w:szCs w:val="18"/>
        </w:rPr>
        <w:t>30</w:t>
      </w:r>
      <w:r w:rsidRPr="00F614F9">
        <w:rPr>
          <w:rFonts w:ascii="Times New Roman" w:hAnsi="Times New Roman" w:hint="eastAsia"/>
          <w:sz w:val="18"/>
          <w:szCs w:val="18"/>
        </w:rPr>
        <w:t>万元。</w:t>
      </w:r>
    </w:p>
    <w:p w14:paraId="2AB2F76F"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54" w:name="_Toc988995"/>
      <w:bookmarkStart w:id="155" w:name="_Toc164024797"/>
      <w:r w:rsidRPr="00F614F9">
        <w:rPr>
          <w:rFonts w:ascii="Times New Roman" w:eastAsia="宋体" w:hAnsi="Times New Roman" w:cs="宋体"/>
          <w:b/>
          <w:bCs/>
          <w:sz w:val="24"/>
          <w:szCs w:val="24"/>
        </w:rPr>
        <w:t>九、年度报告披露后面临退市情况</w:t>
      </w:r>
      <w:bookmarkEnd w:id="154"/>
      <w:bookmarkEnd w:id="155"/>
    </w:p>
    <w:p w14:paraId="2ECB31BB"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43FB14E"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56" w:name="_Toc988996"/>
      <w:bookmarkStart w:id="157" w:name="_Toc164024798"/>
      <w:r w:rsidRPr="00F614F9">
        <w:rPr>
          <w:rFonts w:ascii="Times New Roman" w:eastAsia="宋体" w:hAnsi="Times New Roman" w:cs="宋体"/>
          <w:b/>
          <w:bCs/>
          <w:sz w:val="24"/>
          <w:szCs w:val="24"/>
        </w:rPr>
        <w:t>十、破产重整相关事项</w:t>
      </w:r>
      <w:bookmarkEnd w:id="156"/>
      <w:bookmarkEnd w:id="157"/>
    </w:p>
    <w:p w14:paraId="5A81E1C7"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3BF68C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公司报告期未发生破产重整相关事项。</w:t>
      </w:r>
    </w:p>
    <w:p w14:paraId="2122AFAC"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58" w:name="_Toc988997"/>
      <w:bookmarkStart w:id="159" w:name="_Toc164024799"/>
      <w:r w:rsidRPr="00F614F9">
        <w:rPr>
          <w:rFonts w:ascii="Times New Roman" w:eastAsia="宋体" w:hAnsi="Times New Roman" w:cs="宋体"/>
          <w:b/>
          <w:bCs/>
          <w:sz w:val="24"/>
          <w:szCs w:val="24"/>
        </w:rPr>
        <w:t>十一、重大诉讼、仲裁事项</w:t>
      </w:r>
      <w:bookmarkEnd w:id="158"/>
      <w:bookmarkEnd w:id="159"/>
    </w:p>
    <w:p w14:paraId="4ABA211E"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61954840"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本报告期公司无重大诉讼、仲裁事项。</w:t>
      </w:r>
    </w:p>
    <w:p w14:paraId="37019C9D"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60" w:name="_Toc988998"/>
      <w:bookmarkStart w:id="161" w:name="_Toc164024800"/>
      <w:r w:rsidRPr="00F614F9">
        <w:rPr>
          <w:rFonts w:ascii="Times New Roman" w:eastAsia="宋体" w:hAnsi="Times New Roman" w:cs="宋体"/>
          <w:b/>
          <w:bCs/>
          <w:sz w:val="24"/>
          <w:szCs w:val="24"/>
        </w:rPr>
        <w:t>十二、处罚及整改情况</w:t>
      </w:r>
      <w:bookmarkEnd w:id="160"/>
      <w:bookmarkEnd w:id="161"/>
    </w:p>
    <w:p w14:paraId="53E1F2F3"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1E322BC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公司报告期不存在处罚及整改情况。</w:t>
      </w:r>
    </w:p>
    <w:p w14:paraId="05C6EA95"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62" w:name="_Toc988999"/>
      <w:bookmarkStart w:id="163" w:name="_Toc164024801"/>
      <w:r w:rsidRPr="00F614F9">
        <w:rPr>
          <w:rFonts w:ascii="Times New Roman" w:eastAsia="宋体" w:hAnsi="Times New Roman" w:cs="宋体"/>
          <w:b/>
          <w:bCs/>
          <w:sz w:val="24"/>
          <w:szCs w:val="24"/>
        </w:rPr>
        <w:t>十三、公司及其控股股东、实际控制人的诚信状况</w:t>
      </w:r>
      <w:bookmarkEnd w:id="162"/>
      <w:bookmarkEnd w:id="163"/>
    </w:p>
    <w:p w14:paraId="3B2215D2"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25ABDBE7"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64" w:name="_Toc989000"/>
      <w:bookmarkStart w:id="165" w:name="_Toc164024802"/>
      <w:r w:rsidRPr="00F614F9">
        <w:rPr>
          <w:rFonts w:ascii="Times New Roman" w:eastAsia="宋体" w:hAnsi="Times New Roman" w:cs="宋体"/>
          <w:b/>
          <w:bCs/>
          <w:sz w:val="24"/>
          <w:szCs w:val="24"/>
        </w:rPr>
        <w:t>十四、重大关联交易</w:t>
      </w:r>
      <w:bookmarkEnd w:id="164"/>
      <w:bookmarkEnd w:id="165"/>
    </w:p>
    <w:p w14:paraId="4D1FF2C0" w14:textId="77777777" w:rsidR="001D26E7" w:rsidRPr="00F614F9" w:rsidRDefault="00000000">
      <w:pPr>
        <w:pStyle w:val="3"/>
        <w:spacing w:line="280" w:lineRule="exact"/>
        <w:jc w:val="left"/>
        <w:rPr>
          <w:rFonts w:ascii="Times New Roman" w:hAnsi="Times New Roman" w:cs="宋体"/>
          <w:b/>
          <w:bCs/>
        </w:rPr>
      </w:pPr>
      <w:bookmarkStart w:id="166" w:name="_Toc989001"/>
      <w:r w:rsidRPr="00F614F9">
        <w:rPr>
          <w:rFonts w:ascii="Times New Roman" w:hAnsi="Times New Roman" w:cs="宋体"/>
          <w:b/>
          <w:bCs/>
        </w:rPr>
        <w:t>1</w:t>
      </w:r>
      <w:r w:rsidRPr="00F614F9">
        <w:rPr>
          <w:rFonts w:ascii="Times New Roman" w:hAnsi="Times New Roman" w:cs="宋体"/>
          <w:b/>
          <w:bCs/>
        </w:rPr>
        <w:t>、与日常经营相关的关联交易</w:t>
      </w:r>
      <w:bookmarkEnd w:id="166"/>
    </w:p>
    <w:p w14:paraId="5DB094AD"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5A44A463"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公司报告期未发生与日常经营相关的关联交易。</w:t>
      </w:r>
    </w:p>
    <w:p w14:paraId="16634741" w14:textId="77777777" w:rsidR="001D26E7" w:rsidRPr="00F614F9" w:rsidRDefault="00000000">
      <w:pPr>
        <w:pStyle w:val="3"/>
        <w:spacing w:line="280" w:lineRule="exact"/>
        <w:jc w:val="left"/>
        <w:rPr>
          <w:rFonts w:ascii="Times New Roman" w:hAnsi="Times New Roman" w:cs="宋体"/>
          <w:b/>
          <w:bCs/>
        </w:rPr>
      </w:pPr>
      <w:bookmarkStart w:id="167" w:name="_Toc989002"/>
      <w:r w:rsidRPr="00F614F9">
        <w:rPr>
          <w:rFonts w:ascii="Times New Roman" w:hAnsi="Times New Roman" w:cs="宋体"/>
          <w:b/>
          <w:bCs/>
        </w:rPr>
        <w:lastRenderedPageBreak/>
        <w:t>2</w:t>
      </w:r>
      <w:r w:rsidRPr="00F614F9">
        <w:rPr>
          <w:rFonts w:ascii="Times New Roman" w:hAnsi="Times New Roman" w:cs="宋体"/>
          <w:b/>
          <w:bCs/>
        </w:rPr>
        <w:t>、资产或股权收购、出售发生的关联交易</w:t>
      </w:r>
      <w:bookmarkEnd w:id="167"/>
    </w:p>
    <w:p w14:paraId="79B1418E"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202CE69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公司报告期未发生资产或股权收购、出售的关联交易。</w:t>
      </w:r>
    </w:p>
    <w:p w14:paraId="7596E806" w14:textId="77777777" w:rsidR="001D26E7" w:rsidRPr="00F614F9" w:rsidRDefault="00000000">
      <w:pPr>
        <w:pStyle w:val="3"/>
        <w:spacing w:line="280" w:lineRule="exact"/>
        <w:jc w:val="left"/>
        <w:rPr>
          <w:rFonts w:ascii="Times New Roman" w:hAnsi="Times New Roman" w:cs="宋体"/>
          <w:b/>
          <w:bCs/>
        </w:rPr>
      </w:pPr>
      <w:bookmarkStart w:id="168" w:name="_Toc989003"/>
      <w:r w:rsidRPr="00F614F9">
        <w:rPr>
          <w:rFonts w:ascii="Times New Roman" w:hAnsi="Times New Roman" w:cs="宋体"/>
          <w:b/>
          <w:bCs/>
        </w:rPr>
        <w:t>3</w:t>
      </w:r>
      <w:r w:rsidRPr="00F614F9">
        <w:rPr>
          <w:rFonts w:ascii="Times New Roman" w:hAnsi="Times New Roman" w:cs="宋体"/>
          <w:b/>
          <w:bCs/>
        </w:rPr>
        <w:t>、共同对外投资的关联交易</w:t>
      </w:r>
      <w:bookmarkEnd w:id="168"/>
    </w:p>
    <w:p w14:paraId="39501EB9"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51B77274"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公司报告期未发生共同对外投资的关联交易。</w:t>
      </w:r>
    </w:p>
    <w:p w14:paraId="05AE9E6A" w14:textId="77777777" w:rsidR="001D26E7" w:rsidRPr="00F614F9" w:rsidRDefault="00000000">
      <w:pPr>
        <w:pStyle w:val="3"/>
        <w:spacing w:line="280" w:lineRule="exact"/>
        <w:jc w:val="left"/>
        <w:rPr>
          <w:rFonts w:ascii="Times New Roman" w:hAnsi="Times New Roman" w:cs="宋体"/>
          <w:b/>
          <w:bCs/>
        </w:rPr>
      </w:pPr>
      <w:bookmarkStart w:id="169" w:name="_Toc989004"/>
      <w:r w:rsidRPr="00F614F9">
        <w:rPr>
          <w:rFonts w:ascii="Times New Roman" w:hAnsi="Times New Roman" w:cs="宋体"/>
          <w:b/>
          <w:bCs/>
        </w:rPr>
        <w:t>4</w:t>
      </w:r>
      <w:r w:rsidRPr="00F614F9">
        <w:rPr>
          <w:rFonts w:ascii="Times New Roman" w:hAnsi="Times New Roman" w:cs="宋体"/>
          <w:b/>
          <w:bCs/>
        </w:rPr>
        <w:t>、关联债权债务往来</w:t>
      </w:r>
      <w:bookmarkEnd w:id="169"/>
    </w:p>
    <w:p w14:paraId="17000CEC"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77FC66F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公司报告期不存在关联债权债务往来。</w:t>
      </w:r>
    </w:p>
    <w:p w14:paraId="2907ED06" w14:textId="77777777" w:rsidR="001D26E7" w:rsidRPr="00F614F9" w:rsidRDefault="00000000">
      <w:pPr>
        <w:pStyle w:val="3"/>
        <w:spacing w:line="280" w:lineRule="exact"/>
        <w:jc w:val="left"/>
        <w:rPr>
          <w:rFonts w:ascii="Times New Roman" w:hAnsi="Times New Roman" w:cs="宋体"/>
          <w:b/>
          <w:bCs/>
        </w:rPr>
      </w:pPr>
      <w:bookmarkStart w:id="170" w:name="_Toc989005"/>
      <w:r w:rsidRPr="00F614F9">
        <w:rPr>
          <w:rFonts w:ascii="Times New Roman" w:hAnsi="Times New Roman" w:cs="宋体"/>
          <w:b/>
          <w:bCs/>
        </w:rPr>
        <w:t>5</w:t>
      </w:r>
      <w:r w:rsidRPr="00F614F9">
        <w:rPr>
          <w:rFonts w:ascii="Times New Roman" w:hAnsi="Times New Roman" w:cs="宋体"/>
          <w:b/>
          <w:bCs/>
        </w:rPr>
        <w:t>、与存在关联关系的财务公司的往来情况</w:t>
      </w:r>
      <w:bookmarkEnd w:id="170"/>
    </w:p>
    <w:p w14:paraId="301CD56C"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5D346CB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公司与存在关联关系的财务公司与关联方之间不存在存款、贷款、授信或其他金融业务。</w:t>
      </w:r>
    </w:p>
    <w:p w14:paraId="3F3AC80C" w14:textId="77777777" w:rsidR="001D26E7" w:rsidRPr="00F614F9" w:rsidRDefault="00000000">
      <w:pPr>
        <w:pStyle w:val="3"/>
        <w:spacing w:line="280" w:lineRule="exact"/>
        <w:jc w:val="left"/>
        <w:rPr>
          <w:rFonts w:ascii="Times New Roman" w:hAnsi="Times New Roman" w:cs="宋体"/>
          <w:b/>
          <w:bCs/>
        </w:rPr>
      </w:pPr>
      <w:bookmarkStart w:id="171" w:name="_Toc989006"/>
      <w:r w:rsidRPr="00F614F9">
        <w:rPr>
          <w:rFonts w:ascii="Times New Roman" w:hAnsi="Times New Roman" w:cs="宋体"/>
          <w:b/>
          <w:bCs/>
        </w:rPr>
        <w:t>6</w:t>
      </w:r>
      <w:r w:rsidRPr="00F614F9">
        <w:rPr>
          <w:rFonts w:ascii="Times New Roman" w:hAnsi="Times New Roman" w:cs="宋体"/>
          <w:b/>
          <w:bCs/>
        </w:rPr>
        <w:t>、公司控股的财务公司与关联方的往来情况</w:t>
      </w:r>
      <w:bookmarkEnd w:id="171"/>
    </w:p>
    <w:p w14:paraId="4D1956F7"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602A1D11"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公司控股的财务公司与关联方之间不存在存款、贷款、授信或其他金融业务。</w:t>
      </w:r>
    </w:p>
    <w:p w14:paraId="4AA9FF20" w14:textId="77777777" w:rsidR="001D26E7" w:rsidRPr="00F614F9" w:rsidRDefault="00000000">
      <w:pPr>
        <w:pStyle w:val="3"/>
        <w:spacing w:line="280" w:lineRule="exact"/>
        <w:jc w:val="left"/>
        <w:rPr>
          <w:rFonts w:ascii="Times New Roman" w:hAnsi="Times New Roman" w:cs="宋体"/>
          <w:b/>
          <w:bCs/>
        </w:rPr>
      </w:pPr>
      <w:bookmarkStart w:id="172" w:name="_Toc989007"/>
      <w:r w:rsidRPr="00F614F9">
        <w:rPr>
          <w:rFonts w:ascii="Times New Roman" w:hAnsi="Times New Roman" w:cs="宋体"/>
          <w:b/>
          <w:bCs/>
        </w:rPr>
        <w:t>7</w:t>
      </w:r>
      <w:r w:rsidRPr="00F614F9">
        <w:rPr>
          <w:rFonts w:ascii="Times New Roman" w:hAnsi="Times New Roman" w:cs="宋体"/>
          <w:b/>
          <w:bCs/>
        </w:rPr>
        <w:t>、其他重大关联交易</w:t>
      </w:r>
      <w:bookmarkEnd w:id="172"/>
    </w:p>
    <w:p w14:paraId="76AD4251"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6FD61981"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公司报告期无其他重大关联交易。</w:t>
      </w:r>
    </w:p>
    <w:p w14:paraId="039D6247"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73" w:name="_Toc989008"/>
      <w:bookmarkStart w:id="174" w:name="_Toc164024803"/>
      <w:r w:rsidRPr="00F614F9">
        <w:rPr>
          <w:rFonts w:ascii="Times New Roman" w:eastAsia="宋体" w:hAnsi="Times New Roman" w:cs="宋体"/>
          <w:b/>
          <w:bCs/>
          <w:sz w:val="24"/>
          <w:szCs w:val="24"/>
        </w:rPr>
        <w:t>十五、重大合同及其履行情况</w:t>
      </w:r>
      <w:bookmarkEnd w:id="173"/>
      <w:bookmarkEnd w:id="174"/>
    </w:p>
    <w:p w14:paraId="47CFED5F" w14:textId="77777777" w:rsidR="001D26E7" w:rsidRPr="00F614F9" w:rsidRDefault="00000000">
      <w:pPr>
        <w:pStyle w:val="3"/>
        <w:spacing w:line="280" w:lineRule="exact"/>
        <w:jc w:val="left"/>
        <w:rPr>
          <w:rFonts w:ascii="Times New Roman" w:hAnsi="Times New Roman" w:cs="宋体"/>
          <w:b/>
          <w:bCs/>
        </w:rPr>
      </w:pPr>
      <w:bookmarkStart w:id="175" w:name="_Toc989009"/>
      <w:r w:rsidRPr="00F614F9">
        <w:rPr>
          <w:rFonts w:ascii="Times New Roman" w:hAnsi="Times New Roman" w:cs="宋体"/>
          <w:b/>
          <w:bCs/>
        </w:rPr>
        <w:t>1</w:t>
      </w:r>
      <w:r w:rsidRPr="00F614F9">
        <w:rPr>
          <w:rFonts w:ascii="Times New Roman" w:hAnsi="Times New Roman" w:cs="宋体"/>
          <w:b/>
          <w:bCs/>
        </w:rPr>
        <w:t>、托管、承包、租赁事项情况</w:t>
      </w:r>
      <w:bookmarkEnd w:id="175"/>
    </w:p>
    <w:p w14:paraId="0ED23C77"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176" w:name="_Toc989010"/>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托管情况</w:t>
      </w:r>
      <w:bookmarkEnd w:id="176"/>
    </w:p>
    <w:p w14:paraId="32666AB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1E198F68"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托管情况说明</w:t>
      </w:r>
    </w:p>
    <w:p w14:paraId="559F4BD7" w14:textId="77777777" w:rsidR="00872599" w:rsidRPr="00F614F9" w:rsidRDefault="00000000" w:rsidP="00A3396D">
      <w:pPr>
        <w:pStyle w:val="a3"/>
        <w:spacing w:before="0" w:beforeAutospacing="0" w:after="0" w:afterAutospacing="0" w:line="276" w:lineRule="auto"/>
        <w:ind w:firstLine="360"/>
        <w:jc w:val="both"/>
        <w:divId w:val="569853017"/>
        <w:rPr>
          <w:rFonts w:ascii="Times New Roman" w:eastAsia="等线" w:hAnsi="Times New Roman"/>
          <w:sz w:val="21"/>
          <w:szCs w:val="21"/>
        </w:rPr>
      </w:pPr>
      <w:r w:rsidRPr="00F614F9">
        <w:rPr>
          <w:rFonts w:ascii="Times New Roman" w:hAnsi="Times New Roman" w:hint="eastAsia"/>
          <w:sz w:val="18"/>
          <w:szCs w:val="18"/>
        </w:rPr>
        <w:t>公司与控股股东蓝润发展下属</w:t>
      </w:r>
      <w:proofErr w:type="gramStart"/>
      <w:r w:rsidRPr="00F614F9">
        <w:rPr>
          <w:rFonts w:ascii="Times New Roman" w:hAnsi="Times New Roman" w:hint="eastAsia"/>
          <w:sz w:val="18"/>
          <w:szCs w:val="18"/>
        </w:rPr>
        <w:t>全资子公司五仓农牧</w:t>
      </w:r>
      <w:proofErr w:type="gramEnd"/>
      <w:r w:rsidRPr="00F614F9">
        <w:rPr>
          <w:rFonts w:ascii="Times New Roman" w:hAnsi="Times New Roman" w:hint="eastAsia"/>
          <w:sz w:val="18"/>
          <w:szCs w:val="18"/>
        </w:rPr>
        <w:t>集团有限公司因生猪养殖业务存在同业竞争。公司就控股股东及实际控制人避免同业竞争承诺事项于</w:t>
      </w:r>
      <w:r w:rsidRPr="00F614F9">
        <w:rPr>
          <w:rFonts w:ascii="Times New Roman" w:hAnsi="Times New Roman" w:hint="eastAsia"/>
          <w:sz w:val="18"/>
          <w:szCs w:val="18"/>
        </w:rPr>
        <w:t>2023</w:t>
      </w:r>
      <w:r w:rsidRPr="00F614F9">
        <w:rPr>
          <w:rFonts w:ascii="Times New Roman" w:hAnsi="Times New Roman" w:hint="eastAsia"/>
          <w:sz w:val="18"/>
          <w:szCs w:val="18"/>
        </w:rPr>
        <w:t>年</w:t>
      </w:r>
      <w:r w:rsidRPr="00F614F9">
        <w:rPr>
          <w:rFonts w:ascii="Times New Roman" w:hAnsi="Times New Roman" w:hint="eastAsia"/>
          <w:sz w:val="18"/>
          <w:szCs w:val="18"/>
        </w:rPr>
        <w:t>12</w:t>
      </w:r>
      <w:r w:rsidRPr="00F614F9">
        <w:rPr>
          <w:rFonts w:ascii="Times New Roman" w:hAnsi="Times New Roman" w:hint="eastAsia"/>
          <w:sz w:val="18"/>
          <w:szCs w:val="18"/>
        </w:rPr>
        <w:t>月</w:t>
      </w:r>
      <w:r w:rsidRPr="00F614F9">
        <w:rPr>
          <w:rFonts w:ascii="Times New Roman" w:hAnsi="Times New Roman" w:hint="eastAsia"/>
          <w:sz w:val="18"/>
          <w:szCs w:val="18"/>
        </w:rPr>
        <w:t>1</w:t>
      </w:r>
      <w:r w:rsidRPr="00F614F9">
        <w:rPr>
          <w:rFonts w:ascii="Times New Roman" w:hAnsi="Times New Roman" w:hint="eastAsia"/>
          <w:sz w:val="18"/>
          <w:szCs w:val="18"/>
        </w:rPr>
        <w:t>日召开第五届董事会第十九次会议，审议通过了《关于公司控股股东及实际控制人避免同业竞争承诺延期履行的议案》，同意控股股东及实际控制人对避免同业竞争承诺事项进行延期，并在解决同业竞争之前，控股股东将以股权托管的方式</w:t>
      </w:r>
      <w:proofErr w:type="gramStart"/>
      <w:r w:rsidRPr="00F614F9">
        <w:rPr>
          <w:rFonts w:ascii="Times New Roman" w:hAnsi="Times New Roman" w:hint="eastAsia"/>
          <w:sz w:val="18"/>
          <w:szCs w:val="18"/>
        </w:rPr>
        <w:t>将五仓农牧</w:t>
      </w:r>
      <w:proofErr w:type="gramEnd"/>
      <w:r w:rsidRPr="00F614F9">
        <w:rPr>
          <w:rFonts w:ascii="Times New Roman" w:hAnsi="Times New Roman" w:hint="eastAsia"/>
          <w:sz w:val="18"/>
          <w:szCs w:val="18"/>
        </w:rPr>
        <w:t>股权委托公司代为管理。根据上述延期方案，公司董事会审议通过了《关于签署股权托管协议暨关联交易的议案》，同意控股股东</w:t>
      </w:r>
      <w:proofErr w:type="gramStart"/>
      <w:r w:rsidRPr="00F614F9">
        <w:rPr>
          <w:rFonts w:ascii="Times New Roman" w:hAnsi="Times New Roman" w:hint="eastAsia"/>
          <w:sz w:val="18"/>
          <w:szCs w:val="18"/>
        </w:rPr>
        <w:t>将五仓农牧</w:t>
      </w:r>
      <w:proofErr w:type="gramEnd"/>
      <w:r w:rsidRPr="00F614F9">
        <w:rPr>
          <w:rFonts w:ascii="Times New Roman" w:hAnsi="Times New Roman" w:hint="eastAsia"/>
          <w:sz w:val="18"/>
          <w:szCs w:val="18"/>
        </w:rPr>
        <w:t>的股权委托给公司代为管理，直至相关资产注入上市公司或转让给无关联第三方，并签署《股权托管协议》。协议约定，托管期间，委托方应就委托管理期间受托</w:t>
      </w:r>
      <w:r w:rsidRPr="00F614F9">
        <w:rPr>
          <w:rFonts w:ascii="Times New Roman" w:hAnsi="Times New Roman" w:hint="eastAsia"/>
          <w:sz w:val="18"/>
          <w:szCs w:val="18"/>
        </w:rPr>
        <w:lastRenderedPageBreak/>
        <w:t>方提供的委托管理服务向受托方支付委托管理费，委托管理费的计算方式为：</w:t>
      </w:r>
      <w:r w:rsidRPr="00F614F9">
        <w:rPr>
          <w:rFonts w:ascii="Times New Roman" w:hAnsi="Times New Roman" w:hint="eastAsia"/>
          <w:sz w:val="18"/>
          <w:szCs w:val="18"/>
        </w:rPr>
        <w:t>10</w:t>
      </w:r>
      <w:r w:rsidRPr="00F614F9">
        <w:rPr>
          <w:rFonts w:ascii="Times New Roman" w:hAnsi="Times New Roman" w:hint="eastAsia"/>
          <w:sz w:val="18"/>
          <w:szCs w:val="18"/>
        </w:rPr>
        <w:t>万元人民币</w:t>
      </w:r>
      <w:r w:rsidRPr="00F614F9">
        <w:rPr>
          <w:rFonts w:ascii="Times New Roman" w:hAnsi="Times New Roman" w:hint="eastAsia"/>
          <w:sz w:val="18"/>
          <w:szCs w:val="18"/>
        </w:rPr>
        <w:t>/</w:t>
      </w:r>
      <w:r w:rsidRPr="00F614F9">
        <w:rPr>
          <w:rFonts w:ascii="Times New Roman" w:hAnsi="Times New Roman" w:hint="eastAsia"/>
          <w:sz w:val="18"/>
          <w:szCs w:val="18"/>
        </w:rPr>
        <w:t>年。具体内容详见《山东龙大美食股份有限公司关于签署股权托管协议暨关联交易的公告》（公告编号</w:t>
      </w:r>
      <w:r w:rsidRPr="00F614F9">
        <w:rPr>
          <w:rFonts w:ascii="Times New Roman" w:hAnsi="Times New Roman" w:hint="eastAsia"/>
          <w:sz w:val="18"/>
          <w:szCs w:val="18"/>
        </w:rPr>
        <w:t>2023-092</w:t>
      </w:r>
      <w:r w:rsidRPr="00F614F9">
        <w:rPr>
          <w:rFonts w:ascii="Times New Roman" w:hAnsi="Times New Roman" w:hint="eastAsia"/>
          <w:sz w:val="18"/>
          <w:szCs w:val="18"/>
        </w:rPr>
        <w:t>）。</w:t>
      </w:r>
    </w:p>
    <w:p w14:paraId="5B2D66BF"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为公司带来的损益达到公司报告期利润总额</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以上的项目</w:t>
      </w:r>
    </w:p>
    <w:p w14:paraId="77CB9FF3"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59C42310" w14:textId="77777777" w:rsidR="001D26E7" w:rsidRPr="00F614F9" w:rsidRDefault="00000000" w:rsidP="00A3396D">
      <w:pPr>
        <w:spacing w:before="100" w:after="10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公司报告期不存在为公司带来的损益达到公司报告期利润总额</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以上的托管项目。</w:t>
      </w:r>
    </w:p>
    <w:p w14:paraId="54820B55"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177" w:name="_Toc989011"/>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2</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承包情况</w:t>
      </w:r>
      <w:bookmarkEnd w:id="177"/>
    </w:p>
    <w:p w14:paraId="1BF992A6"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507BAAD1" w14:textId="77777777" w:rsidR="001D26E7" w:rsidRPr="00F614F9" w:rsidRDefault="00000000" w:rsidP="00A3396D">
      <w:pPr>
        <w:spacing w:before="100" w:after="10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公司报告期不存在承包情况。</w:t>
      </w:r>
    </w:p>
    <w:p w14:paraId="3354FCD4"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178" w:name="_Toc989012"/>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3</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租赁情况</w:t>
      </w:r>
      <w:bookmarkEnd w:id="178"/>
    </w:p>
    <w:p w14:paraId="5E740FE1"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259213CA"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公司报告期不存在租赁情况。</w:t>
      </w:r>
    </w:p>
    <w:p w14:paraId="700DF92F" w14:textId="77777777" w:rsidR="001D26E7" w:rsidRPr="00F614F9" w:rsidRDefault="00000000">
      <w:pPr>
        <w:pStyle w:val="3"/>
        <w:spacing w:line="280" w:lineRule="exact"/>
        <w:jc w:val="left"/>
        <w:rPr>
          <w:rFonts w:ascii="Times New Roman" w:hAnsi="Times New Roman" w:cs="宋体"/>
          <w:b/>
          <w:bCs/>
        </w:rPr>
      </w:pPr>
      <w:bookmarkStart w:id="179" w:name="_Toc989013"/>
      <w:r w:rsidRPr="00F614F9">
        <w:rPr>
          <w:rFonts w:ascii="Times New Roman" w:hAnsi="Times New Roman" w:cs="宋体"/>
          <w:b/>
          <w:bCs/>
        </w:rPr>
        <w:t>2</w:t>
      </w:r>
      <w:r w:rsidRPr="00F614F9">
        <w:rPr>
          <w:rFonts w:ascii="Times New Roman" w:hAnsi="Times New Roman" w:cs="宋体"/>
          <w:b/>
          <w:bCs/>
        </w:rPr>
        <w:t>、重大担保</w:t>
      </w:r>
      <w:bookmarkEnd w:id="179"/>
    </w:p>
    <w:p w14:paraId="631D60E1"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791A8BA6"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单位：万元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75"/>
        <w:gridCol w:w="877"/>
        <w:gridCol w:w="876"/>
        <w:gridCol w:w="877"/>
        <w:gridCol w:w="876"/>
        <w:gridCol w:w="877"/>
        <w:gridCol w:w="876"/>
        <w:gridCol w:w="876"/>
        <w:gridCol w:w="876"/>
        <w:gridCol w:w="876"/>
        <w:gridCol w:w="877"/>
      </w:tblGrid>
      <w:tr w:rsidR="001D26E7" w:rsidRPr="00F614F9" w14:paraId="7A95F02D" w14:textId="77777777">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0A6C5F7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公司及其子公司对外担保情况（不包括对子公司的担保）</w:t>
            </w:r>
          </w:p>
        </w:tc>
      </w:tr>
      <w:tr w:rsidR="001D26E7" w:rsidRPr="00F614F9" w14:paraId="11E068E1"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52BD9C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担保对象名称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E4F2CD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E791E9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担保额度</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79817F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0DC620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实际担保金额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1A8A33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D897F0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EDBA6B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B9836C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979C71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是否履行完毕</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FD74E3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是否为关联方担保</w:t>
            </w:r>
          </w:p>
        </w:tc>
      </w:tr>
      <w:tr w:rsidR="001D26E7" w:rsidRPr="00F614F9" w14:paraId="07269899" w14:textId="77777777">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9242B7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报告期内审批的对外担保额度合计（</w:t>
            </w:r>
            <w:r w:rsidRPr="00F614F9">
              <w:rPr>
                <w:rFonts w:ascii="Times New Roman" w:eastAsia="宋体" w:hAnsi="Times New Roman" w:cs="宋体"/>
                <w:sz w:val="18"/>
                <w:szCs w:val="18"/>
              </w:rPr>
              <w:t>A1</w:t>
            </w:r>
            <w:r w:rsidRPr="00F614F9">
              <w:rPr>
                <w:rFonts w:ascii="Times New Roman" w:eastAsia="宋体" w:hAnsi="Times New Roman" w:cs="宋体"/>
                <w:sz w:val="18"/>
                <w:szCs w:val="18"/>
              </w:rPr>
              <w:t>）</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2BA583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7C4C35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报告期内对外担保实际发生额合计（</w:t>
            </w:r>
            <w:r w:rsidRPr="00F614F9">
              <w:rPr>
                <w:rFonts w:ascii="Times New Roman" w:eastAsia="宋体" w:hAnsi="Times New Roman" w:cs="宋体"/>
                <w:sz w:val="18"/>
                <w:szCs w:val="18"/>
              </w:rPr>
              <w:t>A2</w:t>
            </w:r>
            <w:r w:rsidRPr="00F614F9">
              <w:rPr>
                <w:rFonts w:ascii="Times New Roman" w:eastAsia="宋体" w:hAnsi="Times New Roman" w:cs="宋体"/>
                <w:sz w:val="18"/>
                <w:szCs w:val="18"/>
              </w:rPr>
              <w:t>）</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2285EE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4DEE8D58" w14:textId="77777777">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EB8D78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w:t>
            </w:r>
            <w:proofErr w:type="gramStart"/>
            <w:r w:rsidRPr="00F614F9">
              <w:rPr>
                <w:rFonts w:ascii="Times New Roman" w:eastAsia="宋体" w:hAnsi="Times New Roman" w:cs="宋体"/>
                <w:sz w:val="18"/>
                <w:szCs w:val="18"/>
              </w:rPr>
              <w:t>期末已</w:t>
            </w:r>
            <w:proofErr w:type="gramEnd"/>
            <w:r w:rsidRPr="00F614F9">
              <w:rPr>
                <w:rFonts w:ascii="Times New Roman" w:eastAsia="宋体" w:hAnsi="Times New Roman" w:cs="宋体"/>
                <w:sz w:val="18"/>
                <w:szCs w:val="18"/>
              </w:rPr>
              <w:t>审批的对外担保额度合计（</w:t>
            </w:r>
            <w:r w:rsidRPr="00F614F9">
              <w:rPr>
                <w:rFonts w:ascii="Times New Roman" w:eastAsia="宋体" w:hAnsi="Times New Roman" w:cs="宋体"/>
                <w:sz w:val="18"/>
                <w:szCs w:val="18"/>
              </w:rPr>
              <w:t>A3</w:t>
            </w:r>
            <w:r w:rsidRPr="00F614F9">
              <w:rPr>
                <w:rFonts w:ascii="Times New Roman" w:eastAsia="宋体" w:hAnsi="Times New Roman" w:cs="宋体"/>
                <w:sz w:val="18"/>
                <w:szCs w:val="18"/>
              </w:rPr>
              <w:t>）</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443268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CE7C6F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报告期末实际对外担保余额合计（</w:t>
            </w:r>
            <w:r w:rsidRPr="00F614F9">
              <w:rPr>
                <w:rFonts w:ascii="Times New Roman" w:eastAsia="宋体" w:hAnsi="Times New Roman" w:cs="宋体"/>
                <w:sz w:val="18"/>
                <w:szCs w:val="18"/>
              </w:rPr>
              <w:t>A4</w:t>
            </w:r>
            <w:r w:rsidRPr="00F614F9">
              <w:rPr>
                <w:rFonts w:ascii="Times New Roman" w:eastAsia="宋体" w:hAnsi="Times New Roman" w:cs="宋体"/>
                <w:sz w:val="18"/>
                <w:szCs w:val="18"/>
              </w:rPr>
              <w:t>）</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42C9AC9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54AA165C" w14:textId="77777777">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53B1522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公司对子公司的担保情况</w:t>
            </w:r>
          </w:p>
        </w:tc>
      </w:tr>
      <w:tr w:rsidR="001D26E7" w:rsidRPr="00F614F9" w14:paraId="1AD98A8B"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C289FF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担保对象名称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D8E7B3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E19995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担保额度</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71C667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7939E2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实际担保金额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52602C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E4534E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00B6CF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161157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481D4F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是否履行完毕</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3D4EEC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是否为关联方担保</w:t>
            </w:r>
          </w:p>
        </w:tc>
      </w:tr>
      <w:tr w:rsidR="001D26E7" w:rsidRPr="00F614F9" w14:paraId="7AFC4BB1"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6A4B1D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青岛中和盛杰食品有限公司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746739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04CD71C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5,000</w:t>
            </w:r>
          </w:p>
        </w:tc>
        <w:tc>
          <w:tcPr>
            <w:tcW w:w="876" w:type="dxa"/>
            <w:tcBorders>
              <w:top w:val="single" w:sz="2" w:space="0" w:color="auto"/>
              <w:left w:val="single" w:sz="2" w:space="0" w:color="auto"/>
              <w:bottom w:val="single" w:sz="2" w:space="0" w:color="auto"/>
              <w:right w:val="single" w:sz="2" w:space="0" w:color="auto"/>
            </w:tcBorders>
            <w:vAlign w:val="center"/>
          </w:tcPr>
          <w:p w14:paraId="5893884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19</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2EE1197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4,980</w:t>
            </w:r>
          </w:p>
        </w:tc>
        <w:tc>
          <w:tcPr>
            <w:tcW w:w="876" w:type="dxa"/>
            <w:tcBorders>
              <w:top w:val="single" w:sz="2" w:space="0" w:color="auto"/>
              <w:left w:val="single" w:sz="2" w:space="0" w:color="auto"/>
              <w:bottom w:val="single" w:sz="2" w:space="0" w:color="auto"/>
              <w:right w:val="single" w:sz="2" w:space="0" w:color="auto"/>
            </w:tcBorders>
            <w:vAlign w:val="center"/>
          </w:tcPr>
          <w:p w14:paraId="0C99B64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FF1A9E9"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51048BA"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CC2F5C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2022.10.19-2023.1.19</w:t>
            </w:r>
          </w:p>
        </w:tc>
        <w:tc>
          <w:tcPr>
            <w:tcW w:w="876" w:type="dxa"/>
            <w:tcBorders>
              <w:top w:val="single" w:sz="2" w:space="0" w:color="auto"/>
              <w:left w:val="single" w:sz="2" w:space="0" w:color="auto"/>
              <w:bottom w:val="single" w:sz="2" w:space="0" w:color="auto"/>
              <w:right w:val="single" w:sz="2" w:space="0" w:color="auto"/>
            </w:tcBorders>
            <w:vAlign w:val="center"/>
          </w:tcPr>
          <w:p w14:paraId="2E5C27B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206C6F7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2E01C4C0"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BF0B8F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青岛中和盛杰食品有限公司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CF5AD2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17FFC86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7,000</w:t>
            </w:r>
          </w:p>
        </w:tc>
        <w:tc>
          <w:tcPr>
            <w:tcW w:w="876" w:type="dxa"/>
            <w:tcBorders>
              <w:top w:val="single" w:sz="2" w:space="0" w:color="auto"/>
              <w:left w:val="single" w:sz="2" w:space="0" w:color="auto"/>
              <w:bottom w:val="single" w:sz="2" w:space="0" w:color="auto"/>
              <w:right w:val="single" w:sz="2" w:space="0" w:color="auto"/>
            </w:tcBorders>
            <w:vAlign w:val="center"/>
          </w:tcPr>
          <w:p w14:paraId="4AB88D4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250FF56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5,700</w:t>
            </w:r>
          </w:p>
        </w:tc>
        <w:tc>
          <w:tcPr>
            <w:tcW w:w="876" w:type="dxa"/>
            <w:tcBorders>
              <w:top w:val="single" w:sz="2" w:space="0" w:color="auto"/>
              <w:left w:val="single" w:sz="2" w:space="0" w:color="auto"/>
              <w:bottom w:val="single" w:sz="2" w:space="0" w:color="auto"/>
              <w:right w:val="single" w:sz="2" w:space="0" w:color="auto"/>
            </w:tcBorders>
            <w:vAlign w:val="center"/>
          </w:tcPr>
          <w:p w14:paraId="7045E40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44AC80D"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3E961FC"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B60AA0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2022.8.2-2023.2.2</w:t>
            </w:r>
          </w:p>
        </w:tc>
        <w:tc>
          <w:tcPr>
            <w:tcW w:w="876" w:type="dxa"/>
            <w:tcBorders>
              <w:top w:val="single" w:sz="2" w:space="0" w:color="auto"/>
              <w:left w:val="single" w:sz="2" w:space="0" w:color="auto"/>
              <w:bottom w:val="single" w:sz="2" w:space="0" w:color="auto"/>
              <w:right w:val="single" w:sz="2" w:space="0" w:color="auto"/>
            </w:tcBorders>
            <w:vAlign w:val="center"/>
          </w:tcPr>
          <w:p w14:paraId="3668CD0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6D8F502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0E2CC1E8"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14E5CD9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青岛中和盛杰食品有限公司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4F0D23D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4626122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7,000</w:t>
            </w:r>
          </w:p>
        </w:tc>
        <w:tc>
          <w:tcPr>
            <w:tcW w:w="876" w:type="dxa"/>
            <w:tcBorders>
              <w:top w:val="single" w:sz="2" w:space="0" w:color="auto"/>
              <w:left w:val="single" w:sz="2" w:space="0" w:color="auto"/>
              <w:bottom w:val="single" w:sz="2" w:space="0" w:color="auto"/>
              <w:right w:val="single" w:sz="2" w:space="0" w:color="auto"/>
            </w:tcBorders>
            <w:vAlign w:val="center"/>
          </w:tcPr>
          <w:p w14:paraId="3D94455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7C34807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1,229.3</w:t>
            </w:r>
          </w:p>
        </w:tc>
        <w:tc>
          <w:tcPr>
            <w:tcW w:w="876" w:type="dxa"/>
            <w:tcBorders>
              <w:top w:val="single" w:sz="2" w:space="0" w:color="auto"/>
              <w:left w:val="single" w:sz="2" w:space="0" w:color="auto"/>
              <w:bottom w:val="single" w:sz="2" w:space="0" w:color="auto"/>
              <w:right w:val="single" w:sz="2" w:space="0" w:color="auto"/>
            </w:tcBorders>
            <w:vAlign w:val="center"/>
          </w:tcPr>
          <w:p w14:paraId="0530D34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3D2655C9"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2B5D7B1"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520425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2022.8.2-2023.2.2</w:t>
            </w:r>
          </w:p>
        </w:tc>
        <w:tc>
          <w:tcPr>
            <w:tcW w:w="876" w:type="dxa"/>
            <w:tcBorders>
              <w:top w:val="single" w:sz="2" w:space="0" w:color="auto"/>
              <w:left w:val="single" w:sz="2" w:space="0" w:color="auto"/>
              <w:bottom w:val="single" w:sz="2" w:space="0" w:color="auto"/>
              <w:right w:val="single" w:sz="2" w:space="0" w:color="auto"/>
            </w:tcBorders>
            <w:vAlign w:val="center"/>
          </w:tcPr>
          <w:p w14:paraId="119E07C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769D5E0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041CDA1A"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6179DE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青岛中</w:t>
            </w:r>
            <w:r w:rsidRPr="00F614F9">
              <w:rPr>
                <w:rFonts w:ascii="Times New Roman" w:eastAsia="宋体" w:hAnsi="Times New Roman" w:cs="宋体"/>
                <w:sz w:val="18"/>
                <w:szCs w:val="18"/>
              </w:rPr>
              <w:lastRenderedPageBreak/>
              <w:t>和盛杰食品有限公司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311585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lastRenderedPageBreak/>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lastRenderedPageBreak/>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21</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3B7809D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lastRenderedPageBreak/>
              <w:t>8,000</w:t>
            </w:r>
          </w:p>
        </w:tc>
        <w:tc>
          <w:tcPr>
            <w:tcW w:w="876" w:type="dxa"/>
            <w:tcBorders>
              <w:top w:val="single" w:sz="2" w:space="0" w:color="auto"/>
              <w:left w:val="single" w:sz="2" w:space="0" w:color="auto"/>
              <w:bottom w:val="single" w:sz="2" w:space="0" w:color="auto"/>
              <w:right w:val="single" w:sz="2" w:space="0" w:color="auto"/>
            </w:tcBorders>
            <w:vAlign w:val="center"/>
          </w:tcPr>
          <w:p w14:paraId="071EEC2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lastRenderedPageBreak/>
              <w:t>11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14</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4855721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lastRenderedPageBreak/>
              <w:t>8,000</w:t>
            </w:r>
          </w:p>
        </w:tc>
        <w:tc>
          <w:tcPr>
            <w:tcW w:w="876" w:type="dxa"/>
            <w:tcBorders>
              <w:top w:val="single" w:sz="2" w:space="0" w:color="auto"/>
              <w:left w:val="single" w:sz="2" w:space="0" w:color="auto"/>
              <w:bottom w:val="single" w:sz="2" w:space="0" w:color="auto"/>
              <w:right w:val="single" w:sz="2" w:space="0" w:color="auto"/>
            </w:tcBorders>
            <w:vAlign w:val="center"/>
          </w:tcPr>
          <w:p w14:paraId="1107073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w:t>
            </w:r>
            <w:r w:rsidRPr="00F614F9">
              <w:rPr>
                <w:rFonts w:ascii="Times New Roman" w:eastAsia="宋体" w:hAnsi="Times New Roman" w:cs="宋体"/>
                <w:sz w:val="18"/>
                <w:szCs w:val="18"/>
              </w:rPr>
              <w:lastRenderedPageBreak/>
              <w:t>任保证</w:t>
            </w:r>
          </w:p>
        </w:tc>
        <w:tc>
          <w:tcPr>
            <w:tcW w:w="876" w:type="dxa"/>
            <w:tcBorders>
              <w:top w:val="single" w:sz="2" w:space="0" w:color="auto"/>
              <w:left w:val="single" w:sz="2" w:space="0" w:color="auto"/>
              <w:bottom w:val="single" w:sz="2" w:space="0" w:color="auto"/>
              <w:right w:val="single" w:sz="2" w:space="0" w:color="auto"/>
            </w:tcBorders>
            <w:vAlign w:val="center"/>
          </w:tcPr>
          <w:p w14:paraId="55ABC209"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93FA7F0"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A1A85C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2022.11.</w:t>
            </w:r>
            <w:r w:rsidRPr="00F614F9">
              <w:rPr>
                <w:rFonts w:ascii="Times New Roman" w:eastAsia="宋体" w:hAnsi="Times New Roman" w:cs="宋体"/>
                <w:sz w:val="18"/>
                <w:szCs w:val="18"/>
              </w:rPr>
              <w:lastRenderedPageBreak/>
              <w:t>14-2023.11.14</w:t>
            </w:r>
          </w:p>
        </w:tc>
        <w:tc>
          <w:tcPr>
            <w:tcW w:w="876" w:type="dxa"/>
            <w:tcBorders>
              <w:top w:val="single" w:sz="2" w:space="0" w:color="auto"/>
              <w:left w:val="single" w:sz="2" w:space="0" w:color="auto"/>
              <w:bottom w:val="single" w:sz="2" w:space="0" w:color="auto"/>
              <w:right w:val="single" w:sz="2" w:space="0" w:color="auto"/>
            </w:tcBorders>
            <w:vAlign w:val="center"/>
          </w:tcPr>
          <w:p w14:paraId="468A996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lastRenderedPageBreak/>
              <w:t>是</w:t>
            </w:r>
          </w:p>
        </w:tc>
        <w:tc>
          <w:tcPr>
            <w:tcW w:w="876" w:type="dxa"/>
            <w:tcBorders>
              <w:top w:val="single" w:sz="2" w:space="0" w:color="auto"/>
              <w:left w:val="single" w:sz="2" w:space="0" w:color="auto"/>
              <w:bottom w:val="single" w:sz="2" w:space="0" w:color="auto"/>
              <w:right w:val="single" w:sz="2" w:space="0" w:color="auto"/>
            </w:tcBorders>
            <w:vAlign w:val="center"/>
          </w:tcPr>
          <w:p w14:paraId="4E2BDF2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8E896DB"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1E7BF6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青岛中和盛杰食品有限公司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2A5E55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015B690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7,000</w:t>
            </w:r>
          </w:p>
        </w:tc>
        <w:tc>
          <w:tcPr>
            <w:tcW w:w="876" w:type="dxa"/>
            <w:tcBorders>
              <w:top w:val="single" w:sz="2" w:space="0" w:color="auto"/>
              <w:left w:val="single" w:sz="2" w:space="0" w:color="auto"/>
              <w:bottom w:val="single" w:sz="2" w:space="0" w:color="auto"/>
              <w:right w:val="single" w:sz="2" w:space="0" w:color="auto"/>
            </w:tcBorders>
            <w:vAlign w:val="center"/>
          </w:tcPr>
          <w:p w14:paraId="2AD852F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22</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47F45E8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7,000</w:t>
            </w:r>
          </w:p>
        </w:tc>
        <w:tc>
          <w:tcPr>
            <w:tcW w:w="876" w:type="dxa"/>
            <w:tcBorders>
              <w:top w:val="single" w:sz="2" w:space="0" w:color="auto"/>
              <w:left w:val="single" w:sz="2" w:space="0" w:color="auto"/>
              <w:bottom w:val="single" w:sz="2" w:space="0" w:color="auto"/>
              <w:right w:val="single" w:sz="2" w:space="0" w:color="auto"/>
            </w:tcBorders>
            <w:vAlign w:val="center"/>
          </w:tcPr>
          <w:p w14:paraId="04DBED6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042F3D9F"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35BAEE4"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F51282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2023.2.22-2023.8.22</w:t>
            </w:r>
          </w:p>
        </w:tc>
        <w:tc>
          <w:tcPr>
            <w:tcW w:w="876" w:type="dxa"/>
            <w:tcBorders>
              <w:top w:val="single" w:sz="2" w:space="0" w:color="auto"/>
              <w:left w:val="single" w:sz="2" w:space="0" w:color="auto"/>
              <w:bottom w:val="single" w:sz="2" w:space="0" w:color="auto"/>
              <w:right w:val="single" w:sz="2" w:space="0" w:color="auto"/>
            </w:tcBorders>
            <w:vAlign w:val="center"/>
          </w:tcPr>
          <w:p w14:paraId="377E83B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0B90B12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760DD9FF"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1DF0352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青岛中和盛杰食品有限公司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23344B6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283E4CC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7,000</w:t>
            </w:r>
          </w:p>
        </w:tc>
        <w:tc>
          <w:tcPr>
            <w:tcW w:w="876" w:type="dxa"/>
            <w:tcBorders>
              <w:top w:val="single" w:sz="2" w:space="0" w:color="auto"/>
              <w:left w:val="single" w:sz="2" w:space="0" w:color="auto"/>
              <w:bottom w:val="single" w:sz="2" w:space="0" w:color="auto"/>
              <w:right w:val="single" w:sz="2" w:space="0" w:color="auto"/>
            </w:tcBorders>
            <w:vAlign w:val="center"/>
          </w:tcPr>
          <w:p w14:paraId="7914EA6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23</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327239E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7,000</w:t>
            </w:r>
          </w:p>
        </w:tc>
        <w:tc>
          <w:tcPr>
            <w:tcW w:w="876" w:type="dxa"/>
            <w:tcBorders>
              <w:top w:val="single" w:sz="2" w:space="0" w:color="auto"/>
              <w:left w:val="single" w:sz="2" w:space="0" w:color="auto"/>
              <w:bottom w:val="single" w:sz="2" w:space="0" w:color="auto"/>
              <w:right w:val="single" w:sz="2" w:space="0" w:color="auto"/>
            </w:tcBorders>
            <w:vAlign w:val="center"/>
          </w:tcPr>
          <w:p w14:paraId="632438B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FA1CB74"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D0719B2"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471CBE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2023.8.23-2023.12.28</w:t>
            </w:r>
          </w:p>
        </w:tc>
        <w:tc>
          <w:tcPr>
            <w:tcW w:w="876" w:type="dxa"/>
            <w:tcBorders>
              <w:top w:val="single" w:sz="2" w:space="0" w:color="auto"/>
              <w:left w:val="single" w:sz="2" w:space="0" w:color="auto"/>
              <w:bottom w:val="single" w:sz="2" w:space="0" w:color="auto"/>
              <w:right w:val="single" w:sz="2" w:space="0" w:color="auto"/>
            </w:tcBorders>
            <w:vAlign w:val="center"/>
          </w:tcPr>
          <w:p w14:paraId="6CA8621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12C6F76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5E3D2170"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C70F29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青岛新胜</w:t>
            </w:r>
            <w:proofErr w:type="gramStart"/>
            <w:r w:rsidRPr="00F614F9">
              <w:rPr>
                <w:rFonts w:ascii="Times New Roman" w:eastAsia="宋体" w:hAnsi="Times New Roman" w:cs="宋体"/>
                <w:sz w:val="18"/>
                <w:szCs w:val="18"/>
              </w:rPr>
              <w:t>锦食品</w:t>
            </w:r>
            <w:proofErr w:type="gramEnd"/>
            <w:r w:rsidRPr="00F614F9">
              <w:rPr>
                <w:rFonts w:ascii="Times New Roman" w:eastAsia="宋体" w:hAnsi="Times New Roman" w:cs="宋体"/>
                <w:sz w:val="18"/>
                <w:szCs w:val="18"/>
              </w:rPr>
              <w:t>商贸有限公司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417548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31</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6E11EE4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1,000</w:t>
            </w:r>
          </w:p>
        </w:tc>
        <w:tc>
          <w:tcPr>
            <w:tcW w:w="876" w:type="dxa"/>
            <w:tcBorders>
              <w:top w:val="single" w:sz="2" w:space="0" w:color="auto"/>
              <w:left w:val="single" w:sz="2" w:space="0" w:color="auto"/>
              <w:bottom w:val="single" w:sz="2" w:space="0" w:color="auto"/>
              <w:right w:val="single" w:sz="2" w:space="0" w:color="auto"/>
            </w:tcBorders>
            <w:vAlign w:val="center"/>
          </w:tcPr>
          <w:p w14:paraId="40EEAE4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31</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1F9F975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14:paraId="487E4A3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2FF0DBE5"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630AC78"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4554DF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2023.7.31-2024.7.28</w:t>
            </w:r>
          </w:p>
        </w:tc>
        <w:tc>
          <w:tcPr>
            <w:tcW w:w="876" w:type="dxa"/>
            <w:tcBorders>
              <w:top w:val="single" w:sz="2" w:space="0" w:color="auto"/>
              <w:left w:val="single" w:sz="2" w:space="0" w:color="auto"/>
              <w:bottom w:val="single" w:sz="2" w:space="0" w:color="auto"/>
              <w:right w:val="single" w:sz="2" w:space="0" w:color="auto"/>
            </w:tcBorders>
            <w:vAlign w:val="center"/>
          </w:tcPr>
          <w:p w14:paraId="679DA6F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261A690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1C7D2632"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A38C05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烟台龙大养殖有限公司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E37D71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5F42A4F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6,000</w:t>
            </w:r>
          </w:p>
        </w:tc>
        <w:tc>
          <w:tcPr>
            <w:tcW w:w="876" w:type="dxa"/>
            <w:tcBorders>
              <w:top w:val="single" w:sz="2" w:space="0" w:color="auto"/>
              <w:left w:val="single" w:sz="2" w:space="0" w:color="auto"/>
              <w:bottom w:val="single" w:sz="2" w:space="0" w:color="auto"/>
              <w:right w:val="single" w:sz="2" w:space="0" w:color="auto"/>
            </w:tcBorders>
            <w:vAlign w:val="center"/>
          </w:tcPr>
          <w:p w14:paraId="1AC00A0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544E588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6,000</w:t>
            </w:r>
          </w:p>
        </w:tc>
        <w:tc>
          <w:tcPr>
            <w:tcW w:w="876" w:type="dxa"/>
            <w:tcBorders>
              <w:top w:val="single" w:sz="2" w:space="0" w:color="auto"/>
              <w:left w:val="single" w:sz="2" w:space="0" w:color="auto"/>
              <w:bottom w:val="single" w:sz="2" w:space="0" w:color="auto"/>
              <w:right w:val="single" w:sz="2" w:space="0" w:color="auto"/>
            </w:tcBorders>
            <w:vAlign w:val="center"/>
          </w:tcPr>
          <w:p w14:paraId="5CA7420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79C1016"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921C8CC"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0212BC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2023.1.18-2023.7.18</w:t>
            </w:r>
          </w:p>
        </w:tc>
        <w:tc>
          <w:tcPr>
            <w:tcW w:w="876" w:type="dxa"/>
            <w:tcBorders>
              <w:top w:val="single" w:sz="2" w:space="0" w:color="auto"/>
              <w:left w:val="single" w:sz="2" w:space="0" w:color="auto"/>
              <w:bottom w:val="single" w:sz="2" w:space="0" w:color="auto"/>
              <w:right w:val="single" w:sz="2" w:space="0" w:color="auto"/>
            </w:tcBorders>
            <w:vAlign w:val="center"/>
          </w:tcPr>
          <w:p w14:paraId="139939D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784C26E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9B4AF63"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82F13B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烟台龙大养殖有限公司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114659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568A335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6,000</w:t>
            </w:r>
          </w:p>
        </w:tc>
        <w:tc>
          <w:tcPr>
            <w:tcW w:w="876" w:type="dxa"/>
            <w:tcBorders>
              <w:top w:val="single" w:sz="2" w:space="0" w:color="auto"/>
              <w:left w:val="single" w:sz="2" w:space="0" w:color="auto"/>
              <w:bottom w:val="single" w:sz="2" w:space="0" w:color="auto"/>
              <w:right w:val="single" w:sz="2" w:space="0" w:color="auto"/>
            </w:tcBorders>
            <w:vAlign w:val="center"/>
          </w:tcPr>
          <w:p w14:paraId="0EE0502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4E6F767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2,400</w:t>
            </w:r>
          </w:p>
        </w:tc>
        <w:tc>
          <w:tcPr>
            <w:tcW w:w="876" w:type="dxa"/>
            <w:tcBorders>
              <w:top w:val="single" w:sz="2" w:space="0" w:color="auto"/>
              <w:left w:val="single" w:sz="2" w:space="0" w:color="auto"/>
              <w:bottom w:val="single" w:sz="2" w:space="0" w:color="auto"/>
              <w:right w:val="single" w:sz="2" w:space="0" w:color="auto"/>
            </w:tcBorders>
            <w:vAlign w:val="center"/>
          </w:tcPr>
          <w:p w14:paraId="25211AC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020C68A9"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117C940"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8907C6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2023.11.6-2024.5.6</w:t>
            </w:r>
          </w:p>
        </w:tc>
        <w:tc>
          <w:tcPr>
            <w:tcW w:w="876" w:type="dxa"/>
            <w:tcBorders>
              <w:top w:val="single" w:sz="2" w:space="0" w:color="auto"/>
              <w:left w:val="single" w:sz="2" w:space="0" w:color="auto"/>
              <w:bottom w:val="single" w:sz="2" w:space="0" w:color="auto"/>
              <w:right w:val="single" w:sz="2" w:space="0" w:color="auto"/>
            </w:tcBorders>
            <w:vAlign w:val="center"/>
          </w:tcPr>
          <w:p w14:paraId="5A00AE2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6726771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7407052E"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3B93B9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烟台龙大养殖有限公司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430B6E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3BE6611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6,000</w:t>
            </w:r>
          </w:p>
        </w:tc>
        <w:tc>
          <w:tcPr>
            <w:tcW w:w="876" w:type="dxa"/>
            <w:tcBorders>
              <w:top w:val="single" w:sz="2" w:space="0" w:color="auto"/>
              <w:left w:val="single" w:sz="2" w:space="0" w:color="auto"/>
              <w:bottom w:val="single" w:sz="2" w:space="0" w:color="auto"/>
              <w:right w:val="single" w:sz="2" w:space="0" w:color="auto"/>
            </w:tcBorders>
            <w:vAlign w:val="center"/>
          </w:tcPr>
          <w:p w14:paraId="1028662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78E3F77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3,600</w:t>
            </w:r>
          </w:p>
        </w:tc>
        <w:tc>
          <w:tcPr>
            <w:tcW w:w="876" w:type="dxa"/>
            <w:tcBorders>
              <w:top w:val="single" w:sz="2" w:space="0" w:color="auto"/>
              <w:left w:val="single" w:sz="2" w:space="0" w:color="auto"/>
              <w:bottom w:val="single" w:sz="2" w:space="0" w:color="auto"/>
              <w:right w:val="single" w:sz="2" w:space="0" w:color="auto"/>
            </w:tcBorders>
            <w:vAlign w:val="center"/>
          </w:tcPr>
          <w:p w14:paraId="5C98FEB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46FDFAF"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2E5216F"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B403F5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2023.11.7-2024.5.7</w:t>
            </w:r>
          </w:p>
        </w:tc>
        <w:tc>
          <w:tcPr>
            <w:tcW w:w="876" w:type="dxa"/>
            <w:tcBorders>
              <w:top w:val="single" w:sz="2" w:space="0" w:color="auto"/>
              <w:left w:val="single" w:sz="2" w:space="0" w:color="auto"/>
              <w:bottom w:val="single" w:sz="2" w:space="0" w:color="auto"/>
              <w:right w:val="single" w:sz="2" w:space="0" w:color="auto"/>
            </w:tcBorders>
            <w:vAlign w:val="center"/>
          </w:tcPr>
          <w:p w14:paraId="5AC9F5C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10E6744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127FE888"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C5EA38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烟台龙大饲料有限公司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5B5638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23</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7AB78C2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1,000</w:t>
            </w:r>
          </w:p>
        </w:tc>
        <w:tc>
          <w:tcPr>
            <w:tcW w:w="876" w:type="dxa"/>
            <w:tcBorders>
              <w:top w:val="single" w:sz="2" w:space="0" w:color="auto"/>
              <w:left w:val="single" w:sz="2" w:space="0" w:color="auto"/>
              <w:bottom w:val="single" w:sz="2" w:space="0" w:color="auto"/>
              <w:right w:val="single" w:sz="2" w:space="0" w:color="auto"/>
            </w:tcBorders>
            <w:vAlign w:val="center"/>
          </w:tcPr>
          <w:p w14:paraId="6E87AB4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24</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65C27BD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1,000</w:t>
            </w:r>
          </w:p>
        </w:tc>
        <w:tc>
          <w:tcPr>
            <w:tcW w:w="876" w:type="dxa"/>
            <w:tcBorders>
              <w:top w:val="single" w:sz="2" w:space="0" w:color="auto"/>
              <w:left w:val="single" w:sz="2" w:space="0" w:color="auto"/>
              <w:bottom w:val="single" w:sz="2" w:space="0" w:color="auto"/>
              <w:right w:val="single" w:sz="2" w:space="0" w:color="auto"/>
            </w:tcBorders>
            <w:vAlign w:val="center"/>
          </w:tcPr>
          <w:p w14:paraId="7114BD3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3ACD5D4"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8940BD8"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297318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2022.6.24-2023.6.23</w:t>
            </w:r>
          </w:p>
        </w:tc>
        <w:tc>
          <w:tcPr>
            <w:tcW w:w="876" w:type="dxa"/>
            <w:tcBorders>
              <w:top w:val="single" w:sz="2" w:space="0" w:color="auto"/>
              <w:left w:val="single" w:sz="2" w:space="0" w:color="auto"/>
              <w:bottom w:val="single" w:sz="2" w:space="0" w:color="auto"/>
              <w:right w:val="single" w:sz="2" w:space="0" w:color="auto"/>
            </w:tcBorders>
            <w:vAlign w:val="center"/>
          </w:tcPr>
          <w:p w14:paraId="3D544D5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6627735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05A1AEEB"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00877C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烟台龙大饲料有限公司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FE80D5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09</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3454D31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1,000</w:t>
            </w:r>
          </w:p>
        </w:tc>
        <w:tc>
          <w:tcPr>
            <w:tcW w:w="876" w:type="dxa"/>
            <w:tcBorders>
              <w:top w:val="single" w:sz="2" w:space="0" w:color="auto"/>
              <w:left w:val="single" w:sz="2" w:space="0" w:color="auto"/>
              <w:bottom w:val="single" w:sz="2" w:space="0" w:color="auto"/>
              <w:right w:val="single" w:sz="2" w:space="0" w:color="auto"/>
            </w:tcBorders>
            <w:vAlign w:val="center"/>
          </w:tcPr>
          <w:p w14:paraId="353214C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31</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5D5516A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14:paraId="2453BDA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3B9F31C4"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5450956"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4841FF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2022.8.31-2023.8.30</w:t>
            </w:r>
          </w:p>
        </w:tc>
        <w:tc>
          <w:tcPr>
            <w:tcW w:w="876" w:type="dxa"/>
            <w:tcBorders>
              <w:top w:val="single" w:sz="2" w:space="0" w:color="auto"/>
              <w:left w:val="single" w:sz="2" w:space="0" w:color="auto"/>
              <w:bottom w:val="single" w:sz="2" w:space="0" w:color="auto"/>
              <w:right w:val="single" w:sz="2" w:space="0" w:color="auto"/>
            </w:tcBorders>
            <w:vAlign w:val="center"/>
          </w:tcPr>
          <w:p w14:paraId="7BCB9DB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4D6DBAB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3692A22E"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6C0211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烟台龙大饲料有限公司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3C1961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09</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24A8C9E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1,000</w:t>
            </w:r>
          </w:p>
        </w:tc>
        <w:tc>
          <w:tcPr>
            <w:tcW w:w="876" w:type="dxa"/>
            <w:tcBorders>
              <w:top w:val="single" w:sz="2" w:space="0" w:color="auto"/>
              <w:left w:val="single" w:sz="2" w:space="0" w:color="auto"/>
              <w:bottom w:val="single" w:sz="2" w:space="0" w:color="auto"/>
              <w:right w:val="single" w:sz="2" w:space="0" w:color="auto"/>
            </w:tcBorders>
            <w:vAlign w:val="center"/>
          </w:tcPr>
          <w:p w14:paraId="7A57587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09</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21</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03E8F4F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14:paraId="1B0A82C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D478DA3"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D11B0C2"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AB6D6C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2022.9.21-2023.9.20</w:t>
            </w:r>
          </w:p>
        </w:tc>
        <w:tc>
          <w:tcPr>
            <w:tcW w:w="876" w:type="dxa"/>
            <w:tcBorders>
              <w:top w:val="single" w:sz="2" w:space="0" w:color="auto"/>
              <w:left w:val="single" w:sz="2" w:space="0" w:color="auto"/>
              <w:bottom w:val="single" w:sz="2" w:space="0" w:color="auto"/>
              <w:right w:val="single" w:sz="2" w:space="0" w:color="auto"/>
            </w:tcBorders>
            <w:vAlign w:val="center"/>
          </w:tcPr>
          <w:p w14:paraId="035A2AA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3523B99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0A78639C"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264828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烟台龙大饲料有限公司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54F010E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31</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18C5D0B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950</w:t>
            </w:r>
          </w:p>
        </w:tc>
        <w:tc>
          <w:tcPr>
            <w:tcW w:w="876" w:type="dxa"/>
            <w:tcBorders>
              <w:top w:val="single" w:sz="2" w:space="0" w:color="auto"/>
              <w:left w:val="single" w:sz="2" w:space="0" w:color="auto"/>
              <w:bottom w:val="single" w:sz="2" w:space="0" w:color="auto"/>
              <w:right w:val="single" w:sz="2" w:space="0" w:color="auto"/>
            </w:tcBorders>
            <w:vAlign w:val="center"/>
          </w:tcPr>
          <w:p w14:paraId="77E542B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29</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313E3E5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950</w:t>
            </w:r>
          </w:p>
        </w:tc>
        <w:tc>
          <w:tcPr>
            <w:tcW w:w="876" w:type="dxa"/>
            <w:tcBorders>
              <w:top w:val="single" w:sz="2" w:space="0" w:color="auto"/>
              <w:left w:val="single" w:sz="2" w:space="0" w:color="auto"/>
              <w:bottom w:val="single" w:sz="2" w:space="0" w:color="auto"/>
              <w:right w:val="single" w:sz="2" w:space="0" w:color="auto"/>
            </w:tcBorders>
            <w:vAlign w:val="center"/>
          </w:tcPr>
          <w:p w14:paraId="3BE9E51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707B07A"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D0A0679"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4A714B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2023.8.29-2024.8.24</w:t>
            </w:r>
          </w:p>
        </w:tc>
        <w:tc>
          <w:tcPr>
            <w:tcW w:w="876" w:type="dxa"/>
            <w:tcBorders>
              <w:top w:val="single" w:sz="2" w:space="0" w:color="auto"/>
              <w:left w:val="single" w:sz="2" w:space="0" w:color="auto"/>
              <w:bottom w:val="single" w:sz="2" w:space="0" w:color="auto"/>
              <w:right w:val="single" w:sz="2" w:space="0" w:color="auto"/>
            </w:tcBorders>
            <w:vAlign w:val="center"/>
          </w:tcPr>
          <w:p w14:paraId="38D38D1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26D9BEC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63B21232"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7921B8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烟台龙大饲料有限公司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4B38062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3F50F1C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1,000</w:t>
            </w:r>
          </w:p>
        </w:tc>
        <w:tc>
          <w:tcPr>
            <w:tcW w:w="876" w:type="dxa"/>
            <w:tcBorders>
              <w:top w:val="single" w:sz="2" w:space="0" w:color="auto"/>
              <w:left w:val="single" w:sz="2" w:space="0" w:color="auto"/>
              <w:bottom w:val="single" w:sz="2" w:space="0" w:color="auto"/>
              <w:right w:val="single" w:sz="2" w:space="0" w:color="auto"/>
            </w:tcBorders>
            <w:vAlign w:val="center"/>
          </w:tcPr>
          <w:p w14:paraId="1F57BFC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27</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0463F08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1,000</w:t>
            </w:r>
          </w:p>
        </w:tc>
        <w:tc>
          <w:tcPr>
            <w:tcW w:w="876" w:type="dxa"/>
            <w:tcBorders>
              <w:top w:val="single" w:sz="2" w:space="0" w:color="auto"/>
              <w:left w:val="single" w:sz="2" w:space="0" w:color="auto"/>
              <w:bottom w:val="single" w:sz="2" w:space="0" w:color="auto"/>
              <w:right w:val="single" w:sz="2" w:space="0" w:color="auto"/>
            </w:tcBorders>
            <w:vAlign w:val="center"/>
          </w:tcPr>
          <w:p w14:paraId="090F6BB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2FA360C9"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9C4BFAF"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BFA6D0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2023.6.27-2024.6.25</w:t>
            </w:r>
          </w:p>
        </w:tc>
        <w:tc>
          <w:tcPr>
            <w:tcW w:w="876" w:type="dxa"/>
            <w:tcBorders>
              <w:top w:val="single" w:sz="2" w:space="0" w:color="auto"/>
              <w:left w:val="single" w:sz="2" w:space="0" w:color="auto"/>
              <w:bottom w:val="single" w:sz="2" w:space="0" w:color="auto"/>
              <w:right w:val="single" w:sz="2" w:space="0" w:color="auto"/>
            </w:tcBorders>
            <w:vAlign w:val="center"/>
          </w:tcPr>
          <w:p w14:paraId="5136425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299C13D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5223807F"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170E20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聊城龙大肉食品有限公司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229B120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13</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320FBCA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2,000</w:t>
            </w:r>
          </w:p>
        </w:tc>
        <w:tc>
          <w:tcPr>
            <w:tcW w:w="876" w:type="dxa"/>
            <w:tcBorders>
              <w:top w:val="single" w:sz="2" w:space="0" w:color="auto"/>
              <w:left w:val="single" w:sz="2" w:space="0" w:color="auto"/>
              <w:bottom w:val="single" w:sz="2" w:space="0" w:color="auto"/>
              <w:right w:val="single" w:sz="2" w:space="0" w:color="auto"/>
            </w:tcBorders>
            <w:vAlign w:val="center"/>
          </w:tcPr>
          <w:p w14:paraId="20C56D9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510B388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2,000</w:t>
            </w:r>
          </w:p>
        </w:tc>
        <w:tc>
          <w:tcPr>
            <w:tcW w:w="876" w:type="dxa"/>
            <w:tcBorders>
              <w:top w:val="single" w:sz="2" w:space="0" w:color="auto"/>
              <w:left w:val="single" w:sz="2" w:space="0" w:color="auto"/>
              <w:bottom w:val="single" w:sz="2" w:space="0" w:color="auto"/>
              <w:right w:val="single" w:sz="2" w:space="0" w:color="auto"/>
            </w:tcBorders>
            <w:vAlign w:val="center"/>
          </w:tcPr>
          <w:p w14:paraId="3683EBE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DFEEA57"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771067D"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612BF0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2022.3.15-2023.3.15</w:t>
            </w:r>
          </w:p>
        </w:tc>
        <w:tc>
          <w:tcPr>
            <w:tcW w:w="876" w:type="dxa"/>
            <w:tcBorders>
              <w:top w:val="single" w:sz="2" w:space="0" w:color="auto"/>
              <w:left w:val="single" w:sz="2" w:space="0" w:color="auto"/>
              <w:bottom w:val="single" w:sz="2" w:space="0" w:color="auto"/>
              <w:right w:val="single" w:sz="2" w:space="0" w:color="auto"/>
            </w:tcBorders>
            <w:vAlign w:val="center"/>
          </w:tcPr>
          <w:p w14:paraId="1838472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420EF03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2AD611AF"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705594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聊城龙大肉食品有限公司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633F147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060210D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15,000</w:t>
            </w:r>
          </w:p>
        </w:tc>
        <w:tc>
          <w:tcPr>
            <w:tcW w:w="876" w:type="dxa"/>
            <w:tcBorders>
              <w:top w:val="single" w:sz="2" w:space="0" w:color="auto"/>
              <w:left w:val="single" w:sz="2" w:space="0" w:color="auto"/>
              <w:bottom w:val="single" w:sz="2" w:space="0" w:color="auto"/>
              <w:right w:val="single" w:sz="2" w:space="0" w:color="auto"/>
            </w:tcBorders>
            <w:vAlign w:val="center"/>
          </w:tcPr>
          <w:p w14:paraId="184D1DF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61834AF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1,400</w:t>
            </w:r>
          </w:p>
        </w:tc>
        <w:tc>
          <w:tcPr>
            <w:tcW w:w="876" w:type="dxa"/>
            <w:tcBorders>
              <w:top w:val="single" w:sz="2" w:space="0" w:color="auto"/>
              <w:left w:val="single" w:sz="2" w:space="0" w:color="auto"/>
              <w:bottom w:val="single" w:sz="2" w:space="0" w:color="auto"/>
              <w:right w:val="single" w:sz="2" w:space="0" w:color="auto"/>
            </w:tcBorders>
            <w:vAlign w:val="center"/>
          </w:tcPr>
          <w:p w14:paraId="04E0F04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46FA7BE"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A8301D6"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EEA321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2022.5.30-2023.5.27</w:t>
            </w:r>
          </w:p>
        </w:tc>
        <w:tc>
          <w:tcPr>
            <w:tcW w:w="876" w:type="dxa"/>
            <w:tcBorders>
              <w:top w:val="single" w:sz="2" w:space="0" w:color="auto"/>
              <w:left w:val="single" w:sz="2" w:space="0" w:color="auto"/>
              <w:bottom w:val="single" w:sz="2" w:space="0" w:color="auto"/>
              <w:right w:val="single" w:sz="2" w:space="0" w:color="auto"/>
            </w:tcBorders>
            <w:vAlign w:val="center"/>
          </w:tcPr>
          <w:p w14:paraId="5990F49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290473A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5FCB615B"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17120A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聊城龙</w:t>
            </w:r>
            <w:r w:rsidRPr="00F614F9">
              <w:rPr>
                <w:rFonts w:ascii="Times New Roman" w:eastAsia="宋体" w:hAnsi="Times New Roman" w:cs="宋体"/>
                <w:sz w:val="18"/>
                <w:szCs w:val="18"/>
              </w:rPr>
              <w:lastRenderedPageBreak/>
              <w:t>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BFE2B0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lastRenderedPageBreak/>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lastRenderedPageBreak/>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00C5009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lastRenderedPageBreak/>
              <w:t>14,000</w:t>
            </w:r>
          </w:p>
        </w:tc>
        <w:tc>
          <w:tcPr>
            <w:tcW w:w="876" w:type="dxa"/>
            <w:tcBorders>
              <w:top w:val="single" w:sz="2" w:space="0" w:color="auto"/>
              <w:left w:val="single" w:sz="2" w:space="0" w:color="auto"/>
              <w:bottom w:val="single" w:sz="2" w:space="0" w:color="auto"/>
              <w:right w:val="single" w:sz="2" w:space="0" w:color="auto"/>
            </w:tcBorders>
            <w:vAlign w:val="center"/>
          </w:tcPr>
          <w:p w14:paraId="20B5377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lastRenderedPageBreak/>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631CAA9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lastRenderedPageBreak/>
              <w:t>1,400</w:t>
            </w:r>
          </w:p>
        </w:tc>
        <w:tc>
          <w:tcPr>
            <w:tcW w:w="876" w:type="dxa"/>
            <w:tcBorders>
              <w:top w:val="single" w:sz="2" w:space="0" w:color="auto"/>
              <w:left w:val="single" w:sz="2" w:space="0" w:color="auto"/>
              <w:bottom w:val="single" w:sz="2" w:space="0" w:color="auto"/>
              <w:right w:val="single" w:sz="2" w:space="0" w:color="auto"/>
            </w:tcBorders>
            <w:vAlign w:val="center"/>
          </w:tcPr>
          <w:p w14:paraId="5DC84AB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w:t>
            </w:r>
            <w:r w:rsidRPr="00F614F9">
              <w:rPr>
                <w:rFonts w:ascii="Times New Roman" w:eastAsia="宋体" w:hAnsi="Times New Roman" w:cs="宋体"/>
                <w:sz w:val="18"/>
                <w:szCs w:val="18"/>
              </w:rPr>
              <w:lastRenderedPageBreak/>
              <w:t>任保证</w:t>
            </w:r>
          </w:p>
        </w:tc>
        <w:tc>
          <w:tcPr>
            <w:tcW w:w="876" w:type="dxa"/>
            <w:tcBorders>
              <w:top w:val="single" w:sz="2" w:space="0" w:color="auto"/>
              <w:left w:val="single" w:sz="2" w:space="0" w:color="auto"/>
              <w:bottom w:val="single" w:sz="2" w:space="0" w:color="auto"/>
              <w:right w:val="single" w:sz="2" w:space="0" w:color="auto"/>
            </w:tcBorders>
            <w:vAlign w:val="center"/>
          </w:tcPr>
          <w:p w14:paraId="67E71BF4"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82858CD"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EE37F4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2023.5.2</w:t>
            </w:r>
            <w:r w:rsidRPr="00F614F9">
              <w:rPr>
                <w:rFonts w:ascii="Times New Roman" w:eastAsia="宋体" w:hAnsi="Times New Roman" w:cs="宋体"/>
                <w:sz w:val="18"/>
                <w:szCs w:val="18"/>
              </w:rPr>
              <w:lastRenderedPageBreak/>
              <w:t>5-2023.11.22</w:t>
            </w:r>
          </w:p>
        </w:tc>
        <w:tc>
          <w:tcPr>
            <w:tcW w:w="876" w:type="dxa"/>
            <w:tcBorders>
              <w:top w:val="single" w:sz="2" w:space="0" w:color="auto"/>
              <w:left w:val="single" w:sz="2" w:space="0" w:color="auto"/>
              <w:bottom w:val="single" w:sz="2" w:space="0" w:color="auto"/>
              <w:right w:val="single" w:sz="2" w:space="0" w:color="auto"/>
            </w:tcBorders>
            <w:vAlign w:val="center"/>
          </w:tcPr>
          <w:p w14:paraId="689763B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lastRenderedPageBreak/>
              <w:t>是</w:t>
            </w:r>
          </w:p>
        </w:tc>
        <w:tc>
          <w:tcPr>
            <w:tcW w:w="876" w:type="dxa"/>
            <w:tcBorders>
              <w:top w:val="single" w:sz="2" w:space="0" w:color="auto"/>
              <w:left w:val="single" w:sz="2" w:space="0" w:color="auto"/>
              <w:bottom w:val="single" w:sz="2" w:space="0" w:color="auto"/>
              <w:right w:val="single" w:sz="2" w:space="0" w:color="auto"/>
            </w:tcBorders>
            <w:vAlign w:val="center"/>
          </w:tcPr>
          <w:p w14:paraId="12DA67C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281B495E"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1862BEC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聊城龙大肉食品有限公司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F3D55D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13</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0F12335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2,000</w:t>
            </w:r>
          </w:p>
        </w:tc>
        <w:tc>
          <w:tcPr>
            <w:tcW w:w="876" w:type="dxa"/>
            <w:tcBorders>
              <w:top w:val="single" w:sz="2" w:space="0" w:color="auto"/>
              <w:left w:val="single" w:sz="2" w:space="0" w:color="auto"/>
              <w:bottom w:val="single" w:sz="2" w:space="0" w:color="auto"/>
              <w:right w:val="single" w:sz="2" w:space="0" w:color="auto"/>
            </w:tcBorders>
            <w:vAlign w:val="center"/>
          </w:tcPr>
          <w:p w14:paraId="4848EA4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24</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30504C7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2,000</w:t>
            </w:r>
          </w:p>
        </w:tc>
        <w:tc>
          <w:tcPr>
            <w:tcW w:w="876" w:type="dxa"/>
            <w:tcBorders>
              <w:top w:val="single" w:sz="2" w:space="0" w:color="auto"/>
              <w:left w:val="single" w:sz="2" w:space="0" w:color="auto"/>
              <w:bottom w:val="single" w:sz="2" w:space="0" w:color="auto"/>
              <w:right w:val="single" w:sz="2" w:space="0" w:color="auto"/>
            </w:tcBorders>
            <w:vAlign w:val="center"/>
          </w:tcPr>
          <w:p w14:paraId="1391F3D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144D9BF"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9624F47"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B8816E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2023.3.24-2023.9.23</w:t>
            </w:r>
          </w:p>
        </w:tc>
        <w:tc>
          <w:tcPr>
            <w:tcW w:w="876" w:type="dxa"/>
            <w:tcBorders>
              <w:top w:val="single" w:sz="2" w:space="0" w:color="auto"/>
              <w:left w:val="single" w:sz="2" w:space="0" w:color="auto"/>
              <w:bottom w:val="single" w:sz="2" w:space="0" w:color="auto"/>
              <w:right w:val="single" w:sz="2" w:space="0" w:color="auto"/>
            </w:tcBorders>
            <w:vAlign w:val="center"/>
          </w:tcPr>
          <w:p w14:paraId="6EE494E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5230759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35194287"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9DA612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聊城龙大肉食品有限公司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09CD21D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13</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1D98937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2,000</w:t>
            </w:r>
          </w:p>
        </w:tc>
        <w:tc>
          <w:tcPr>
            <w:tcW w:w="876" w:type="dxa"/>
            <w:tcBorders>
              <w:top w:val="single" w:sz="2" w:space="0" w:color="auto"/>
              <w:left w:val="single" w:sz="2" w:space="0" w:color="auto"/>
              <w:bottom w:val="single" w:sz="2" w:space="0" w:color="auto"/>
              <w:right w:val="single" w:sz="2" w:space="0" w:color="auto"/>
            </w:tcBorders>
            <w:vAlign w:val="center"/>
          </w:tcPr>
          <w:p w14:paraId="015F26D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09</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3A60AB7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2,000</w:t>
            </w:r>
          </w:p>
        </w:tc>
        <w:tc>
          <w:tcPr>
            <w:tcW w:w="876" w:type="dxa"/>
            <w:tcBorders>
              <w:top w:val="single" w:sz="2" w:space="0" w:color="auto"/>
              <w:left w:val="single" w:sz="2" w:space="0" w:color="auto"/>
              <w:bottom w:val="single" w:sz="2" w:space="0" w:color="auto"/>
              <w:right w:val="single" w:sz="2" w:space="0" w:color="auto"/>
            </w:tcBorders>
            <w:vAlign w:val="center"/>
          </w:tcPr>
          <w:p w14:paraId="299ECD0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C2C277C"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4F3A4C0"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204386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2023.9.25-2024.2.26</w:t>
            </w:r>
          </w:p>
        </w:tc>
        <w:tc>
          <w:tcPr>
            <w:tcW w:w="876" w:type="dxa"/>
            <w:tcBorders>
              <w:top w:val="single" w:sz="2" w:space="0" w:color="auto"/>
              <w:left w:val="single" w:sz="2" w:space="0" w:color="auto"/>
              <w:bottom w:val="single" w:sz="2" w:space="0" w:color="auto"/>
              <w:right w:val="single" w:sz="2" w:space="0" w:color="auto"/>
            </w:tcBorders>
            <w:vAlign w:val="center"/>
          </w:tcPr>
          <w:p w14:paraId="16F3F14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277B027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2C9A2279"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51A059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聊城龙大肉食品有限公司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725555C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4EC9CBE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14,000</w:t>
            </w:r>
          </w:p>
        </w:tc>
        <w:tc>
          <w:tcPr>
            <w:tcW w:w="876" w:type="dxa"/>
            <w:tcBorders>
              <w:top w:val="single" w:sz="2" w:space="0" w:color="auto"/>
              <w:left w:val="single" w:sz="2" w:space="0" w:color="auto"/>
              <w:bottom w:val="single" w:sz="2" w:space="0" w:color="auto"/>
              <w:right w:val="single" w:sz="2" w:space="0" w:color="auto"/>
            </w:tcBorders>
            <w:vAlign w:val="center"/>
          </w:tcPr>
          <w:p w14:paraId="2E9F3CF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29</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2DF1F15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1,400</w:t>
            </w:r>
          </w:p>
        </w:tc>
        <w:tc>
          <w:tcPr>
            <w:tcW w:w="876" w:type="dxa"/>
            <w:tcBorders>
              <w:top w:val="single" w:sz="2" w:space="0" w:color="auto"/>
              <w:left w:val="single" w:sz="2" w:space="0" w:color="auto"/>
              <w:bottom w:val="single" w:sz="2" w:space="0" w:color="auto"/>
              <w:right w:val="single" w:sz="2" w:space="0" w:color="auto"/>
            </w:tcBorders>
            <w:vAlign w:val="center"/>
          </w:tcPr>
          <w:p w14:paraId="35C3B5B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301F595E"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DB438D9"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5F5C48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2023.11.29-2024.5.29</w:t>
            </w:r>
          </w:p>
        </w:tc>
        <w:tc>
          <w:tcPr>
            <w:tcW w:w="876" w:type="dxa"/>
            <w:tcBorders>
              <w:top w:val="single" w:sz="2" w:space="0" w:color="auto"/>
              <w:left w:val="single" w:sz="2" w:space="0" w:color="auto"/>
              <w:bottom w:val="single" w:sz="2" w:space="0" w:color="auto"/>
              <w:right w:val="single" w:sz="2" w:space="0" w:color="auto"/>
            </w:tcBorders>
            <w:vAlign w:val="center"/>
          </w:tcPr>
          <w:p w14:paraId="00817E3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02D47BB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717731A0"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02953E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聊城龙大肉食品有限公司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C83E11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2A5E818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14,000</w:t>
            </w:r>
          </w:p>
        </w:tc>
        <w:tc>
          <w:tcPr>
            <w:tcW w:w="876" w:type="dxa"/>
            <w:tcBorders>
              <w:top w:val="single" w:sz="2" w:space="0" w:color="auto"/>
              <w:left w:val="single" w:sz="2" w:space="0" w:color="auto"/>
              <w:bottom w:val="single" w:sz="2" w:space="0" w:color="auto"/>
              <w:right w:val="single" w:sz="2" w:space="0" w:color="auto"/>
            </w:tcBorders>
            <w:vAlign w:val="center"/>
          </w:tcPr>
          <w:p w14:paraId="069C4F0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35903C0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3,500</w:t>
            </w:r>
          </w:p>
        </w:tc>
        <w:tc>
          <w:tcPr>
            <w:tcW w:w="876" w:type="dxa"/>
            <w:tcBorders>
              <w:top w:val="single" w:sz="2" w:space="0" w:color="auto"/>
              <w:left w:val="single" w:sz="2" w:space="0" w:color="auto"/>
              <w:bottom w:val="single" w:sz="2" w:space="0" w:color="auto"/>
              <w:right w:val="single" w:sz="2" w:space="0" w:color="auto"/>
            </w:tcBorders>
            <w:vAlign w:val="center"/>
          </w:tcPr>
          <w:p w14:paraId="795B776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500F10E"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02C6DF1"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38297C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2023.7.10-2024.1.10</w:t>
            </w:r>
          </w:p>
        </w:tc>
        <w:tc>
          <w:tcPr>
            <w:tcW w:w="876" w:type="dxa"/>
            <w:tcBorders>
              <w:top w:val="single" w:sz="2" w:space="0" w:color="auto"/>
              <w:left w:val="single" w:sz="2" w:space="0" w:color="auto"/>
              <w:bottom w:val="single" w:sz="2" w:space="0" w:color="auto"/>
              <w:right w:val="single" w:sz="2" w:space="0" w:color="auto"/>
            </w:tcBorders>
            <w:vAlign w:val="center"/>
          </w:tcPr>
          <w:p w14:paraId="5406B13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1FC8B29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31D25DDC"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4B7B5D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河南龙大牧原肉食品有限公司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6C8F17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21</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35E4710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7,000</w:t>
            </w:r>
          </w:p>
        </w:tc>
        <w:tc>
          <w:tcPr>
            <w:tcW w:w="876" w:type="dxa"/>
            <w:tcBorders>
              <w:top w:val="single" w:sz="2" w:space="0" w:color="auto"/>
              <w:left w:val="single" w:sz="2" w:space="0" w:color="auto"/>
              <w:bottom w:val="single" w:sz="2" w:space="0" w:color="auto"/>
              <w:right w:val="single" w:sz="2" w:space="0" w:color="auto"/>
            </w:tcBorders>
            <w:vAlign w:val="center"/>
          </w:tcPr>
          <w:p w14:paraId="17D194C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5E4571B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7,000</w:t>
            </w:r>
          </w:p>
        </w:tc>
        <w:tc>
          <w:tcPr>
            <w:tcW w:w="876" w:type="dxa"/>
            <w:tcBorders>
              <w:top w:val="single" w:sz="2" w:space="0" w:color="auto"/>
              <w:left w:val="single" w:sz="2" w:space="0" w:color="auto"/>
              <w:bottom w:val="single" w:sz="2" w:space="0" w:color="auto"/>
              <w:right w:val="single" w:sz="2" w:space="0" w:color="auto"/>
            </w:tcBorders>
            <w:vAlign w:val="center"/>
          </w:tcPr>
          <w:p w14:paraId="2927F74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D476145"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66B9086"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794334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2022.3.17-2023.3.16</w:t>
            </w:r>
          </w:p>
        </w:tc>
        <w:tc>
          <w:tcPr>
            <w:tcW w:w="876" w:type="dxa"/>
            <w:tcBorders>
              <w:top w:val="single" w:sz="2" w:space="0" w:color="auto"/>
              <w:left w:val="single" w:sz="2" w:space="0" w:color="auto"/>
              <w:bottom w:val="single" w:sz="2" w:space="0" w:color="auto"/>
              <w:right w:val="single" w:sz="2" w:space="0" w:color="auto"/>
            </w:tcBorders>
            <w:vAlign w:val="center"/>
          </w:tcPr>
          <w:p w14:paraId="6B80196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2C5AC8B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585C5E6E"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E678AC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河南龙大牧原肉食品有限公司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544B81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0855EC5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6,000</w:t>
            </w:r>
          </w:p>
        </w:tc>
        <w:tc>
          <w:tcPr>
            <w:tcW w:w="876" w:type="dxa"/>
            <w:tcBorders>
              <w:top w:val="single" w:sz="2" w:space="0" w:color="auto"/>
              <w:left w:val="single" w:sz="2" w:space="0" w:color="auto"/>
              <w:bottom w:val="single" w:sz="2" w:space="0" w:color="auto"/>
              <w:right w:val="single" w:sz="2" w:space="0" w:color="auto"/>
            </w:tcBorders>
            <w:vAlign w:val="center"/>
          </w:tcPr>
          <w:p w14:paraId="6358BE1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5E81553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5,999.7</w:t>
            </w:r>
          </w:p>
        </w:tc>
        <w:tc>
          <w:tcPr>
            <w:tcW w:w="876" w:type="dxa"/>
            <w:tcBorders>
              <w:top w:val="single" w:sz="2" w:space="0" w:color="auto"/>
              <w:left w:val="single" w:sz="2" w:space="0" w:color="auto"/>
              <w:bottom w:val="single" w:sz="2" w:space="0" w:color="auto"/>
              <w:right w:val="single" w:sz="2" w:space="0" w:color="auto"/>
            </w:tcBorders>
            <w:vAlign w:val="center"/>
          </w:tcPr>
          <w:p w14:paraId="22AE14A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0B5B8BC3"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20D6EB0"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85C2E4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2023.1.6-2023.7.6</w:t>
            </w:r>
          </w:p>
        </w:tc>
        <w:tc>
          <w:tcPr>
            <w:tcW w:w="876" w:type="dxa"/>
            <w:tcBorders>
              <w:top w:val="single" w:sz="2" w:space="0" w:color="auto"/>
              <w:left w:val="single" w:sz="2" w:space="0" w:color="auto"/>
              <w:bottom w:val="single" w:sz="2" w:space="0" w:color="auto"/>
              <w:right w:val="single" w:sz="2" w:space="0" w:color="auto"/>
            </w:tcBorders>
            <w:vAlign w:val="center"/>
          </w:tcPr>
          <w:p w14:paraId="3368398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4074B54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193D5B20"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A9F8DC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河南龙大牧原肉食品有限公司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060F1A1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0C695F9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3,000</w:t>
            </w:r>
          </w:p>
        </w:tc>
        <w:tc>
          <w:tcPr>
            <w:tcW w:w="876" w:type="dxa"/>
            <w:tcBorders>
              <w:top w:val="single" w:sz="2" w:space="0" w:color="auto"/>
              <w:left w:val="single" w:sz="2" w:space="0" w:color="auto"/>
              <w:bottom w:val="single" w:sz="2" w:space="0" w:color="auto"/>
              <w:right w:val="single" w:sz="2" w:space="0" w:color="auto"/>
            </w:tcBorders>
            <w:vAlign w:val="center"/>
          </w:tcPr>
          <w:p w14:paraId="4184FF4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2641C49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3,000</w:t>
            </w:r>
          </w:p>
        </w:tc>
        <w:tc>
          <w:tcPr>
            <w:tcW w:w="876" w:type="dxa"/>
            <w:tcBorders>
              <w:top w:val="single" w:sz="2" w:space="0" w:color="auto"/>
              <w:left w:val="single" w:sz="2" w:space="0" w:color="auto"/>
              <w:bottom w:val="single" w:sz="2" w:space="0" w:color="auto"/>
              <w:right w:val="single" w:sz="2" w:space="0" w:color="auto"/>
            </w:tcBorders>
            <w:vAlign w:val="center"/>
          </w:tcPr>
          <w:p w14:paraId="4420D75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3AF1D456"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A6BB5C4"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12907D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2022.6.17-2023.6.17</w:t>
            </w:r>
          </w:p>
        </w:tc>
        <w:tc>
          <w:tcPr>
            <w:tcW w:w="876" w:type="dxa"/>
            <w:tcBorders>
              <w:top w:val="single" w:sz="2" w:space="0" w:color="auto"/>
              <w:left w:val="single" w:sz="2" w:space="0" w:color="auto"/>
              <w:bottom w:val="single" w:sz="2" w:space="0" w:color="auto"/>
              <w:right w:val="single" w:sz="2" w:space="0" w:color="auto"/>
            </w:tcBorders>
            <w:vAlign w:val="center"/>
          </w:tcPr>
          <w:p w14:paraId="5E1E31D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476C1A6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0225FAC"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1DDAA9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河南龙大牧原肉食品有限公司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0FE59BF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23</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769D7FB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7,000</w:t>
            </w:r>
          </w:p>
        </w:tc>
        <w:tc>
          <w:tcPr>
            <w:tcW w:w="876" w:type="dxa"/>
            <w:tcBorders>
              <w:top w:val="single" w:sz="2" w:space="0" w:color="auto"/>
              <w:left w:val="single" w:sz="2" w:space="0" w:color="auto"/>
              <w:bottom w:val="single" w:sz="2" w:space="0" w:color="auto"/>
              <w:right w:val="single" w:sz="2" w:space="0" w:color="auto"/>
            </w:tcBorders>
            <w:vAlign w:val="center"/>
          </w:tcPr>
          <w:p w14:paraId="133A5F2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4161782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6,000</w:t>
            </w:r>
          </w:p>
        </w:tc>
        <w:tc>
          <w:tcPr>
            <w:tcW w:w="876" w:type="dxa"/>
            <w:tcBorders>
              <w:top w:val="single" w:sz="2" w:space="0" w:color="auto"/>
              <w:left w:val="single" w:sz="2" w:space="0" w:color="auto"/>
              <w:bottom w:val="single" w:sz="2" w:space="0" w:color="auto"/>
              <w:right w:val="single" w:sz="2" w:space="0" w:color="auto"/>
            </w:tcBorders>
            <w:vAlign w:val="center"/>
          </w:tcPr>
          <w:p w14:paraId="534AEB8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C3A437A"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23B8A51"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1362DF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2023.3.20-2024.3.20</w:t>
            </w:r>
          </w:p>
        </w:tc>
        <w:tc>
          <w:tcPr>
            <w:tcW w:w="876" w:type="dxa"/>
            <w:tcBorders>
              <w:top w:val="single" w:sz="2" w:space="0" w:color="auto"/>
              <w:left w:val="single" w:sz="2" w:space="0" w:color="auto"/>
              <w:bottom w:val="single" w:sz="2" w:space="0" w:color="auto"/>
              <w:right w:val="single" w:sz="2" w:space="0" w:color="auto"/>
            </w:tcBorders>
            <w:vAlign w:val="center"/>
          </w:tcPr>
          <w:p w14:paraId="368DAC0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740D5FD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1464591C"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1BD158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河南龙大牧原肉食品有限公司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4DF0109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0DBA742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6,000</w:t>
            </w:r>
          </w:p>
        </w:tc>
        <w:tc>
          <w:tcPr>
            <w:tcW w:w="876" w:type="dxa"/>
            <w:tcBorders>
              <w:top w:val="single" w:sz="2" w:space="0" w:color="auto"/>
              <w:left w:val="single" w:sz="2" w:space="0" w:color="auto"/>
              <w:bottom w:val="single" w:sz="2" w:space="0" w:color="auto"/>
              <w:right w:val="single" w:sz="2" w:space="0" w:color="auto"/>
            </w:tcBorders>
            <w:vAlign w:val="center"/>
          </w:tcPr>
          <w:p w14:paraId="450735E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40AC36D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2,750</w:t>
            </w:r>
          </w:p>
        </w:tc>
        <w:tc>
          <w:tcPr>
            <w:tcW w:w="876" w:type="dxa"/>
            <w:tcBorders>
              <w:top w:val="single" w:sz="2" w:space="0" w:color="auto"/>
              <w:left w:val="single" w:sz="2" w:space="0" w:color="auto"/>
              <w:bottom w:val="single" w:sz="2" w:space="0" w:color="auto"/>
              <w:right w:val="single" w:sz="2" w:space="0" w:color="auto"/>
            </w:tcBorders>
            <w:vAlign w:val="center"/>
          </w:tcPr>
          <w:p w14:paraId="29C1827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FB7FD2D"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078ACA5"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084152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2023.7.11-2024.1.11</w:t>
            </w:r>
          </w:p>
        </w:tc>
        <w:tc>
          <w:tcPr>
            <w:tcW w:w="876" w:type="dxa"/>
            <w:tcBorders>
              <w:top w:val="single" w:sz="2" w:space="0" w:color="auto"/>
              <w:left w:val="single" w:sz="2" w:space="0" w:color="auto"/>
              <w:bottom w:val="single" w:sz="2" w:space="0" w:color="auto"/>
              <w:right w:val="single" w:sz="2" w:space="0" w:color="auto"/>
            </w:tcBorders>
            <w:vAlign w:val="center"/>
          </w:tcPr>
          <w:p w14:paraId="262D340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2F31610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0F0A502"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8BB3B8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河南龙大牧原肉食品有限公司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71E8426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76491DE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6,000</w:t>
            </w:r>
          </w:p>
        </w:tc>
        <w:tc>
          <w:tcPr>
            <w:tcW w:w="876" w:type="dxa"/>
            <w:tcBorders>
              <w:top w:val="single" w:sz="2" w:space="0" w:color="auto"/>
              <w:left w:val="single" w:sz="2" w:space="0" w:color="auto"/>
              <w:bottom w:val="single" w:sz="2" w:space="0" w:color="auto"/>
              <w:right w:val="single" w:sz="2" w:space="0" w:color="auto"/>
            </w:tcBorders>
            <w:vAlign w:val="center"/>
          </w:tcPr>
          <w:p w14:paraId="6E0CD35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7D14F29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3,249.95</w:t>
            </w:r>
          </w:p>
        </w:tc>
        <w:tc>
          <w:tcPr>
            <w:tcW w:w="876" w:type="dxa"/>
            <w:tcBorders>
              <w:top w:val="single" w:sz="2" w:space="0" w:color="auto"/>
              <w:left w:val="single" w:sz="2" w:space="0" w:color="auto"/>
              <w:bottom w:val="single" w:sz="2" w:space="0" w:color="auto"/>
              <w:right w:val="single" w:sz="2" w:space="0" w:color="auto"/>
            </w:tcBorders>
            <w:vAlign w:val="center"/>
          </w:tcPr>
          <w:p w14:paraId="27AB956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C8F3E58"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E57C370"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7F150C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2023.7.17-2024.1.17</w:t>
            </w:r>
          </w:p>
        </w:tc>
        <w:tc>
          <w:tcPr>
            <w:tcW w:w="876" w:type="dxa"/>
            <w:tcBorders>
              <w:top w:val="single" w:sz="2" w:space="0" w:color="auto"/>
              <w:left w:val="single" w:sz="2" w:space="0" w:color="auto"/>
              <w:bottom w:val="single" w:sz="2" w:space="0" w:color="auto"/>
              <w:right w:val="single" w:sz="2" w:space="0" w:color="auto"/>
            </w:tcBorders>
            <w:vAlign w:val="center"/>
          </w:tcPr>
          <w:p w14:paraId="6FB4481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723D9E5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3C85B22B"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AF70E1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河南龙大牧原肉食品有限公司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22E5B7A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09</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61C2FC7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3,000</w:t>
            </w:r>
          </w:p>
        </w:tc>
        <w:tc>
          <w:tcPr>
            <w:tcW w:w="876" w:type="dxa"/>
            <w:tcBorders>
              <w:top w:val="single" w:sz="2" w:space="0" w:color="auto"/>
              <w:left w:val="single" w:sz="2" w:space="0" w:color="auto"/>
              <w:bottom w:val="single" w:sz="2" w:space="0" w:color="auto"/>
              <w:right w:val="single" w:sz="2" w:space="0" w:color="auto"/>
            </w:tcBorders>
            <w:vAlign w:val="center"/>
          </w:tcPr>
          <w:p w14:paraId="105D7FE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09</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21</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6DFFE29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3,000</w:t>
            </w:r>
          </w:p>
        </w:tc>
        <w:tc>
          <w:tcPr>
            <w:tcW w:w="876" w:type="dxa"/>
            <w:tcBorders>
              <w:top w:val="single" w:sz="2" w:space="0" w:color="auto"/>
              <w:left w:val="single" w:sz="2" w:space="0" w:color="auto"/>
              <w:bottom w:val="single" w:sz="2" w:space="0" w:color="auto"/>
              <w:right w:val="single" w:sz="2" w:space="0" w:color="auto"/>
            </w:tcBorders>
            <w:vAlign w:val="center"/>
          </w:tcPr>
          <w:p w14:paraId="0CA4540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73891F2"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043BEFD"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202D41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2023.9.21-2024.3.21</w:t>
            </w:r>
          </w:p>
        </w:tc>
        <w:tc>
          <w:tcPr>
            <w:tcW w:w="876" w:type="dxa"/>
            <w:tcBorders>
              <w:top w:val="single" w:sz="2" w:space="0" w:color="auto"/>
              <w:left w:val="single" w:sz="2" w:space="0" w:color="auto"/>
              <w:bottom w:val="single" w:sz="2" w:space="0" w:color="auto"/>
              <w:right w:val="single" w:sz="2" w:space="0" w:color="auto"/>
            </w:tcBorders>
            <w:vAlign w:val="center"/>
          </w:tcPr>
          <w:p w14:paraId="718F4AA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212FA97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06084157"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010F75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潍坊振</w:t>
            </w:r>
            <w:proofErr w:type="gramStart"/>
            <w:r w:rsidRPr="00F614F9">
              <w:rPr>
                <w:rFonts w:ascii="Times New Roman" w:eastAsia="宋体" w:hAnsi="Times New Roman" w:cs="宋体"/>
                <w:sz w:val="18"/>
                <w:szCs w:val="18"/>
              </w:rPr>
              <w:t>祥</w:t>
            </w:r>
            <w:proofErr w:type="gramEnd"/>
            <w:r w:rsidRPr="00F614F9">
              <w:rPr>
                <w:rFonts w:ascii="Times New Roman" w:eastAsia="宋体" w:hAnsi="Times New Roman" w:cs="宋体"/>
                <w:sz w:val="18"/>
                <w:szCs w:val="18"/>
              </w:rPr>
              <w:t>食品有限公</w:t>
            </w:r>
            <w:r w:rsidRPr="00F614F9">
              <w:rPr>
                <w:rFonts w:ascii="Times New Roman" w:eastAsia="宋体" w:hAnsi="Times New Roman" w:cs="宋体"/>
                <w:sz w:val="18"/>
                <w:szCs w:val="18"/>
              </w:rPr>
              <w:lastRenderedPageBreak/>
              <w:t>司</w:t>
            </w:r>
          </w:p>
        </w:tc>
        <w:tc>
          <w:tcPr>
            <w:tcW w:w="876" w:type="dxa"/>
            <w:tcBorders>
              <w:top w:val="single" w:sz="2" w:space="0" w:color="auto"/>
              <w:left w:val="single" w:sz="2" w:space="0" w:color="auto"/>
              <w:bottom w:val="single" w:sz="2" w:space="0" w:color="auto"/>
              <w:right w:val="single" w:sz="2" w:space="0" w:color="auto"/>
            </w:tcBorders>
            <w:vAlign w:val="center"/>
          </w:tcPr>
          <w:p w14:paraId="55ED5E4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lastRenderedPageBreak/>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0E47BBD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2,000</w:t>
            </w:r>
          </w:p>
        </w:tc>
        <w:tc>
          <w:tcPr>
            <w:tcW w:w="876" w:type="dxa"/>
            <w:tcBorders>
              <w:top w:val="single" w:sz="2" w:space="0" w:color="auto"/>
              <w:left w:val="single" w:sz="2" w:space="0" w:color="auto"/>
              <w:bottom w:val="single" w:sz="2" w:space="0" w:color="auto"/>
              <w:right w:val="single" w:sz="2" w:space="0" w:color="auto"/>
            </w:tcBorders>
            <w:vAlign w:val="center"/>
          </w:tcPr>
          <w:p w14:paraId="70FEEBD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7EAAA02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2,000</w:t>
            </w:r>
          </w:p>
        </w:tc>
        <w:tc>
          <w:tcPr>
            <w:tcW w:w="876" w:type="dxa"/>
            <w:tcBorders>
              <w:top w:val="single" w:sz="2" w:space="0" w:color="auto"/>
              <w:left w:val="single" w:sz="2" w:space="0" w:color="auto"/>
              <w:bottom w:val="single" w:sz="2" w:space="0" w:color="auto"/>
              <w:right w:val="single" w:sz="2" w:space="0" w:color="auto"/>
            </w:tcBorders>
            <w:vAlign w:val="center"/>
          </w:tcPr>
          <w:p w14:paraId="72CEB42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EE35BF1"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34B29E7"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5937EC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2023.5.12-2024.5.9</w:t>
            </w:r>
          </w:p>
        </w:tc>
        <w:tc>
          <w:tcPr>
            <w:tcW w:w="876" w:type="dxa"/>
            <w:tcBorders>
              <w:top w:val="single" w:sz="2" w:space="0" w:color="auto"/>
              <w:left w:val="single" w:sz="2" w:space="0" w:color="auto"/>
              <w:bottom w:val="single" w:sz="2" w:space="0" w:color="auto"/>
              <w:right w:val="single" w:sz="2" w:space="0" w:color="auto"/>
            </w:tcBorders>
            <w:vAlign w:val="center"/>
          </w:tcPr>
          <w:p w14:paraId="2673558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31A4456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6B7FA009"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5BF58D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潍坊振</w:t>
            </w:r>
            <w:proofErr w:type="gramStart"/>
            <w:r w:rsidRPr="00F614F9">
              <w:rPr>
                <w:rFonts w:ascii="Times New Roman" w:eastAsia="宋体" w:hAnsi="Times New Roman" w:cs="宋体"/>
                <w:sz w:val="18"/>
                <w:szCs w:val="18"/>
              </w:rPr>
              <w:t>祥</w:t>
            </w:r>
            <w:proofErr w:type="gramEnd"/>
            <w:r w:rsidRPr="00F614F9">
              <w:rPr>
                <w:rFonts w:ascii="Times New Roman" w:eastAsia="宋体" w:hAnsi="Times New Roman" w:cs="宋体"/>
                <w:sz w:val="18"/>
                <w:szCs w:val="18"/>
              </w:rPr>
              <w:t>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8BECB8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6A91C03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3,000</w:t>
            </w:r>
          </w:p>
        </w:tc>
        <w:tc>
          <w:tcPr>
            <w:tcW w:w="876" w:type="dxa"/>
            <w:tcBorders>
              <w:top w:val="single" w:sz="2" w:space="0" w:color="auto"/>
              <w:left w:val="single" w:sz="2" w:space="0" w:color="auto"/>
              <w:bottom w:val="single" w:sz="2" w:space="0" w:color="auto"/>
              <w:right w:val="single" w:sz="2" w:space="0" w:color="auto"/>
            </w:tcBorders>
            <w:vAlign w:val="center"/>
          </w:tcPr>
          <w:p w14:paraId="7488128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19</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233CFF9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3,000</w:t>
            </w:r>
          </w:p>
        </w:tc>
        <w:tc>
          <w:tcPr>
            <w:tcW w:w="876" w:type="dxa"/>
            <w:tcBorders>
              <w:top w:val="single" w:sz="2" w:space="0" w:color="auto"/>
              <w:left w:val="single" w:sz="2" w:space="0" w:color="auto"/>
              <w:bottom w:val="single" w:sz="2" w:space="0" w:color="auto"/>
              <w:right w:val="single" w:sz="2" w:space="0" w:color="auto"/>
            </w:tcBorders>
            <w:vAlign w:val="center"/>
          </w:tcPr>
          <w:p w14:paraId="7625552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141E16A"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771645E"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424413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2023.7.19-2024.1.19</w:t>
            </w:r>
          </w:p>
        </w:tc>
        <w:tc>
          <w:tcPr>
            <w:tcW w:w="876" w:type="dxa"/>
            <w:tcBorders>
              <w:top w:val="single" w:sz="2" w:space="0" w:color="auto"/>
              <w:left w:val="single" w:sz="2" w:space="0" w:color="auto"/>
              <w:bottom w:val="single" w:sz="2" w:space="0" w:color="auto"/>
              <w:right w:val="single" w:sz="2" w:space="0" w:color="auto"/>
            </w:tcBorders>
            <w:vAlign w:val="center"/>
          </w:tcPr>
          <w:p w14:paraId="3DE6B75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5715699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00C3AF8A"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1A2B7A9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潍坊振</w:t>
            </w:r>
            <w:proofErr w:type="gramStart"/>
            <w:r w:rsidRPr="00F614F9">
              <w:rPr>
                <w:rFonts w:ascii="Times New Roman" w:eastAsia="宋体" w:hAnsi="Times New Roman" w:cs="宋体"/>
                <w:sz w:val="18"/>
                <w:szCs w:val="18"/>
              </w:rPr>
              <w:t>祥</w:t>
            </w:r>
            <w:proofErr w:type="gramEnd"/>
            <w:r w:rsidRPr="00F614F9">
              <w:rPr>
                <w:rFonts w:ascii="Times New Roman" w:eastAsia="宋体" w:hAnsi="Times New Roman" w:cs="宋体"/>
                <w:sz w:val="18"/>
                <w:szCs w:val="18"/>
              </w:rPr>
              <w:t>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10B06D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6F1235F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4,000</w:t>
            </w:r>
          </w:p>
        </w:tc>
        <w:tc>
          <w:tcPr>
            <w:tcW w:w="876" w:type="dxa"/>
            <w:tcBorders>
              <w:top w:val="single" w:sz="2" w:space="0" w:color="auto"/>
              <w:left w:val="single" w:sz="2" w:space="0" w:color="auto"/>
              <w:bottom w:val="single" w:sz="2" w:space="0" w:color="auto"/>
              <w:right w:val="single" w:sz="2" w:space="0" w:color="auto"/>
            </w:tcBorders>
            <w:vAlign w:val="center"/>
          </w:tcPr>
          <w:p w14:paraId="28ADA9C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2957688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4,000</w:t>
            </w:r>
          </w:p>
        </w:tc>
        <w:tc>
          <w:tcPr>
            <w:tcW w:w="876" w:type="dxa"/>
            <w:tcBorders>
              <w:top w:val="single" w:sz="2" w:space="0" w:color="auto"/>
              <w:left w:val="single" w:sz="2" w:space="0" w:color="auto"/>
              <w:bottom w:val="single" w:sz="2" w:space="0" w:color="auto"/>
              <w:right w:val="single" w:sz="2" w:space="0" w:color="auto"/>
            </w:tcBorders>
            <w:vAlign w:val="center"/>
          </w:tcPr>
          <w:p w14:paraId="1950C03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9EB6715"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6DE6DB0"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E22E9B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2023.7.20-2024.1.20</w:t>
            </w:r>
          </w:p>
        </w:tc>
        <w:tc>
          <w:tcPr>
            <w:tcW w:w="876" w:type="dxa"/>
            <w:tcBorders>
              <w:top w:val="single" w:sz="2" w:space="0" w:color="auto"/>
              <w:left w:val="single" w:sz="2" w:space="0" w:color="auto"/>
              <w:bottom w:val="single" w:sz="2" w:space="0" w:color="auto"/>
              <w:right w:val="single" w:sz="2" w:space="0" w:color="auto"/>
            </w:tcBorders>
            <w:vAlign w:val="center"/>
          </w:tcPr>
          <w:p w14:paraId="1C6C866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0A6C88A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207C9BD3"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E31E31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江苏龙大沁侬食品有限公司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0AE1349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7CAC087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2,900</w:t>
            </w:r>
          </w:p>
        </w:tc>
        <w:tc>
          <w:tcPr>
            <w:tcW w:w="876" w:type="dxa"/>
            <w:tcBorders>
              <w:top w:val="single" w:sz="2" w:space="0" w:color="auto"/>
              <w:left w:val="single" w:sz="2" w:space="0" w:color="auto"/>
              <w:bottom w:val="single" w:sz="2" w:space="0" w:color="auto"/>
              <w:right w:val="single" w:sz="2" w:space="0" w:color="auto"/>
            </w:tcBorders>
            <w:vAlign w:val="center"/>
          </w:tcPr>
          <w:p w14:paraId="6ECE3F4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795E9CD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2,900</w:t>
            </w:r>
          </w:p>
        </w:tc>
        <w:tc>
          <w:tcPr>
            <w:tcW w:w="876" w:type="dxa"/>
            <w:tcBorders>
              <w:top w:val="single" w:sz="2" w:space="0" w:color="auto"/>
              <w:left w:val="single" w:sz="2" w:space="0" w:color="auto"/>
              <w:bottom w:val="single" w:sz="2" w:space="0" w:color="auto"/>
              <w:right w:val="single" w:sz="2" w:space="0" w:color="auto"/>
            </w:tcBorders>
            <w:vAlign w:val="center"/>
          </w:tcPr>
          <w:p w14:paraId="3DB5109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64B761B"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7FEDB8C"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7397FB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2023.5.25-2028.5.23</w:t>
            </w:r>
          </w:p>
        </w:tc>
        <w:tc>
          <w:tcPr>
            <w:tcW w:w="876" w:type="dxa"/>
            <w:tcBorders>
              <w:top w:val="single" w:sz="2" w:space="0" w:color="auto"/>
              <w:left w:val="single" w:sz="2" w:space="0" w:color="auto"/>
              <w:bottom w:val="single" w:sz="2" w:space="0" w:color="auto"/>
              <w:right w:val="single" w:sz="2" w:space="0" w:color="auto"/>
            </w:tcBorders>
            <w:vAlign w:val="center"/>
          </w:tcPr>
          <w:p w14:paraId="43E5AB6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5CED8E6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277EC191"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772AD0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成都龙大肉食品有限公司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5654C1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09</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0A25316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1,000</w:t>
            </w:r>
          </w:p>
        </w:tc>
        <w:tc>
          <w:tcPr>
            <w:tcW w:w="876" w:type="dxa"/>
            <w:tcBorders>
              <w:top w:val="single" w:sz="2" w:space="0" w:color="auto"/>
              <w:left w:val="single" w:sz="2" w:space="0" w:color="auto"/>
              <w:bottom w:val="single" w:sz="2" w:space="0" w:color="auto"/>
              <w:right w:val="single" w:sz="2" w:space="0" w:color="auto"/>
            </w:tcBorders>
            <w:vAlign w:val="center"/>
          </w:tcPr>
          <w:p w14:paraId="4FE4F97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09</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27</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1E43E55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1,000</w:t>
            </w:r>
          </w:p>
        </w:tc>
        <w:tc>
          <w:tcPr>
            <w:tcW w:w="876" w:type="dxa"/>
            <w:tcBorders>
              <w:top w:val="single" w:sz="2" w:space="0" w:color="auto"/>
              <w:left w:val="single" w:sz="2" w:space="0" w:color="auto"/>
              <w:bottom w:val="single" w:sz="2" w:space="0" w:color="auto"/>
              <w:right w:val="single" w:sz="2" w:space="0" w:color="auto"/>
            </w:tcBorders>
            <w:vAlign w:val="center"/>
          </w:tcPr>
          <w:p w14:paraId="2DC0EAA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5CF7ED07"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E4CFAE3"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A41AC0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2023.9.27-2024.9.26</w:t>
            </w:r>
          </w:p>
        </w:tc>
        <w:tc>
          <w:tcPr>
            <w:tcW w:w="876" w:type="dxa"/>
            <w:tcBorders>
              <w:top w:val="single" w:sz="2" w:space="0" w:color="auto"/>
              <w:left w:val="single" w:sz="2" w:space="0" w:color="auto"/>
              <w:bottom w:val="single" w:sz="2" w:space="0" w:color="auto"/>
              <w:right w:val="single" w:sz="2" w:space="0" w:color="auto"/>
            </w:tcBorders>
            <w:vAlign w:val="center"/>
          </w:tcPr>
          <w:p w14:paraId="2471996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3515FC5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36D9C753"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4D4AC5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成都龙大肉食品有限公司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2DE48F8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3463D70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35,000</w:t>
            </w:r>
          </w:p>
        </w:tc>
        <w:tc>
          <w:tcPr>
            <w:tcW w:w="876" w:type="dxa"/>
            <w:tcBorders>
              <w:top w:val="single" w:sz="2" w:space="0" w:color="auto"/>
              <w:left w:val="single" w:sz="2" w:space="0" w:color="auto"/>
              <w:bottom w:val="single" w:sz="2" w:space="0" w:color="auto"/>
              <w:right w:val="single" w:sz="2" w:space="0" w:color="auto"/>
            </w:tcBorders>
            <w:vAlign w:val="center"/>
          </w:tcPr>
          <w:p w14:paraId="753E352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6E8B4B0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35,000</w:t>
            </w:r>
          </w:p>
        </w:tc>
        <w:tc>
          <w:tcPr>
            <w:tcW w:w="876" w:type="dxa"/>
            <w:tcBorders>
              <w:top w:val="single" w:sz="2" w:space="0" w:color="auto"/>
              <w:left w:val="single" w:sz="2" w:space="0" w:color="auto"/>
              <w:bottom w:val="single" w:sz="2" w:space="0" w:color="auto"/>
              <w:right w:val="single" w:sz="2" w:space="0" w:color="auto"/>
            </w:tcBorders>
            <w:vAlign w:val="center"/>
          </w:tcPr>
          <w:p w14:paraId="70C933D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1D5934B"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9809145"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451C2A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2023.10.25-2024.10.24</w:t>
            </w:r>
          </w:p>
        </w:tc>
        <w:tc>
          <w:tcPr>
            <w:tcW w:w="876" w:type="dxa"/>
            <w:tcBorders>
              <w:top w:val="single" w:sz="2" w:space="0" w:color="auto"/>
              <w:left w:val="single" w:sz="2" w:space="0" w:color="auto"/>
              <w:bottom w:val="single" w:sz="2" w:space="0" w:color="auto"/>
              <w:right w:val="single" w:sz="2" w:space="0" w:color="auto"/>
            </w:tcBorders>
            <w:vAlign w:val="center"/>
          </w:tcPr>
          <w:p w14:paraId="0FA48E0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36E97FD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0576B56C"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BC096C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黑龙江龙大肉食品有限公司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0665A2D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0424FBA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4,000</w:t>
            </w:r>
          </w:p>
        </w:tc>
        <w:tc>
          <w:tcPr>
            <w:tcW w:w="876" w:type="dxa"/>
            <w:tcBorders>
              <w:top w:val="single" w:sz="2" w:space="0" w:color="auto"/>
              <w:left w:val="single" w:sz="2" w:space="0" w:color="auto"/>
              <w:bottom w:val="single" w:sz="2" w:space="0" w:color="auto"/>
              <w:right w:val="single" w:sz="2" w:space="0" w:color="auto"/>
            </w:tcBorders>
            <w:vAlign w:val="center"/>
          </w:tcPr>
          <w:p w14:paraId="19D8196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125454E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14:paraId="484AB1E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497F8C1"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52EFE66"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6E2535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2023.10.10-2024.10.9</w:t>
            </w:r>
          </w:p>
        </w:tc>
        <w:tc>
          <w:tcPr>
            <w:tcW w:w="876" w:type="dxa"/>
            <w:tcBorders>
              <w:top w:val="single" w:sz="2" w:space="0" w:color="auto"/>
              <w:left w:val="single" w:sz="2" w:space="0" w:color="auto"/>
              <w:bottom w:val="single" w:sz="2" w:space="0" w:color="auto"/>
              <w:right w:val="single" w:sz="2" w:space="0" w:color="auto"/>
            </w:tcBorders>
            <w:vAlign w:val="center"/>
          </w:tcPr>
          <w:p w14:paraId="63A3101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01ADD95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6A60C52A"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61A9E2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黑龙江龙大肉食品有限公司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632AF5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517DF52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4,000</w:t>
            </w:r>
          </w:p>
        </w:tc>
        <w:tc>
          <w:tcPr>
            <w:tcW w:w="876" w:type="dxa"/>
            <w:tcBorders>
              <w:top w:val="single" w:sz="2" w:space="0" w:color="auto"/>
              <w:left w:val="single" w:sz="2" w:space="0" w:color="auto"/>
              <w:bottom w:val="single" w:sz="2" w:space="0" w:color="auto"/>
              <w:right w:val="single" w:sz="2" w:space="0" w:color="auto"/>
            </w:tcBorders>
            <w:vAlign w:val="center"/>
          </w:tcPr>
          <w:p w14:paraId="68328A6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75F42B7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14:paraId="333562B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22187CD1"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0792735"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2E1E87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2023.10.25-2024.10.24</w:t>
            </w:r>
          </w:p>
        </w:tc>
        <w:tc>
          <w:tcPr>
            <w:tcW w:w="876" w:type="dxa"/>
            <w:tcBorders>
              <w:top w:val="single" w:sz="2" w:space="0" w:color="auto"/>
              <w:left w:val="single" w:sz="2" w:space="0" w:color="auto"/>
              <w:bottom w:val="single" w:sz="2" w:space="0" w:color="auto"/>
              <w:right w:val="single" w:sz="2" w:space="0" w:color="auto"/>
            </w:tcBorders>
            <w:vAlign w:val="center"/>
          </w:tcPr>
          <w:p w14:paraId="0F9F9FE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79C7359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2891DD9E"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1D78C34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黑龙江龙大肉食品有限公司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CE897F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421BC84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4,000</w:t>
            </w:r>
          </w:p>
        </w:tc>
        <w:tc>
          <w:tcPr>
            <w:tcW w:w="876" w:type="dxa"/>
            <w:tcBorders>
              <w:top w:val="single" w:sz="2" w:space="0" w:color="auto"/>
              <w:left w:val="single" w:sz="2" w:space="0" w:color="auto"/>
              <w:bottom w:val="single" w:sz="2" w:space="0" w:color="auto"/>
              <w:right w:val="single" w:sz="2" w:space="0" w:color="auto"/>
            </w:tcBorders>
            <w:vAlign w:val="center"/>
          </w:tcPr>
          <w:p w14:paraId="3EDE75C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28</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7759190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14:paraId="3022E5A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5D23C05"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D5576AA"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2B6325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2023.10.28-2024.10.27</w:t>
            </w:r>
          </w:p>
        </w:tc>
        <w:tc>
          <w:tcPr>
            <w:tcW w:w="876" w:type="dxa"/>
            <w:tcBorders>
              <w:top w:val="single" w:sz="2" w:space="0" w:color="auto"/>
              <w:left w:val="single" w:sz="2" w:space="0" w:color="auto"/>
              <w:bottom w:val="single" w:sz="2" w:space="0" w:color="auto"/>
              <w:right w:val="single" w:sz="2" w:space="0" w:color="auto"/>
            </w:tcBorders>
            <w:vAlign w:val="center"/>
          </w:tcPr>
          <w:p w14:paraId="62B64AF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066695E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9A1C2D8"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EEFC54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黑龙江龙大肉食品有限公司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4F70D8B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3736B1B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4,000</w:t>
            </w:r>
          </w:p>
        </w:tc>
        <w:tc>
          <w:tcPr>
            <w:tcW w:w="876" w:type="dxa"/>
            <w:tcBorders>
              <w:top w:val="single" w:sz="2" w:space="0" w:color="auto"/>
              <w:left w:val="single" w:sz="2" w:space="0" w:color="auto"/>
              <w:bottom w:val="single" w:sz="2" w:space="0" w:color="auto"/>
              <w:right w:val="single" w:sz="2" w:space="0" w:color="auto"/>
            </w:tcBorders>
            <w:vAlign w:val="center"/>
          </w:tcPr>
          <w:p w14:paraId="484D373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31</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554B07A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14:paraId="3A70612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044B57A8"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96E76A3"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DCA244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2023.10.31-2024.10.30</w:t>
            </w:r>
          </w:p>
        </w:tc>
        <w:tc>
          <w:tcPr>
            <w:tcW w:w="876" w:type="dxa"/>
            <w:tcBorders>
              <w:top w:val="single" w:sz="2" w:space="0" w:color="auto"/>
              <w:left w:val="single" w:sz="2" w:space="0" w:color="auto"/>
              <w:bottom w:val="single" w:sz="2" w:space="0" w:color="auto"/>
              <w:right w:val="single" w:sz="2" w:space="0" w:color="auto"/>
            </w:tcBorders>
            <w:vAlign w:val="center"/>
          </w:tcPr>
          <w:p w14:paraId="4EDF9D0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7398D7F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3C92BBE0"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DBCC79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黑龙江龙大肉食品有限公司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2E41ADA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28AF58D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4,000</w:t>
            </w:r>
          </w:p>
        </w:tc>
        <w:tc>
          <w:tcPr>
            <w:tcW w:w="876" w:type="dxa"/>
            <w:tcBorders>
              <w:top w:val="single" w:sz="2" w:space="0" w:color="auto"/>
              <w:left w:val="single" w:sz="2" w:space="0" w:color="auto"/>
              <w:bottom w:val="single" w:sz="2" w:space="0" w:color="auto"/>
              <w:right w:val="single" w:sz="2" w:space="0" w:color="auto"/>
            </w:tcBorders>
            <w:vAlign w:val="center"/>
          </w:tcPr>
          <w:p w14:paraId="69F068B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46EE96F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14:paraId="4A23459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630CDD3"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955050C"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DAF7EB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2023.7.25-2024.7.24</w:t>
            </w:r>
          </w:p>
        </w:tc>
        <w:tc>
          <w:tcPr>
            <w:tcW w:w="876" w:type="dxa"/>
            <w:tcBorders>
              <w:top w:val="single" w:sz="2" w:space="0" w:color="auto"/>
              <w:left w:val="single" w:sz="2" w:space="0" w:color="auto"/>
              <w:bottom w:val="single" w:sz="2" w:space="0" w:color="auto"/>
              <w:right w:val="single" w:sz="2" w:space="0" w:color="auto"/>
            </w:tcBorders>
            <w:vAlign w:val="center"/>
          </w:tcPr>
          <w:p w14:paraId="409C244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412827F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9795135"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43E453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黑龙江龙大肉食品有限公司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43F2E5D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58692BA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4,000</w:t>
            </w:r>
          </w:p>
        </w:tc>
        <w:tc>
          <w:tcPr>
            <w:tcW w:w="876" w:type="dxa"/>
            <w:tcBorders>
              <w:top w:val="single" w:sz="2" w:space="0" w:color="auto"/>
              <w:left w:val="single" w:sz="2" w:space="0" w:color="auto"/>
              <w:bottom w:val="single" w:sz="2" w:space="0" w:color="auto"/>
              <w:right w:val="single" w:sz="2" w:space="0" w:color="auto"/>
            </w:tcBorders>
            <w:vAlign w:val="center"/>
          </w:tcPr>
          <w:p w14:paraId="55BD3DE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27</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57FC874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14:paraId="0DDEB01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33175C5F"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23F6A73"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5E3919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2023.7.27-2024.7.26</w:t>
            </w:r>
          </w:p>
        </w:tc>
        <w:tc>
          <w:tcPr>
            <w:tcW w:w="876" w:type="dxa"/>
            <w:tcBorders>
              <w:top w:val="single" w:sz="2" w:space="0" w:color="auto"/>
              <w:left w:val="single" w:sz="2" w:space="0" w:color="auto"/>
              <w:bottom w:val="single" w:sz="2" w:space="0" w:color="auto"/>
              <w:right w:val="single" w:sz="2" w:space="0" w:color="auto"/>
            </w:tcBorders>
            <w:vAlign w:val="center"/>
          </w:tcPr>
          <w:p w14:paraId="3656646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2B5726D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1DD9B645"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E2D2EF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黑龙江龙大肉食品有限公司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66F122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5E18D90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4,000</w:t>
            </w:r>
          </w:p>
        </w:tc>
        <w:tc>
          <w:tcPr>
            <w:tcW w:w="876" w:type="dxa"/>
            <w:tcBorders>
              <w:top w:val="single" w:sz="2" w:space="0" w:color="auto"/>
              <w:left w:val="single" w:sz="2" w:space="0" w:color="auto"/>
              <w:bottom w:val="single" w:sz="2" w:space="0" w:color="auto"/>
              <w:right w:val="single" w:sz="2" w:space="0" w:color="auto"/>
            </w:tcBorders>
            <w:vAlign w:val="center"/>
          </w:tcPr>
          <w:p w14:paraId="7A4BDB5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4B2A1F4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14:paraId="29FEA0B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28684F9E"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4C330A6"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F2E186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2023.8.2-2024.8.1</w:t>
            </w:r>
          </w:p>
        </w:tc>
        <w:tc>
          <w:tcPr>
            <w:tcW w:w="876" w:type="dxa"/>
            <w:tcBorders>
              <w:top w:val="single" w:sz="2" w:space="0" w:color="auto"/>
              <w:left w:val="single" w:sz="2" w:space="0" w:color="auto"/>
              <w:bottom w:val="single" w:sz="2" w:space="0" w:color="auto"/>
              <w:right w:val="single" w:sz="2" w:space="0" w:color="auto"/>
            </w:tcBorders>
            <w:vAlign w:val="center"/>
          </w:tcPr>
          <w:p w14:paraId="766A5DC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699BECD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30D7EC68"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432377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黑龙江龙大肉食品有限公司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5586346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1896514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4,000</w:t>
            </w:r>
          </w:p>
        </w:tc>
        <w:tc>
          <w:tcPr>
            <w:tcW w:w="876" w:type="dxa"/>
            <w:tcBorders>
              <w:top w:val="single" w:sz="2" w:space="0" w:color="auto"/>
              <w:left w:val="single" w:sz="2" w:space="0" w:color="auto"/>
              <w:bottom w:val="single" w:sz="2" w:space="0" w:color="auto"/>
              <w:right w:val="single" w:sz="2" w:space="0" w:color="auto"/>
            </w:tcBorders>
            <w:vAlign w:val="center"/>
          </w:tcPr>
          <w:p w14:paraId="59B7F6A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017EBF9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14:paraId="7689941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17024C90"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E3FDD0B"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30FD9B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2023.8.4-2024.8.3</w:t>
            </w:r>
          </w:p>
        </w:tc>
        <w:tc>
          <w:tcPr>
            <w:tcW w:w="876" w:type="dxa"/>
            <w:tcBorders>
              <w:top w:val="single" w:sz="2" w:space="0" w:color="auto"/>
              <w:left w:val="single" w:sz="2" w:space="0" w:color="auto"/>
              <w:bottom w:val="single" w:sz="2" w:space="0" w:color="auto"/>
              <w:right w:val="single" w:sz="2" w:space="0" w:color="auto"/>
            </w:tcBorders>
            <w:vAlign w:val="center"/>
          </w:tcPr>
          <w:p w14:paraId="121F4E5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560C4C4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62A86FD8"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69521B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黑龙江龙大肉食品有限公司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023BD58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13</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4C7A962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15,000</w:t>
            </w:r>
          </w:p>
        </w:tc>
        <w:tc>
          <w:tcPr>
            <w:tcW w:w="876" w:type="dxa"/>
            <w:tcBorders>
              <w:top w:val="single" w:sz="2" w:space="0" w:color="auto"/>
              <w:left w:val="single" w:sz="2" w:space="0" w:color="auto"/>
              <w:bottom w:val="single" w:sz="2" w:space="0" w:color="auto"/>
              <w:right w:val="single" w:sz="2" w:space="0" w:color="auto"/>
            </w:tcBorders>
            <w:vAlign w:val="center"/>
          </w:tcPr>
          <w:p w14:paraId="15DEF2F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251AEEC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7,000</w:t>
            </w:r>
          </w:p>
        </w:tc>
        <w:tc>
          <w:tcPr>
            <w:tcW w:w="876" w:type="dxa"/>
            <w:tcBorders>
              <w:top w:val="single" w:sz="2" w:space="0" w:color="auto"/>
              <w:left w:val="single" w:sz="2" w:space="0" w:color="auto"/>
              <w:bottom w:val="single" w:sz="2" w:space="0" w:color="auto"/>
              <w:right w:val="single" w:sz="2" w:space="0" w:color="auto"/>
            </w:tcBorders>
            <w:vAlign w:val="center"/>
          </w:tcPr>
          <w:p w14:paraId="154813D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092E62D2"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391D6D9"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CEC246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2023.3.30-2031.3.31</w:t>
            </w:r>
          </w:p>
        </w:tc>
        <w:tc>
          <w:tcPr>
            <w:tcW w:w="876" w:type="dxa"/>
            <w:tcBorders>
              <w:top w:val="single" w:sz="2" w:space="0" w:color="auto"/>
              <w:left w:val="single" w:sz="2" w:space="0" w:color="auto"/>
              <w:bottom w:val="single" w:sz="2" w:space="0" w:color="auto"/>
              <w:right w:val="single" w:sz="2" w:space="0" w:color="auto"/>
            </w:tcBorders>
            <w:vAlign w:val="center"/>
          </w:tcPr>
          <w:p w14:paraId="2A3CD6D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7B0AA6A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1D89B4E9"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2D7923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lastRenderedPageBreak/>
              <w:t>黑龙江龙大肉食品有限公司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53109B7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13</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3F294EF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15,000</w:t>
            </w:r>
          </w:p>
        </w:tc>
        <w:tc>
          <w:tcPr>
            <w:tcW w:w="876" w:type="dxa"/>
            <w:tcBorders>
              <w:top w:val="single" w:sz="2" w:space="0" w:color="auto"/>
              <w:left w:val="single" w:sz="2" w:space="0" w:color="auto"/>
              <w:bottom w:val="single" w:sz="2" w:space="0" w:color="auto"/>
              <w:right w:val="single" w:sz="2" w:space="0" w:color="auto"/>
            </w:tcBorders>
            <w:vAlign w:val="center"/>
          </w:tcPr>
          <w:p w14:paraId="2EC83E8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27</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53140CE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3,000</w:t>
            </w:r>
          </w:p>
        </w:tc>
        <w:tc>
          <w:tcPr>
            <w:tcW w:w="876" w:type="dxa"/>
            <w:tcBorders>
              <w:top w:val="single" w:sz="2" w:space="0" w:color="auto"/>
              <w:left w:val="single" w:sz="2" w:space="0" w:color="auto"/>
              <w:bottom w:val="single" w:sz="2" w:space="0" w:color="auto"/>
              <w:right w:val="single" w:sz="2" w:space="0" w:color="auto"/>
            </w:tcBorders>
            <w:vAlign w:val="center"/>
          </w:tcPr>
          <w:p w14:paraId="43409CF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20D18FE9"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28AA6A0"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C271ED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2023.3.30-2031.3.31</w:t>
            </w:r>
          </w:p>
        </w:tc>
        <w:tc>
          <w:tcPr>
            <w:tcW w:w="876" w:type="dxa"/>
            <w:tcBorders>
              <w:top w:val="single" w:sz="2" w:space="0" w:color="auto"/>
              <w:left w:val="single" w:sz="2" w:space="0" w:color="auto"/>
              <w:bottom w:val="single" w:sz="2" w:space="0" w:color="auto"/>
              <w:right w:val="single" w:sz="2" w:space="0" w:color="auto"/>
            </w:tcBorders>
            <w:vAlign w:val="center"/>
          </w:tcPr>
          <w:p w14:paraId="43D617D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075D336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02B47273"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6EE14D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黑龙江龙大肉食品有限公司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6A2D09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1F2982E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2,000</w:t>
            </w:r>
          </w:p>
        </w:tc>
        <w:tc>
          <w:tcPr>
            <w:tcW w:w="876" w:type="dxa"/>
            <w:tcBorders>
              <w:top w:val="single" w:sz="2" w:space="0" w:color="auto"/>
              <w:left w:val="single" w:sz="2" w:space="0" w:color="auto"/>
              <w:bottom w:val="single" w:sz="2" w:space="0" w:color="auto"/>
              <w:right w:val="single" w:sz="2" w:space="0" w:color="auto"/>
            </w:tcBorders>
            <w:vAlign w:val="center"/>
          </w:tcPr>
          <w:p w14:paraId="168ED0E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7FF0D54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14:paraId="5532065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B2913E2"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1ECC9B9"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403AB8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2022.10.10-2023.10.9</w:t>
            </w:r>
          </w:p>
        </w:tc>
        <w:tc>
          <w:tcPr>
            <w:tcW w:w="876" w:type="dxa"/>
            <w:tcBorders>
              <w:top w:val="single" w:sz="2" w:space="0" w:color="auto"/>
              <w:left w:val="single" w:sz="2" w:space="0" w:color="auto"/>
              <w:bottom w:val="single" w:sz="2" w:space="0" w:color="auto"/>
              <w:right w:val="single" w:sz="2" w:space="0" w:color="auto"/>
            </w:tcBorders>
            <w:vAlign w:val="center"/>
          </w:tcPr>
          <w:p w14:paraId="3BD8347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706235B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3183FC87"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5F9750B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黑龙江龙大肉食品有限公司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4B00330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61B28D6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2,000</w:t>
            </w:r>
          </w:p>
        </w:tc>
        <w:tc>
          <w:tcPr>
            <w:tcW w:w="876" w:type="dxa"/>
            <w:tcBorders>
              <w:top w:val="single" w:sz="2" w:space="0" w:color="auto"/>
              <w:left w:val="single" w:sz="2" w:space="0" w:color="auto"/>
              <w:bottom w:val="single" w:sz="2" w:space="0" w:color="auto"/>
              <w:right w:val="single" w:sz="2" w:space="0" w:color="auto"/>
            </w:tcBorders>
            <w:vAlign w:val="center"/>
          </w:tcPr>
          <w:p w14:paraId="19E6830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3B3E682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14:paraId="642DB51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8894444"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50CC9C8"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6A5D8C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2022.10.25-2023.10.24</w:t>
            </w:r>
          </w:p>
        </w:tc>
        <w:tc>
          <w:tcPr>
            <w:tcW w:w="876" w:type="dxa"/>
            <w:tcBorders>
              <w:top w:val="single" w:sz="2" w:space="0" w:color="auto"/>
              <w:left w:val="single" w:sz="2" w:space="0" w:color="auto"/>
              <w:bottom w:val="single" w:sz="2" w:space="0" w:color="auto"/>
              <w:right w:val="single" w:sz="2" w:space="0" w:color="auto"/>
            </w:tcBorders>
            <w:vAlign w:val="center"/>
          </w:tcPr>
          <w:p w14:paraId="0379D29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73918AB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01434C26"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F7BA3B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黑龙江龙大肉食品有限公司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35450AD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34BE702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2,000</w:t>
            </w:r>
          </w:p>
        </w:tc>
        <w:tc>
          <w:tcPr>
            <w:tcW w:w="876" w:type="dxa"/>
            <w:tcBorders>
              <w:top w:val="single" w:sz="2" w:space="0" w:color="auto"/>
              <w:left w:val="single" w:sz="2" w:space="0" w:color="auto"/>
              <w:bottom w:val="single" w:sz="2" w:space="0" w:color="auto"/>
              <w:right w:val="single" w:sz="2" w:space="0" w:color="auto"/>
            </w:tcBorders>
            <w:vAlign w:val="center"/>
          </w:tcPr>
          <w:p w14:paraId="08E1D7B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28</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5B1D8D3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14:paraId="17BFCCA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341BE430"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D0DC906"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4E5BEE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2022.10.28-2023.10.27</w:t>
            </w:r>
          </w:p>
        </w:tc>
        <w:tc>
          <w:tcPr>
            <w:tcW w:w="876" w:type="dxa"/>
            <w:tcBorders>
              <w:top w:val="single" w:sz="2" w:space="0" w:color="auto"/>
              <w:left w:val="single" w:sz="2" w:space="0" w:color="auto"/>
              <w:bottom w:val="single" w:sz="2" w:space="0" w:color="auto"/>
              <w:right w:val="single" w:sz="2" w:space="0" w:color="auto"/>
            </w:tcBorders>
            <w:vAlign w:val="center"/>
          </w:tcPr>
          <w:p w14:paraId="7CD86D1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15DE03C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1DC572EC"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DCD0E6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黑龙江龙大肉食品有限公司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0EAE023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449724C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2,000</w:t>
            </w:r>
          </w:p>
        </w:tc>
        <w:tc>
          <w:tcPr>
            <w:tcW w:w="876" w:type="dxa"/>
            <w:tcBorders>
              <w:top w:val="single" w:sz="2" w:space="0" w:color="auto"/>
              <w:left w:val="single" w:sz="2" w:space="0" w:color="auto"/>
              <w:bottom w:val="single" w:sz="2" w:space="0" w:color="auto"/>
              <w:right w:val="single" w:sz="2" w:space="0" w:color="auto"/>
            </w:tcBorders>
            <w:vAlign w:val="center"/>
          </w:tcPr>
          <w:p w14:paraId="756A91A3"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31</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14620A5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14:paraId="1032485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40E5B64"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5D4FC18"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6D80CC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2022.10.31-2023.10.30</w:t>
            </w:r>
          </w:p>
        </w:tc>
        <w:tc>
          <w:tcPr>
            <w:tcW w:w="876" w:type="dxa"/>
            <w:tcBorders>
              <w:top w:val="single" w:sz="2" w:space="0" w:color="auto"/>
              <w:left w:val="single" w:sz="2" w:space="0" w:color="auto"/>
              <w:bottom w:val="single" w:sz="2" w:space="0" w:color="auto"/>
              <w:right w:val="single" w:sz="2" w:space="0" w:color="auto"/>
            </w:tcBorders>
            <w:vAlign w:val="center"/>
          </w:tcPr>
          <w:p w14:paraId="196FAD0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6C4E956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7519C809"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AD682B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海南龙大美食有限责任公司</w:t>
            </w:r>
          </w:p>
        </w:tc>
        <w:tc>
          <w:tcPr>
            <w:tcW w:w="876" w:type="dxa"/>
            <w:tcBorders>
              <w:top w:val="single" w:sz="2" w:space="0" w:color="auto"/>
              <w:left w:val="single" w:sz="2" w:space="0" w:color="auto"/>
              <w:bottom w:val="single" w:sz="2" w:space="0" w:color="auto"/>
              <w:right w:val="single" w:sz="2" w:space="0" w:color="auto"/>
            </w:tcBorders>
            <w:vAlign w:val="center"/>
          </w:tcPr>
          <w:p w14:paraId="52610B5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6FFD855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16,000</w:t>
            </w:r>
          </w:p>
        </w:tc>
        <w:tc>
          <w:tcPr>
            <w:tcW w:w="876" w:type="dxa"/>
            <w:tcBorders>
              <w:top w:val="single" w:sz="2" w:space="0" w:color="auto"/>
              <w:left w:val="single" w:sz="2" w:space="0" w:color="auto"/>
              <w:bottom w:val="single" w:sz="2" w:space="0" w:color="auto"/>
              <w:right w:val="single" w:sz="2" w:space="0" w:color="auto"/>
            </w:tcBorders>
            <w:vAlign w:val="center"/>
          </w:tcPr>
          <w:p w14:paraId="6BF127E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1D95C0B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3,009.52</w:t>
            </w:r>
          </w:p>
        </w:tc>
        <w:tc>
          <w:tcPr>
            <w:tcW w:w="876" w:type="dxa"/>
            <w:tcBorders>
              <w:top w:val="single" w:sz="2" w:space="0" w:color="auto"/>
              <w:left w:val="single" w:sz="2" w:space="0" w:color="auto"/>
              <w:bottom w:val="single" w:sz="2" w:space="0" w:color="auto"/>
              <w:right w:val="single" w:sz="2" w:space="0" w:color="auto"/>
            </w:tcBorders>
            <w:vAlign w:val="center"/>
          </w:tcPr>
          <w:p w14:paraId="150DD0B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E0CDFD6"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EF3E909"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E3FE55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2023.4.03-2030.6.21</w:t>
            </w:r>
          </w:p>
        </w:tc>
        <w:tc>
          <w:tcPr>
            <w:tcW w:w="876" w:type="dxa"/>
            <w:tcBorders>
              <w:top w:val="single" w:sz="2" w:space="0" w:color="auto"/>
              <w:left w:val="single" w:sz="2" w:space="0" w:color="auto"/>
              <w:bottom w:val="single" w:sz="2" w:space="0" w:color="auto"/>
              <w:right w:val="single" w:sz="2" w:space="0" w:color="auto"/>
            </w:tcBorders>
            <w:vAlign w:val="center"/>
          </w:tcPr>
          <w:p w14:paraId="044F44F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70151D8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687C8AF2"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91BE9F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海南龙大美食有限责任公司</w:t>
            </w:r>
          </w:p>
        </w:tc>
        <w:tc>
          <w:tcPr>
            <w:tcW w:w="876" w:type="dxa"/>
            <w:tcBorders>
              <w:top w:val="single" w:sz="2" w:space="0" w:color="auto"/>
              <w:left w:val="single" w:sz="2" w:space="0" w:color="auto"/>
              <w:bottom w:val="single" w:sz="2" w:space="0" w:color="auto"/>
              <w:right w:val="single" w:sz="2" w:space="0" w:color="auto"/>
            </w:tcBorders>
            <w:vAlign w:val="center"/>
          </w:tcPr>
          <w:p w14:paraId="3EEAB95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4DD4082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16,000</w:t>
            </w:r>
          </w:p>
        </w:tc>
        <w:tc>
          <w:tcPr>
            <w:tcW w:w="876" w:type="dxa"/>
            <w:tcBorders>
              <w:top w:val="single" w:sz="2" w:space="0" w:color="auto"/>
              <w:left w:val="single" w:sz="2" w:space="0" w:color="auto"/>
              <w:bottom w:val="single" w:sz="2" w:space="0" w:color="auto"/>
              <w:right w:val="single" w:sz="2" w:space="0" w:color="auto"/>
            </w:tcBorders>
            <w:vAlign w:val="center"/>
          </w:tcPr>
          <w:p w14:paraId="5A49B50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23</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58B3C1B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976.59</w:t>
            </w:r>
          </w:p>
        </w:tc>
        <w:tc>
          <w:tcPr>
            <w:tcW w:w="876" w:type="dxa"/>
            <w:tcBorders>
              <w:top w:val="single" w:sz="2" w:space="0" w:color="auto"/>
              <w:left w:val="single" w:sz="2" w:space="0" w:color="auto"/>
              <w:bottom w:val="single" w:sz="2" w:space="0" w:color="auto"/>
              <w:right w:val="single" w:sz="2" w:space="0" w:color="auto"/>
            </w:tcBorders>
            <w:vAlign w:val="center"/>
          </w:tcPr>
          <w:p w14:paraId="031B44F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4831E6D6"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D718C8A"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829711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2023.4.03-2030.6.21</w:t>
            </w:r>
          </w:p>
        </w:tc>
        <w:tc>
          <w:tcPr>
            <w:tcW w:w="876" w:type="dxa"/>
            <w:tcBorders>
              <w:top w:val="single" w:sz="2" w:space="0" w:color="auto"/>
              <w:left w:val="single" w:sz="2" w:space="0" w:color="auto"/>
              <w:bottom w:val="single" w:sz="2" w:space="0" w:color="auto"/>
              <w:right w:val="single" w:sz="2" w:space="0" w:color="auto"/>
            </w:tcBorders>
            <w:vAlign w:val="center"/>
          </w:tcPr>
          <w:p w14:paraId="78E4227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630C433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69487C91"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CEB559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海南龙大美食有限责任公司</w:t>
            </w:r>
          </w:p>
        </w:tc>
        <w:tc>
          <w:tcPr>
            <w:tcW w:w="876" w:type="dxa"/>
            <w:tcBorders>
              <w:top w:val="single" w:sz="2" w:space="0" w:color="auto"/>
              <w:left w:val="single" w:sz="2" w:space="0" w:color="auto"/>
              <w:bottom w:val="single" w:sz="2" w:space="0" w:color="auto"/>
              <w:right w:val="single" w:sz="2" w:space="0" w:color="auto"/>
            </w:tcBorders>
            <w:vAlign w:val="center"/>
          </w:tcPr>
          <w:p w14:paraId="3B3E1B2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58A4769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16,000</w:t>
            </w:r>
          </w:p>
        </w:tc>
        <w:tc>
          <w:tcPr>
            <w:tcW w:w="876" w:type="dxa"/>
            <w:tcBorders>
              <w:top w:val="single" w:sz="2" w:space="0" w:color="auto"/>
              <w:left w:val="single" w:sz="2" w:space="0" w:color="auto"/>
              <w:bottom w:val="single" w:sz="2" w:space="0" w:color="auto"/>
              <w:right w:val="single" w:sz="2" w:space="0" w:color="auto"/>
            </w:tcBorders>
            <w:vAlign w:val="center"/>
          </w:tcPr>
          <w:p w14:paraId="38666D6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4C7ED2A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1,258.01</w:t>
            </w:r>
          </w:p>
        </w:tc>
        <w:tc>
          <w:tcPr>
            <w:tcW w:w="876" w:type="dxa"/>
            <w:tcBorders>
              <w:top w:val="single" w:sz="2" w:space="0" w:color="auto"/>
              <w:left w:val="single" w:sz="2" w:space="0" w:color="auto"/>
              <w:bottom w:val="single" w:sz="2" w:space="0" w:color="auto"/>
              <w:right w:val="single" w:sz="2" w:space="0" w:color="auto"/>
            </w:tcBorders>
            <w:vAlign w:val="center"/>
          </w:tcPr>
          <w:p w14:paraId="3863C47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6747F0A"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E3A87DD"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67AEBF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2023.4.03-2030.6.21</w:t>
            </w:r>
          </w:p>
        </w:tc>
        <w:tc>
          <w:tcPr>
            <w:tcW w:w="876" w:type="dxa"/>
            <w:tcBorders>
              <w:top w:val="single" w:sz="2" w:space="0" w:color="auto"/>
              <w:left w:val="single" w:sz="2" w:space="0" w:color="auto"/>
              <w:bottom w:val="single" w:sz="2" w:space="0" w:color="auto"/>
              <w:right w:val="single" w:sz="2" w:space="0" w:color="auto"/>
            </w:tcBorders>
            <w:vAlign w:val="center"/>
          </w:tcPr>
          <w:p w14:paraId="74BB7C4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579AD0C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E4E5DA5"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1CDFC6C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海南龙大美食有限责任公司</w:t>
            </w:r>
          </w:p>
        </w:tc>
        <w:tc>
          <w:tcPr>
            <w:tcW w:w="876" w:type="dxa"/>
            <w:tcBorders>
              <w:top w:val="single" w:sz="2" w:space="0" w:color="auto"/>
              <w:left w:val="single" w:sz="2" w:space="0" w:color="auto"/>
              <w:bottom w:val="single" w:sz="2" w:space="0" w:color="auto"/>
              <w:right w:val="single" w:sz="2" w:space="0" w:color="auto"/>
            </w:tcBorders>
            <w:vAlign w:val="center"/>
          </w:tcPr>
          <w:p w14:paraId="4FDA978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0FF466A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16,000</w:t>
            </w:r>
          </w:p>
        </w:tc>
        <w:tc>
          <w:tcPr>
            <w:tcW w:w="876" w:type="dxa"/>
            <w:tcBorders>
              <w:top w:val="single" w:sz="2" w:space="0" w:color="auto"/>
              <w:left w:val="single" w:sz="2" w:space="0" w:color="auto"/>
              <w:bottom w:val="single" w:sz="2" w:space="0" w:color="auto"/>
              <w:right w:val="single" w:sz="2" w:space="0" w:color="auto"/>
            </w:tcBorders>
            <w:vAlign w:val="center"/>
          </w:tcPr>
          <w:p w14:paraId="2E1295C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1A095C0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731.82</w:t>
            </w:r>
          </w:p>
        </w:tc>
        <w:tc>
          <w:tcPr>
            <w:tcW w:w="876" w:type="dxa"/>
            <w:tcBorders>
              <w:top w:val="single" w:sz="2" w:space="0" w:color="auto"/>
              <w:left w:val="single" w:sz="2" w:space="0" w:color="auto"/>
              <w:bottom w:val="single" w:sz="2" w:space="0" w:color="auto"/>
              <w:right w:val="single" w:sz="2" w:space="0" w:color="auto"/>
            </w:tcBorders>
            <w:vAlign w:val="center"/>
          </w:tcPr>
          <w:p w14:paraId="741C0C6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3148410"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51B3FF0"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170CA3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2023.4.03-2030.6.21</w:t>
            </w:r>
          </w:p>
        </w:tc>
        <w:tc>
          <w:tcPr>
            <w:tcW w:w="876" w:type="dxa"/>
            <w:tcBorders>
              <w:top w:val="single" w:sz="2" w:space="0" w:color="auto"/>
              <w:left w:val="single" w:sz="2" w:space="0" w:color="auto"/>
              <w:bottom w:val="single" w:sz="2" w:space="0" w:color="auto"/>
              <w:right w:val="single" w:sz="2" w:space="0" w:color="auto"/>
            </w:tcBorders>
            <w:vAlign w:val="center"/>
          </w:tcPr>
          <w:p w14:paraId="4F0A1C0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51E160E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2D4E1BD0"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F6B6ED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海南龙大美食有限责任公司</w:t>
            </w:r>
          </w:p>
        </w:tc>
        <w:tc>
          <w:tcPr>
            <w:tcW w:w="876" w:type="dxa"/>
            <w:tcBorders>
              <w:top w:val="single" w:sz="2" w:space="0" w:color="auto"/>
              <w:left w:val="single" w:sz="2" w:space="0" w:color="auto"/>
              <w:bottom w:val="single" w:sz="2" w:space="0" w:color="auto"/>
              <w:right w:val="single" w:sz="2" w:space="0" w:color="auto"/>
            </w:tcBorders>
            <w:vAlign w:val="center"/>
          </w:tcPr>
          <w:p w14:paraId="4787F72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4621BD8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16,000</w:t>
            </w:r>
          </w:p>
        </w:tc>
        <w:tc>
          <w:tcPr>
            <w:tcW w:w="876" w:type="dxa"/>
            <w:tcBorders>
              <w:top w:val="single" w:sz="2" w:space="0" w:color="auto"/>
              <w:left w:val="single" w:sz="2" w:space="0" w:color="auto"/>
              <w:bottom w:val="single" w:sz="2" w:space="0" w:color="auto"/>
              <w:right w:val="single" w:sz="2" w:space="0" w:color="auto"/>
            </w:tcBorders>
            <w:vAlign w:val="center"/>
          </w:tcPr>
          <w:p w14:paraId="1771CC6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22</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03BA45E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100.47</w:t>
            </w:r>
          </w:p>
        </w:tc>
        <w:tc>
          <w:tcPr>
            <w:tcW w:w="876" w:type="dxa"/>
            <w:tcBorders>
              <w:top w:val="single" w:sz="2" w:space="0" w:color="auto"/>
              <w:left w:val="single" w:sz="2" w:space="0" w:color="auto"/>
              <w:bottom w:val="single" w:sz="2" w:space="0" w:color="auto"/>
              <w:right w:val="single" w:sz="2" w:space="0" w:color="auto"/>
            </w:tcBorders>
            <w:vAlign w:val="center"/>
          </w:tcPr>
          <w:p w14:paraId="1C18B69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B227CFF"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5224C47"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FD5338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2023.4.03-2030.6.21</w:t>
            </w:r>
          </w:p>
        </w:tc>
        <w:tc>
          <w:tcPr>
            <w:tcW w:w="876" w:type="dxa"/>
            <w:tcBorders>
              <w:top w:val="single" w:sz="2" w:space="0" w:color="auto"/>
              <w:left w:val="single" w:sz="2" w:space="0" w:color="auto"/>
              <w:bottom w:val="single" w:sz="2" w:space="0" w:color="auto"/>
              <w:right w:val="single" w:sz="2" w:space="0" w:color="auto"/>
            </w:tcBorders>
            <w:vAlign w:val="center"/>
          </w:tcPr>
          <w:p w14:paraId="7127C0D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1D1E451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21966B17"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88DCFD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海南龙大美食有限责任公司</w:t>
            </w:r>
          </w:p>
        </w:tc>
        <w:tc>
          <w:tcPr>
            <w:tcW w:w="876" w:type="dxa"/>
            <w:tcBorders>
              <w:top w:val="single" w:sz="2" w:space="0" w:color="auto"/>
              <w:left w:val="single" w:sz="2" w:space="0" w:color="auto"/>
              <w:bottom w:val="single" w:sz="2" w:space="0" w:color="auto"/>
              <w:right w:val="single" w:sz="2" w:space="0" w:color="auto"/>
            </w:tcBorders>
            <w:vAlign w:val="center"/>
          </w:tcPr>
          <w:p w14:paraId="636AECFA"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1812216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16,000</w:t>
            </w:r>
          </w:p>
        </w:tc>
        <w:tc>
          <w:tcPr>
            <w:tcW w:w="876" w:type="dxa"/>
            <w:tcBorders>
              <w:top w:val="single" w:sz="2" w:space="0" w:color="auto"/>
              <w:left w:val="single" w:sz="2" w:space="0" w:color="auto"/>
              <w:bottom w:val="single" w:sz="2" w:space="0" w:color="auto"/>
              <w:right w:val="single" w:sz="2" w:space="0" w:color="auto"/>
            </w:tcBorders>
            <w:vAlign w:val="center"/>
          </w:tcPr>
          <w:p w14:paraId="0A98BD3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20A0D64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794.87</w:t>
            </w:r>
          </w:p>
        </w:tc>
        <w:tc>
          <w:tcPr>
            <w:tcW w:w="876" w:type="dxa"/>
            <w:tcBorders>
              <w:top w:val="single" w:sz="2" w:space="0" w:color="auto"/>
              <w:left w:val="single" w:sz="2" w:space="0" w:color="auto"/>
              <w:bottom w:val="single" w:sz="2" w:space="0" w:color="auto"/>
              <w:right w:val="single" w:sz="2" w:space="0" w:color="auto"/>
            </w:tcBorders>
            <w:vAlign w:val="center"/>
          </w:tcPr>
          <w:p w14:paraId="55494B1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7D1ACE1"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1E22E8C"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D207F9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2023.4.03-2030.6.21</w:t>
            </w:r>
          </w:p>
        </w:tc>
        <w:tc>
          <w:tcPr>
            <w:tcW w:w="876" w:type="dxa"/>
            <w:tcBorders>
              <w:top w:val="single" w:sz="2" w:space="0" w:color="auto"/>
              <w:left w:val="single" w:sz="2" w:space="0" w:color="auto"/>
              <w:bottom w:val="single" w:sz="2" w:space="0" w:color="auto"/>
              <w:right w:val="single" w:sz="2" w:space="0" w:color="auto"/>
            </w:tcBorders>
            <w:vAlign w:val="center"/>
          </w:tcPr>
          <w:p w14:paraId="02CC59D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749F629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62F985A9"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297244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莱阳龙瑞食品有限公司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1B587AB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23</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2C69533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14:paraId="5FA950E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24</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7D924A9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14:paraId="70439EE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6D33D211"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80EC165"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91E3D3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2022.6.24-2023.6.23</w:t>
            </w:r>
          </w:p>
        </w:tc>
        <w:tc>
          <w:tcPr>
            <w:tcW w:w="876" w:type="dxa"/>
            <w:tcBorders>
              <w:top w:val="single" w:sz="2" w:space="0" w:color="auto"/>
              <w:left w:val="single" w:sz="2" w:space="0" w:color="auto"/>
              <w:bottom w:val="single" w:sz="2" w:space="0" w:color="auto"/>
              <w:right w:val="single" w:sz="2" w:space="0" w:color="auto"/>
            </w:tcBorders>
            <w:vAlign w:val="center"/>
          </w:tcPr>
          <w:p w14:paraId="481E8A98"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14:paraId="56B7C47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6D9D6519"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1989A294"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莱阳龙瑞食品有限公司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502EB6BF"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2B2592F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14:paraId="5B83851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26</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5F9687A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500</w:t>
            </w:r>
          </w:p>
        </w:tc>
        <w:tc>
          <w:tcPr>
            <w:tcW w:w="876" w:type="dxa"/>
            <w:tcBorders>
              <w:top w:val="single" w:sz="2" w:space="0" w:color="auto"/>
              <w:left w:val="single" w:sz="2" w:space="0" w:color="auto"/>
              <w:bottom w:val="single" w:sz="2" w:space="0" w:color="auto"/>
              <w:right w:val="single" w:sz="2" w:space="0" w:color="auto"/>
            </w:tcBorders>
            <w:vAlign w:val="center"/>
          </w:tcPr>
          <w:p w14:paraId="2CDEA42D"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744D2704"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EDEA808"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EE1242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2023.6.26-2024.6.25</w:t>
            </w:r>
          </w:p>
        </w:tc>
        <w:tc>
          <w:tcPr>
            <w:tcW w:w="876" w:type="dxa"/>
            <w:tcBorders>
              <w:top w:val="single" w:sz="2" w:space="0" w:color="auto"/>
              <w:left w:val="single" w:sz="2" w:space="0" w:color="auto"/>
              <w:bottom w:val="single" w:sz="2" w:space="0" w:color="auto"/>
              <w:right w:val="single" w:sz="2" w:space="0" w:color="auto"/>
            </w:tcBorders>
            <w:vAlign w:val="center"/>
          </w:tcPr>
          <w:p w14:paraId="2E35DA6B"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63090F5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3C96A6DB"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A3C65A5"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莱阳龙瑞食品有限公司</w:t>
            </w:r>
          </w:p>
        </w:tc>
        <w:tc>
          <w:tcPr>
            <w:tcW w:w="876" w:type="dxa"/>
            <w:tcBorders>
              <w:top w:val="single" w:sz="2" w:space="0" w:color="auto"/>
              <w:left w:val="single" w:sz="2" w:space="0" w:color="auto"/>
              <w:bottom w:val="single" w:sz="2" w:space="0" w:color="auto"/>
              <w:right w:val="single" w:sz="2" w:space="0" w:color="auto"/>
            </w:tcBorders>
            <w:vAlign w:val="center"/>
          </w:tcPr>
          <w:p w14:paraId="0A1444A2"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4699BE96"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1,100</w:t>
            </w:r>
          </w:p>
        </w:tc>
        <w:tc>
          <w:tcPr>
            <w:tcW w:w="876" w:type="dxa"/>
            <w:tcBorders>
              <w:top w:val="single" w:sz="2" w:space="0" w:color="auto"/>
              <w:left w:val="single" w:sz="2" w:space="0" w:color="auto"/>
              <w:bottom w:val="single" w:sz="2" w:space="0" w:color="auto"/>
              <w:right w:val="single" w:sz="2" w:space="0" w:color="auto"/>
            </w:tcBorders>
            <w:vAlign w:val="center"/>
          </w:tcPr>
          <w:p w14:paraId="13316220"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30</w:t>
            </w:r>
            <w:r w:rsidRPr="00F614F9">
              <w:rPr>
                <w:rFonts w:ascii="Times New Roman" w:eastAsia="宋体" w:hAnsi="Times New Roman" w:cs="宋体"/>
                <w:sz w:val="18"/>
                <w:szCs w:val="18"/>
              </w:rPr>
              <w:t>日</w:t>
            </w:r>
          </w:p>
        </w:tc>
        <w:tc>
          <w:tcPr>
            <w:tcW w:w="876" w:type="dxa"/>
            <w:tcBorders>
              <w:top w:val="single" w:sz="2" w:space="0" w:color="auto"/>
              <w:left w:val="single" w:sz="2" w:space="0" w:color="auto"/>
              <w:bottom w:val="single" w:sz="2" w:space="0" w:color="auto"/>
              <w:right w:val="single" w:sz="2" w:space="0" w:color="auto"/>
            </w:tcBorders>
            <w:vAlign w:val="center"/>
          </w:tcPr>
          <w:p w14:paraId="688E3319"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312.09</w:t>
            </w:r>
          </w:p>
        </w:tc>
        <w:tc>
          <w:tcPr>
            <w:tcW w:w="876" w:type="dxa"/>
            <w:tcBorders>
              <w:top w:val="single" w:sz="2" w:space="0" w:color="auto"/>
              <w:left w:val="single" w:sz="2" w:space="0" w:color="auto"/>
              <w:bottom w:val="single" w:sz="2" w:space="0" w:color="auto"/>
              <w:right w:val="single" w:sz="2" w:space="0" w:color="auto"/>
            </w:tcBorders>
            <w:vAlign w:val="center"/>
          </w:tcPr>
          <w:p w14:paraId="324B3F3E"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14:paraId="0BC5FC5A"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56EBF78" w14:textId="77777777" w:rsidR="001D26E7" w:rsidRPr="00F614F9" w:rsidRDefault="001D26E7" w:rsidP="00A3396D">
            <w:pPr>
              <w:spacing w:line="240" w:lineRule="exact"/>
              <w:jc w:val="center"/>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4B42FF7"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2021.11.30-2024.11.1</w:t>
            </w:r>
          </w:p>
        </w:tc>
        <w:tc>
          <w:tcPr>
            <w:tcW w:w="876" w:type="dxa"/>
            <w:tcBorders>
              <w:top w:val="single" w:sz="2" w:space="0" w:color="auto"/>
              <w:left w:val="single" w:sz="2" w:space="0" w:color="auto"/>
              <w:bottom w:val="single" w:sz="2" w:space="0" w:color="auto"/>
              <w:right w:val="single" w:sz="2" w:space="0" w:color="auto"/>
            </w:tcBorders>
            <w:vAlign w:val="center"/>
          </w:tcPr>
          <w:p w14:paraId="4FA0FA9C"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14:paraId="6DBB1161" w14:textId="77777777" w:rsidR="001D26E7" w:rsidRPr="00F614F9" w:rsidRDefault="00000000" w:rsidP="00A3396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64C3263A" w14:textId="77777777">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A8BF9B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报告期内审批对子</w:t>
            </w:r>
            <w:r w:rsidRPr="00F614F9">
              <w:rPr>
                <w:rFonts w:ascii="Times New Roman" w:eastAsia="宋体" w:hAnsi="Times New Roman" w:cs="宋体"/>
                <w:sz w:val="18"/>
                <w:szCs w:val="18"/>
              </w:rPr>
              <w:lastRenderedPageBreak/>
              <w:t>公司担保额度合计（</w:t>
            </w:r>
            <w:r w:rsidRPr="00F614F9">
              <w:rPr>
                <w:rFonts w:ascii="Times New Roman" w:eastAsia="宋体" w:hAnsi="Times New Roman" w:cs="宋体"/>
                <w:sz w:val="18"/>
                <w:szCs w:val="18"/>
              </w:rPr>
              <w:t>B1</w:t>
            </w:r>
            <w:r w:rsidRPr="00F614F9">
              <w:rPr>
                <w:rFonts w:ascii="Times New Roman" w:eastAsia="宋体" w:hAnsi="Times New Roman" w:cs="宋体"/>
                <w:sz w:val="18"/>
                <w:szCs w:val="18"/>
              </w:rPr>
              <w:t>）</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66F70F3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lastRenderedPageBreak/>
              <w:t>600,000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F0F53A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报告期内对子公司</w:t>
            </w:r>
            <w:r w:rsidRPr="00F614F9">
              <w:rPr>
                <w:rFonts w:ascii="Times New Roman" w:eastAsia="宋体" w:hAnsi="Times New Roman" w:cs="宋体"/>
                <w:sz w:val="18"/>
                <w:szCs w:val="18"/>
              </w:rPr>
              <w:lastRenderedPageBreak/>
              <w:t>担保实际发生额合计（</w:t>
            </w:r>
            <w:r w:rsidRPr="00F614F9">
              <w:rPr>
                <w:rFonts w:ascii="Times New Roman" w:eastAsia="宋体" w:hAnsi="Times New Roman" w:cs="宋体"/>
                <w:sz w:val="18"/>
                <w:szCs w:val="18"/>
              </w:rPr>
              <w:t>B2</w:t>
            </w:r>
            <w:r w:rsidRPr="00F614F9">
              <w:rPr>
                <w:rFonts w:ascii="Times New Roman" w:eastAsia="宋体" w:hAnsi="Times New Roman" w:cs="宋体"/>
                <w:sz w:val="18"/>
                <w:szCs w:val="18"/>
              </w:rPr>
              <w:t>）</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7A09CB2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lastRenderedPageBreak/>
              <w:t>167,142.32</w:t>
            </w:r>
          </w:p>
        </w:tc>
      </w:tr>
      <w:tr w:rsidR="001D26E7" w:rsidRPr="00F614F9" w14:paraId="469D0E99" w14:textId="77777777">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D9E6C8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w:t>
            </w:r>
            <w:proofErr w:type="gramStart"/>
            <w:r w:rsidRPr="00F614F9">
              <w:rPr>
                <w:rFonts w:ascii="Times New Roman" w:eastAsia="宋体" w:hAnsi="Times New Roman" w:cs="宋体"/>
                <w:sz w:val="18"/>
                <w:szCs w:val="18"/>
              </w:rPr>
              <w:t>期末已</w:t>
            </w:r>
            <w:proofErr w:type="gramEnd"/>
            <w:r w:rsidRPr="00F614F9">
              <w:rPr>
                <w:rFonts w:ascii="Times New Roman" w:eastAsia="宋体" w:hAnsi="Times New Roman" w:cs="宋体"/>
                <w:sz w:val="18"/>
                <w:szCs w:val="18"/>
              </w:rPr>
              <w:t>审批的对子公司担保额度合计（</w:t>
            </w:r>
            <w:r w:rsidRPr="00F614F9">
              <w:rPr>
                <w:rFonts w:ascii="Times New Roman" w:eastAsia="宋体" w:hAnsi="Times New Roman" w:cs="宋体"/>
                <w:sz w:val="18"/>
                <w:szCs w:val="18"/>
              </w:rPr>
              <w:t>B3</w:t>
            </w:r>
            <w:r w:rsidRPr="00F614F9">
              <w:rPr>
                <w:rFonts w:ascii="Times New Roman" w:eastAsia="宋体" w:hAnsi="Times New Roman" w:cs="宋体"/>
                <w:sz w:val="18"/>
                <w:szCs w:val="18"/>
              </w:rPr>
              <w:t>）</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31B6D2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600,000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DB3C02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w:t>
            </w:r>
            <w:proofErr w:type="gramStart"/>
            <w:r w:rsidRPr="00F614F9">
              <w:rPr>
                <w:rFonts w:ascii="Times New Roman" w:eastAsia="宋体" w:hAnsi="Times New Roman" w:cs="宋体"/>
                <w:sz w:val="18"/>
                <w:szCs w:val="18"/>
              </w:rPr>
              <w:t>期末对</w:t>
            </w:r>
            <w:proofErr w:type="gramEnd"/>
            <w:r w:rsidRPr="00F614F9">
              <w:rPr>
                <w:rFonts w:ascii="Times New Roman" w:eastAsia="宋体" w:hAnsi="Times New Roman" w:cs="宋体"/>
                <w:sz w:val="18"/>
                <w:szCs w:val="18"/>
              </w:rPr>
              <w:t>子公司实际担保余额合计（</w:t>
            </w:r>
            <w:r w:rsidRPr="00F614F9">
              <w:rPr>
                <w:rFonts w:ascii="Times New Roman" w:eastAsia="宋体" w:hAnsi="Times New Roman" w:cs="宋体"/>
                <w:sz w:val="18"/>
                <w:szCs w:val="18"/>
              </w:rPr>
              <w:t>B4</w:t>
            </w:r>
            <w:r w:rsidRPr="00F614F9">
              <w:rPr>
                <w:rFonts w:ascii="Times New Roman" w:eastAsia="宋体" w:hAnsi="Times New Roman" w:cs="宋体"/>
                <w:sz w:val="18"/>
                <w:szCs w:val="18"/>
              </w:rPr>
              <w:t>）</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03E0154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99,933.32</w:t>
            </w:r>
          </w:p>
        </w:tc>
      </w:tr>
      <w:tr w:rsidR="001D26E7" w:rsidRPr="00F614F9" w14:paraId="1CD0AF78" w14:textId="77777777">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1245DA3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子公司对子公司的担保情况</w:t>
            </w:r>
          </w:p>
        </w:tc>
      </w:tr>
      <w:tr w:rsidR="001D26E7" w:rsidRPr="00F614F9" w14:paraId="03821FA0"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CE8596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担保对象名称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8B975F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DF05B0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担保额度</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8E0050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52D212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实际担保金额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F5D9F9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5BF8C0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06C39F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2F8ACD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90CAF5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是否履行完毕</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6AE9B2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是否为关联方担保</w:t>
            </w:r>
          </w:p>
        </w:tc>
      </w:tr>
      <w:tr w:rsidR="001D26E7" w:rsidRPr="00F614F9" w14:paraId="522B355B" w14:textId="77777777">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204006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报告期内审批对子公司担保额度合计（</w:t>
            </w:r>
            <w:r w:rsidRPr="00F614F9">
              <w:rPr>
                <w:rFonts w:ascii="Times New Roman" w:eastAsia="宋体" w:hAnsi="Times New Roman" w:cs="宋体"/>
                <w:sz w:val="18"/>
                <w:szCs w:val="18"/>
              </w:rPr>
              <w:t>C1</w:t>
            </w:r>
            <w:r w:rsidRPr="00F614F9">
              <w:rPr>
                <w:rFonts w:ascii="Times New Roman" w:eastAsia="宋体" w:hAnsi="Times New Roman" w:cs="宋体"/>
                <w:sz w:val="18"/>
                <w:szCs w:val="18"/>
              </w:rPr>
              <w:t>）</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5E909A5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C7D6EB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报告期内对子公司担保实际发生额合计（</w:t>
            </w:r>
            <w:r w:rsidRPr="00F614F9">
              <w:rPr>
                <w:rFonts w:ascii="Times New Roman" w:eastAsia="宋体" w:hAnsi="Times New Roman" w:cs="宋体"/>
                <w:sz w:val="18"/>
                <w:szCs w:val="18"/>
              </w:rPr>
              <w:t>C2</w:t>
            </w:r>
            <w:r w:rsidRPr="00F614F9">
              <w:rPr>
                <w:rFonts w:ascii="Times New Roman" w:eastAsia="宋体" w:hAnsi="Times New Roman" w:cs="宋体"/>
                <w:sz w:val="18"/>
                <w:szCs w:val="18"/>
              </w:rPr>
              <w:t>）</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230D596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5B940B16" w14:textId="77777777">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EAAD0B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w:t>
            </w:r>
            <w:proofErr w:type="gramStart"/>
            <w:r w:rsidRPr="00F614F9">
              <w:rPr>
                <w:rFonts w:ascii="Times New Roman" w:eastAsia="宋体" w:hAnsi="Times New Roman" w:cs="宋体"/>
                <w:sz w:val="18"/>
                <w:szCs w:val="18"/>
              </w:rPr>
              <w:t>期末已</w:t>
            </w:r>
            <w:proofErr w:type="gramEnd"/>
            <w:r w:rsidRPr="00F614F9">
              <w:rPr>
                <w:rFonts w:ascii="Times New Roman" w:eastAsia="宋体" w:hAnsi="Times New Roman" w:cs="宋体"/>
                <w:sz w:val="18"/>
                <w:szCs w:val="18"/>
              </w:rPr>
              <w:t>审批的对子公司担保额度合计（</w:t>
            </w:r>
            <w:r w:rsidRPr="00F614F9">
              <w:rPr>
                <w:rFonts w:ascii="Times New Roman" w:eastAsia="宋体" w:hAnsi="Times New Roman" w:cs="宋体"/>
                <w:sz w:val="18"/>
                <w:szCs w:val="18"/>
              </w:rPr>
              <w:t>C3</w:t>
            </w:r>
            <w:r w:rsidRPr="00F614F9">
              <w:rPr>
                <w:rFonts w:ascii="Times New Roman" w:eastAsia="宋体" w:hAnsi="Times New Roman" w:cs="宋体"/>
                <w:sz w:val="18"/>
                <w:szCs w:val="18"/>
              </w:rPr>
              <w:t>）</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5A1571C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3BA470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w:t>
            </w:r>
            <w:proofErr w:type="gramStart"/>
            <w:r w:rsidRPr="00F614F9">
              <w:rPr>
                <w:rFonts w:ascii="Times New Roman" w:eastAsia="宋体" w:hAnsi="Times New Roman" w:cs="宋体"/>
                <w:sz w:val="18"/>
                <w:szCs w:val="18"/>
              </w:rPr>
              <w:t>期末对</w:t>
            </w:r>
            <w:proofErr w:type="gramEnd"/>
            <w:r w:rsidRPr="00F614F9">
              <w:rPr>
                <w:rFonts w:ascii="Times New Roman" w:eastAsia="宋体" w:hAnsi="Times New Roman" w:cs="宋体"/>
                <w:sz w:val="18"/>
                <w:szCs w:val="18"/>
              </w:rPr>
              <w:t>子公司实际担保余额合计（</w:t>
            </w:r>
            <w:r w:rsidRPr="00F614F9">
              <w:rPr>
                <w:rFonts w:ascii="Times New Roman" w:eastAsia="宋体" w:hAnsi="Times New Roman" w:cs="宋体"/>
                <w:sz w:val="18"/>
                <w:szCs w:val="18"/>
              </w:rPr>
              <w:t>C4</w:t>
            </w:r>
            <w:r w:rsidRPr="00F614F9">
              <w:rPr>
                <w:rFonts w:ascii="Times New Roman" w:eastAsia="宋体" w:hAnsi="Times New Roman" w:cs="宋体"/>
                <w:sz w:val="18"/>
                <w:szCs w:val="18"/>
              </w:rPr>
              <w:t>）</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1C4343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42A0DA7A" w14:textId="77777777">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597A447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公司担保总额（即前三大项的合计）</w:t>
            </w:r>
          </w:p>
        </w:tc>
      </w:tr>
      <w:tr w:rsidR="001D26E7" w:rsidRPr="00F614F9" w14:paraId="698B723A" w14:textId="77777777">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FEA46F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报告期内审批担保额度合计（</w:t>
            </w:r>
            <w:r w:rsidRPr="00F614F9">
              <w:rPr>
                <w:rFonts w:ascii="Times New Roman" w:eastAsia="宋体" w:hAnsi="Times New Roman" w:cs="宋体"/>
                <w:sz w:val="18"/>
                <w:szCs w:val="18"/>
              </w:rPr>
              <w:t>A1+B1+C1</w:t>
            </w:r>
            <w:r w:rsidRPr="00F614F9">
              <w:rPr>
                <w:rFonts w:ascii="Times New Roman" w:eastAsia="宋体" w:hAnsi="Times New Roman" w:cs="宋体"/>
                <w:sz w:val="18"/>
                <w:szCs w:val="18"/>
              </w:rPr>
              <w:t>）</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49B1915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600,000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C21194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报告期内担保实际发生额合计（</w:t>
            </w:r>
            <w:r w:rsidRPr="00F614F9">
              <w:rPr>
                <w:rFonts w:ascii="Times New Roman" w:eastAsia="宋体" w:hAnsi="Times New Roman" w:cs="宋体"/>
                <w:sz w:val="18"/>
                <w:szCs w:val="18"/>
              </w:rPr>
              <w:t>A2+B2+C2</w:t>
            </w:r>
            <w:r w:rsidRPr="00F614F9">
              <w:rPr>
                <w:rFonts w:ascii="Times New Roman" w:eastAsia="宋体" w:hAnsi="Times New Roman" w:cs="宋体"/>
                <w:sz w:val="18"/>
                <w:szCs w:val="18"/>
              </w:rPr>
              <w:t>）</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5CD4C4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167,142.32</w:t>
            </w:r>
          </w:p>
        </w:tc>
      </w:tr>
      <w:tr w:rsidR="001D26E7" w:rsidRPr="00F614F9" w14:paraId="6BE83105" w14:textId="77777777">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5A9FB6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w:t>
            </w:r>
            <w:proofErr w:type="gramStart"/>
            <w:r w:rsidRPr="00F614F9">
              <w:rPr>
                <w:rFonts w:ascii="Times New Roman" w:eastAsia="宋体" w:hAnsi="Times New Roman" w:cs="宋体"/>
                <w:sz w:val="18"/>
                <w:szCs w:val="18"/>
              </w:rPr>
              <w:t>期末已</w:t>
            </w:r>
            <w:proofErr w:type="gramEnd"/>
            <w:r w:rsidRPr="00F614F9">
              <w:rPr>
                <w:rFonts w:ascii="Times New Roman" w:eastAsia="宋体" w:hAnsi="Times New Roman" w:cs="宋体"/>
                <w:sz w:val="18"/>
                <w:szCs w:val="18"/>
              </w:rPr>
              <w:t>审批的担保额度合计（</w:t>
            </w:r>
            <w:r w:rsidRPr="00F614F9">
              <w:rPr>
                <w:rFonts w:ascii="Times New Roman" w:eastAsia="宋体" w:hAnsi="Times New Roman" w:cs="宋体"/>
                <w:sz w:val="18"/>
                <w:szCs w:val="18"/>
              </w:rPr>
              <w:t>A3+B3+C3</w:t>
            </w:r>
            <w:r w:rsidRPr="00F614F9">
              <w:rPr>
                <w:rFonts w:ascii="Times New Roman" w:eastAsia="宋体" w:hAnsi="Times New Roman" w:cs="宋体"/>
                <w:sz w:val="18"/>
                <w:szCs w:val="18"/>
              </w:rPr>
              <w:t>）</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051F751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600,000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2DAD94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报告期末实际担保余额合计（</w:t>
            </w:r>
            <w:r w:rsidRPr="00F614F9">
              <w:rPr>
                <w:rFonts w:ascii="Times New Roman" w:eastAsia="宋体" w:hAnsi="Times New Roman" w:cs="宋体"/>
                <w:sz w:val="18"/>
                <w:szCs w:val="18"/>
              </w:rPr>
              <w:t>A4+B4+C4</w:t>
            </w:r>
            <w:r w:rsidRPr="00F614F9">
              <w:rPr>
                <w:rFonts w:ascii="Times New Roman" w:eastAsia="宋体" w:hAnsi="Times New Roman" w:cs="宋体"/>
                <w:sz w:val="18"/>
                <w:szCs w:val="18"/>
              </w:rPr>
              <w:t>）</w:t>
            </w:r>
          </w:p>
        </w:tc>
        <w:tc>
          <w:tcPr>
            <w:tcW w:w="4381" w:type="dxa"/>
            <w:gridSpan w:val="5"/>
            <w:tcBorders>
              <w:top w:val="single" w:sz="2" w:space="0" w:color="auto"/>
              <w:left w:val="single" w:sz="2" w:space="0" w:color="auto"/>
              <w:bottom w:val="single" w:sz="2" w:space="0" w:color="auto"/>
              <w:right w:val="single" w:sz="2" w:space="0" w:color="auto"/>
            </w:tcBorders>
            <w:vAlign w:val="center"/>
          </w:tcPr>
          <w:p w14:paraId="40CF4D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99,933.32</w:t>
            </w:r>
          </w:p>
        </w:tc>
      </w:tr>
      <w:tr w:rsidR="001D26E7" w:rsidRPr="00F614F9" w14:paraId="2B4BCFB4" w14:textId="77777777">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45AD899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实际担保总额（即</w:t>
            </w:r>
            <w:r w:rsidRPr="00F614F9">
              <w:rPr>
                <w:rFonts w:ascii="Times New Roman" w:eastAsia="宋体" w:hAnsi="Times New Roman" w:cs="宋体"/>
                <w:sz w:val="18"/>
                <w:szCs w:val="18"/>
              </w:rPr>
              <w:t>A4+B4+C4</w:t>
            </w:r>
            <w:r w:rsidRPr="00F614F9">
              <w:rPr>
                <w:rFonts w:ascii="Times New Roman" w:eastAsia="宋体" w:hAnsi="Times New Roman" w:cs="宋体"/>
                <w:sz w:val="18"/>
                <w:szCs w:val="18"/>
              </w:rPr>
              <w:t>）占公司净资产的比例</w:t>
            </w:r>
          </w:p>
        </w:tc>
        <w:tc>
          <w:tcPr>
            <w:tcW w:w="6134" w:type="dxa"/>
            <w:gridSpan w:val="7"/>
            <w:tcBorders>
              <w:top w:val="single" w:sz="2" w:space="0" w:color="auto"/>
              <w:left w:val="single" w:sz="2" w:space="0" w:color="auto"/>
              <w:bottom w:val="single" w:sz="2" w:space="0" w:color="auto"/>
              <w:right w:val="single" w:sz="2" w:space="0" w:color="auto"/>
            </w:tcBorders>
            <w:vAlign w:val="center"/>
          </w:tcPr>
          <w:p w14:paraId="2D83908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67.43%</w:t>
            </w:r>
          </w:p>
        </w:tc>
      </w:tr>
      <w:tr w:rsidR="001D26E7" w:rsidRPr="00F614F9" w14:paraId="44471002" w14:textId="77777777">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166BE54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其中：</w:t>
            </w:r>
          </w:p>
        </w:tc>
      </w:tr>
      <w:tr w:rsidR="001D26E7" w:rsidRPr="00F614F9" w14:paraId="6D74F781" w14:textId="77777777">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53E004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为股东、实际控制人及其关联方提供担保的余额（</w:t>
            </w:r>
            <w:r w:rsidRPr="00F614F9">
              <w:rPr>
                <w:rFonts w:ascii="Times New Roman" w:eastAsia="宋体" w:hAnsi="Times New Roman" w:cs="宋体"/>
                <w:sz w:val="18"/>
                <w:szCs w:val="18"/>
              </w:rPr>
              <w:t>D</w:t>
            </w:r>
            <w:r w:rsidRPr="00F614F9">
              <w:rPr>
                <w:rFonts w:ascii="Times New Roman" w:eastAsia="宋体" w:hAnsi="Times New Roman" w:cs="宋体"/>
                <w:sz w:val="18"/>
                <w:szCs w:val="18"/>
              </w:rPr>
              <w:t>）</w:t>
            </w:r>
          </w:p>
        </w:tc>
        <w:tc>
          <w:tcPr>
            <w:tcW w:w="6134" w:type="dxa"/>
            <w:gridSpan w:val="7"/>
            <w:tcBorders>
              <w:top w:val="single" w:sz="2" w:space="0" w:color="auto"/>
              <w:left w:val="single" w:sz="2" w:space="0" w:color="auto"/>
              <w:bottom w:val="single" w:sz="2" w:space="0" w:color="auto"/>
              <w:right w:val="single" w:sz="2" w:space="0" w:color="auto"/>
            </w:tcBorders>
            <w:vAlign w:val="center"/>
          </w:tcPr>
          <w:p w14:paraId="669E998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144D6ED3" w14:textId="77777777">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3B480EC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直接或间接为资产负债率超过</w:t>
            </w:r>
            <w:r w:rsidRPr="00F614F9">
              <w:rPr>
                <w:rFonts w:ascii="Times New Roman" w:eastAsia="宋体" w:hAnsi="Times New Roman" w:cs="宋体"/>
                <w:sz w:val="18"/>
                <w:szCs w:val="18"/>
              </w:rPr>
              <w:t>70%</w:t>
            </w:r>
            <w:r w:rsidRPr="00F614F9">
              <w:rPr>
                <w:rFonts w:ascii="Times New Roman" w:eastAsia="宋体" w:hAnsi="Times New Roman" w:cs="宋体"/>
                <w:sz w:val="18"/>
                <w:szCs w:val="18"/>
              </w:rPr>
              <w:t>的被担保对象提供的债务担保余额（</w:t>
            </w:r>
            <w:r w:rsidRPr="00F614F9">
              <w:rPr>
                <w:rFonts w:ascii="Times New Roman" w:eastAsia="宋体" w:hAnsi="Times New Roman" w:cs="宋体"/>
                <w:sz w:val="18"/>
                <w:szCs w:val="18"/>
              </w:rPr>
              <w:t>E</w:t>
            </w:r>
            <w:r w:rsidRPr="00F614F9">
              <w:rPr>
                <w:rFonts w:ascii="Times New Roman" w:eastAsia="宋体" w:hAnsi="Times New Roman" w:cs="宋体"/>
                <w:sz w:val="18"/>
                <w:szCs w:val="18"/>
              </w:rPr>
              <w:t>）</w:t>
            </w:r>
          </w:p>
        </w:tc>
        <w:tc>
          <w:tcPr>
            <w:tcW w:w="6134" w:type="dxa"/>
            <w:gridSpan w:val="7"/>
            <w:tcBorders>
              <w:top w:val="single" w:sz="2" w:space="0" w:color="auto"/>
              <w:left w:val="single" w:sz="2" w:space="0" w:color="auto"/>
              <w:bottom w:val="single" w:sz="2" w:space="0" w:color="auto"/>
              <w:right w:val="single" w:sz="2" w:space="0" w:color="auto"/>
            </w:tcBorders>
            <w:vAlign w:val="center"/>
          </w:tcPr>
          <w:p w14:paraId="566C503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67,212.09</w:t>
            </w:r>
          </w:p>
        </w:tc>
      </w:tr>
      <w:tr w:rsidR="001D26E7" w:rsidRPr="00F614F9" w14:paraId="25E48E13" w14:textId="77777777">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9A1544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担保总额超过净资产</w:t>
            </w:r>
            <w:r w:rsidRPr="00F614F9">
              <w:rPr>
                <w:rFonts w:ascii="Times New Roman" w:eastAsia="宋体" w:hAnsi="Times New Roman" w:cs="宋体"/>
                <w:sz w:val="18"/>
                <w:szCs w:val="18"/>
              </w:rPr>
              <w:t>50%</w:t>
            </w:r>
            <w:r w:rsidRPr="00F614F9">
              <w:rPr>
                <w:rFonts w:ascii="Times New Roman" w:eastAsia="宋体" w:hAnsi="Times New Roman" w:cs="宋体"/>
                <w:sz w:val="18"/>
                <w:szCs w:val="18"/>
              </w:rPr>
              <w:t>部分的金额（</w:t>
            </w:r>
            <w:r w:rsidRPr="00F614F9">
              <w:rPr>
                <w:rFonts w:ascii="Times New Roman" w:eastAsia="宋体" w:hAnsi="Times New Roman" w:cs="宋体"/>
                <w:sz w:val="18"/>
                <w:szCs w:val="18"/>
              </w:rPr>
              <w:t>F</w:t>
            </w:r>
            <w:r w:rsidRPr="00F614F9">
              <w:rPr>
                <w:rFonts w:ascii="Times New Roman" w:eastAsia="宋体" w:hAnsi="Times New Roman" w:cs="宋体"/>
                <w:sz w:val="18"/>
                <w:szCs w:val="18"/>
              </w:rPr>
              <w:t>）</w:t>
            </w:r>
          </w:p>
        </w:tc>
        <w:tc>
          <w:tcPr>
            <w:tcW w:w="6134" w:type="dxa"/>
            <w:gridSpan w:val="7"/>
            <w:tcBorders>
              <w:top w:val="single" w:sz="2" w:space="0" w:color="auto"/>
              <w:left w:val="single" w:sz="2" w:space="0" w:color="auto"/>
              <w:bottom w:val="single" w:sz="2" w:space="0" w:color="auto"/>
              <w:right w:val="single" w:sz="2" w:space="0" w:color="auto"/>
            </w:tcBorders>
            <w:vAlign w:val="center"/>
          </w:tcPr>
          <w:p w14:paraId="3D2A96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16,868.79</w:t>
            </w:r>
          </w:p>
        </w:tc>
      </w:tr>
      <w:tr w:rsidR="001D26E7" w:rsidRPr="00F614F9" w14:paraId="20C84E67" w14:textId="77777777">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4C2B2D1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上述三项担保金额合计（</w:t>
            </w:r>
            <w:r w:rsidRPr="00F614F9">
              <w:rPr>
                <w:rFonts w:ascii="Times New Roman" w:eastAsia="宋体" w:hAnsi="Times New Roman" w:cs="宋体"/>
                <w:sz w:val="18"/>
                <w:szCs w:val="18"/>
              </w:rPr>
              <w:t>D+E+F</w:t>
            </w:r>
            <w:r w:rsidRPr="00F614F9">
              <w:rPr>
                <w:rFonts w:ascii="Times New Roman" w:eastAsia="宋体" w:hAnsi="Times New Roman" w:cs="宋体"/>
                <w:sz w:val="18"/>
                <w:szCs w:val="18"/>
              </w:rPr>
              <w:t>）</w:t>
            </w:r>
          </w:p>
        </w:tc>
        <w:tc>
          <w:tcPr>
            <w:tcW w:w="6134" w:type="dxa"/>
            <w:gridSpan w:val="7"/>
            <w:tcBorders>
              <w:top w:val="single" w:sz="2" w:space="0" w:color="auto"/>
              <w:left w:val="single" w:sz="2" w:space="0" w:color="auto"/>
              <w:bottom w:val="single" w:sz="2" w:space="0" w:color="auto"/>
              <w:right w:val="single" w:sz="2" w:space="0" w:color="auto"/>
            </w:tcBorders>
            <w:vAlign w:val="center"/>
          </w:tcPr>
          <w:p w14:paraId="2F6DC26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84,080.88</w:t>
            </w:r>
          </w:p>
        </w:tc>
      </w:tr>
    </w:tbl>
    <w:p w14:paraId="3F747C7E"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采用复合方式担保的具体情况说明</w:t>
      </w:r>
    </w:p>
    <w:p w14:paraId="72D8B4A7" w14:textId="77777777" w:rsidR="00872599" w:rsidRPr="00F614F9" w:rsidRDefault="00000000">
      <w:pPr>
        <w:pStyle w:val="a3"/>
        <w:divId w:val="874342997"/>
        <w:rPr>
          <w:rFonts w:ascii="Times New Roman" w:hAnsi="Times New Roman"/>
          <w:sz w:val="18"/>
          <w:szCs w:val="18"/>
        </w:rPr>
      </w:pPr>
      <w:r w:rsidRPr="00F614F9">
        <w:rPr>
          <w:rFonts w:ascii="Times New Roman" w:hAnsi="Times New Roman" w:hint="eastAsia"/>
          <w:sz w:val="18"/>
          <w:szCs w:val="18"/>
        </w:rPr>
        <w:t>不适用</w:t>
      </w:r>
    </w:p>
    <w:p w14:paraId="7E97646C" w14:textId="77777777" w:rsidR="001D26E7" w:rsidRPr="00F614F9" w:rsidRDefault="00000000">
      <w:pPr>
        <w:pStyle w:val="3"/>
        <w:spacing w:line="280" w:lineRule="exact"/>
        <w:jc w:val="left"/>
        <w:rPr>
          <w:rFonts w:ascii="Times New Roman" w:hAnsi="Times New Roman" w:cs="宋体"/>
          <w:b/>
          <w:bCs/>
        </w:rPr>
      </w:pPr>
      <w:bookmarkStart w:id="180" w:name="_Toc989014"/>
      <w:r w:rsidRPr="00F614F9">
        <w:rPr>
          <w:rFonts w:ascii="Times New Roman" w:hAnsi="Times New Roman" w:cs="宋体"/>
          <w:b/>
          <w:bCs/>
        </w:rPr>
        <w:t>3</w:t>
      </w:r>
      <w:r w:rsidRPr="00F614F9">
        <w:rPr>
          <w:rFonts w:ascii="Times New Roman" w:hAnsi="Times New Roman" w:cs="宋体"/>
          <w:b/>
          <w:bCs/>
        </w:rPr>
        <w:t>、委托他人进行现金资产管理情况</w:t>
      </w:r>
      <w:bookmarkEnd w:id="180"/>
    </w:p>
    <w:p w14:paraId="10F489E2"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181" w:name="_Toc989015"/>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委托理财情况</w:t>
      </w:r>
      <w:bookmarkEnd w:id="181"/>
    </w:p>
    <w:p w14:paraId="105A6651"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7713E24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公司报告期不存在委托理财。</w:t>
      </w:r>
    </w:p>
    <w:p w14:paraId="50DCA81E"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182" w:name="_Toc989016"/>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2</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委托贷款情况</w:t>
      </w:r>
      <w:bookmarkEnd w:id="182"/>
    </w:p>
    <w:p w14:paraId="3C2A5726"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3F5E14E3"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公司报告期不存在委托贷款。</w:t>
      </w:r>
    </w:p>
    <w:p w14:paraId="17541844" w14:textId="77777777" w:rsidR="001D26E7" w:rsidRPr="00F614F9" w:rsidRDefault="00000000">
      <w:pPr>
        <w:pStyle w:val="3"/>
        <w:spacing w:line="280" w:lineRule="exact"/>
        <w:jc w:val="left"/>
        <w:rPr>
          <w:rFonts w:ascii="Times New Roman" w:hAnsi="Times New Roman" w:cs="宋体"/>
          <w:b/>
          <w:bCs/>
        </w:rPr>
      </w:pPr>
      <w:bookmarkStart w:id="183" w:name="_Toc989017"/>
      <w:r w:rsidRPr="00F614F9">
        <w:rPr>
          <w:rFonts w:ascii="Times New Roman" w:hAnsi="Times New Roman" w:cs="宋体"/>
          <w:b/>
          <w:bCs/>
        </w:rPr>
        <w:lastRenderedPageBreak/>
        <w:t>4</w:t>
      </w:r>
      <w:r w:rsidRPr="00F614F9">
        <w:rPr>
          <w:rFonts w:ascii="Times New Roman" w:hAnsi="Times New Roman" w:cs="宋体"/>
          <w:b/>
          <w:bCs/>
        </w:rPr>
        <w:t>、其他重大合同</w:t>
      </w:r>
      <w:bookmarkEnd w:id="183"/>
    </w:p>
    <w:p w14:paraId="1033AD57"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298DA4C5"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公司报告期不存在其他重大合同。</w:t>
      </w:r>
    </w:p>
    <w:p w14:paraId="39F6DBF4"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84" w:name="_Toc989018"/>
      <w:bookmarkStart w:id="185" w:name="_Toc164024804"/>
      <w:r w:rsidRPr="00F614F9">
        <w:rPr>
          <w:rFonts w:ascii="Times New Roman" w:eastAsia="宋体" w:hAnsi="Times New Roman" w:cs="宋体"/>
          <w:b/>
          <w:bCs/>
          <w:sz w:val="24"/>
          <w:szCs w:val="24"/>
        </w:rPr>
        <w:t>十六、其他重大事项的说明</w:t>
      </w:r>
      <w:bookmarkEnd w:id="184"/>
      <w:bookmarkEnd w:id="185"/>
    </w:p>
    <w:p w14:paraId="4E60F6EE"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78EDF9C0" w14:textId="77777777" w:rsidR="00872599" w:rsidRPr="00F614F9" w:rsidRDefault="00000000" w:rsidP="00A3396D">
      <w:pPr>
        <w:pStyle w:val="a3"/>
        <w:spacing w:line="276" w:lineRule="auto"/>
        <w:ind w:firstLineChars="200" w:firstLine="360"/>
        <w:divId w:val="1937397489"/>
        <w:rPr>
          <w:rFonts w:ascii="Times New Roman" w:hAnsi="Times New Roman"/>
          <w:sz w:val="18"/>
          <w:szCs w:val="18"/>
        </w:rPr>
      </w:pPr>
      <w:r w:rsidRPr="00F614F9">
        <w:rPr>
          <w:rFonts w:ascii="Times New Roman" w:hAnsi="Times New Roman" w:hint="eastAsia"/>
          <w:sz w:val="18"/>
          <w:szCs w:val="18"/>
        </w:rPr>
        <w:t>报告期内，公司根据战略规划并结合各子公司的经营情况，对中和盛杰和云南福照两家控股子公司的相关业务进行了收缩。因公司前期为支持上述两家控股子公司发展，对其进行了财务资助。截止</w:t>
      </w:r>
      <w:r w:rsidRPr="00F614F9">
        <w:rPr>
          <w:rFonts w:ascii="Times New Roman" w:hAnsi="Times New Roman" w:hint="eastAsia"/>
          <w:sz w:val="18"/>
          <w:szCs w:val="18"/>
        </w:rPr>
        <w:t>2023</w:t>
      </w:r>
      <w:r w:rsidRPr="00F614F9">
        <w:rPr>
          <w:rFonts w:ascii="Times New Roman" w:hAnsi="Times New Roman" w:hint="eastAsia"/>
          <w:sz w:val="18"/>
          <w:szCs w:val="18"/>
        </w:rPr>
        <w:t>年</w:t>
      </w:r>
      <w:r w:rsidRPr="00F614F9">
        <w:rPr>
          <w:rFonts w:ascii="Times New Roman" w:hAnsi="Times New Roman" w:hint="eastAsia"/>
          <w:sz w:val="18"/>
          <w:szCs w:val="18"/>
        </w:rPr>
        <w:t>12</w:t>
      </w:r>
      <w:r w:rsidRPr="00F614F9">
        <w:rPr>
          <w:rFonts w:ascii="Times New Roman" w:hAnsi="Times New Roman" w:hint="eastAsia"/>
          <w:sz w:val="18"/>
          <w:szCs w:val="18"/>
        </w:rPr>
        <w:t>月</w:t>
      </w:r>
      <w:r w:rsidRPr="00F614F9">
        <w:rPr>
          <w:rFonts w:ascii="Times New Roman" w:hAnsi="Times New Roman" w:hint="eastAsia"/>
          <w:sz w:val="18"/>
          <w:szCs w:val="18"/>
        </w:rPr>
        <w:t>31</w:t>
      </w:r>
      <w:r w:rsidRPr="00F614F9">
        <w:rPr>
          <w:rFonts w:ascii="Times New Roman" w:hAnsi="Times New Roman" w:hint="eastAsia"/>
          <w:sz w:val="18"/>
          <w:szCs w:val="18"/>
        </w:rPr>
        <w:t>日，公司（母公司）对中和</w:t>
      </w:r>
      <w:proofErr w:type="gramStart"/>
      <w:r w:rsidRPr="00F614F9">
        <w:rPr>
          <w:rFonts w:ascii="Times New Roman" w:hAnsi="Times New Roman" w:hint="eastAsia"/>
          <w:sz w:val="18"/>
          <w:szCs w:val="18"/>
        </w:rPr>
        <w:t>盛杰及</w:t>
      </w:r>
      <w:proofErr w:type="gramEnd"/>
      <w:r w:rsidRPr="00F614F9">
        <w:rPr>
          <w:rFonts w:ascii="Times New Roman" w:hAnsi="Times New Roman" w:hint="eastAsia"/>
          <w:sz w:val="18"/>
          <w:szCs w:val="18"/>
        </w:rPr>
        <w:t>云南福</w:t>
      </w:r>
      <w:proofErr w:type="gramStart"/>
      <w:r w:rsidRPr="00F614F9">
        <w:rPr>
          <w:rFonts w:ascii="Times New Roman" w:hAnsi="Times New Roman" w:hint="eastAsia"/>
          <w:sz w:val="18"/>
          <w:szCs w:val="18"/>
        </w:rPr>
        <w:t>照应收</w:t>
      </w:r>
      <w:proofErr w:type="gramEnd"/>
      <w:r w:rsidRPr="00F614F9">
        <w:rPr>
          <w:rFonts w:ascii="Times New Roman" w:hAnsi="Times New Roman" w:hint="eastAsia"/>
          <w:sz w:val="18"/>
          <w:szCs w:val="18"/>
        </w:rPr>
        <w:t>借款合计分别约</w:t>
      </w:r>
      <w:r w:rsidRPr="00F614F9">
        <w:rPr>
          <w:rFonts w:ascii="Times New Roman" w:hAnsi="Times New Roman" w:hint="eastAsia"/>
          <w:sz w:val="18"/>
          <w:szCs w:val="18"/>
        </w:rPr>
        <w:t>4.62</w:t>
      </w:r>
      <w:r w:rsidRPr="00F614F9">
        <w:rPr>
          <w:rFonts w:ascii="Times New Roman" w:hAnsi="Times New Roman" w:hint="eastAsia"/>
          <w:sz w:val="18"/>
          <w:szCs w:val="18"/>
        </w:rPr>
        <w:t>亿元和</w:t>
      </w:r>
      <w:r w:rsidRPr="00F614F9">
        <w:rPr>
          <w:rFonts w:ascii="Times New Roman" w:hAnsi="Times New Roman" w:hint="eastAsia"/>
          <w:sz w:val="18"/>
          <w:szCs w:val="18"/>
        </w:rPr>
        <w:t>0.98</w:t>
      </w:r>
      <w:r w:rsidRPr="00F614F9">
        <w:rPr>
          <w:rFonts w:ascii="Times New Roman" w:hAnsi="Times New Roman" w:hint="eastAsia"/>
          <w:sz w:val="18"/>
          <w:szCs w:val="18"/>
        </w:rPr>
        <w:t>亿元，中和</w:t>
      </w:r>
      <w:proofErr w:type="gramStart"/>
      <w:r w:rsidRPr="00F614F9">
        <w:rPr>
          <w:rFonts w:ascii="Times New Roman" w:hAnsi="Times New Roman" w:hint="eastAsia"/>
          <w:sz w:val="18"/>
          <w:szCs w:val="18"/>
        </w:rPr>
        <w:t>盛杰及</w:t>
      </w:r>
      <w:proofErr w:type="gramEnd"/>
      <w:r w:rsidRPr="00F614F9">
        <w:rPr>
          <w:rFonts w:ascii="Times New Roman" w:hAnsi="Times New Roman" w:hint="eastAsia"/>
          <w:sz w:val="18"/>
          <w:szCs w:val="18"/>
        </w:rPr>
        <w:t>云南福照相</w:t>
      </w:r>
      <w:proofErr w:type="gramStart"/>
      <w:r w:rsidRPr="00F614F9">
        <w:rPr>
          <w:rFonts w:ascii="Times New Roman" w:hAnsi="Times New Roman" w:hint="eastAsia"/>
          <w:sz w:val="18"/>
          <w:szCs w:val="18"/>
        </w:rPr>
        <w:t>关业务</w:t>
      </w:r>
      <w:proofErr w:type="gramEnd"/>
      <w:r w:rsidRPr="00F614F9">
        <w:rPr>
          <w:rFonts w:ascii="Times New Roman" w:hAnsi="Times New Roman" w:hint="eastAsia"/>
          <w:sz w:val="18"/>
          <w:szCs w:val="18"/>
        </w:rPr>
        <w:t>收缩后，预计上述借款将无法全额归还。经公司与会计师沟通，基于谨慎性原则，拟对上述借款计提坏账。本次计提后，将减少</w:t>
      </w:r>
      <w:r w:rsidRPr="00F614F9">
        <w:rPr>
          <w:rFonts w:ascii="Times New Roman" w:hAnsi="Times New Roman" w:hint="eastAsia"/>
          <w:sz w:val="18"/>
          <w:szCs w:val="18"/>
        </w:rPr>
        <w:t>2023</w:t>
      </w:r>
      <w:r w:rsidRPr="00F614F9">
        <w:rPr>
          <w:rFonts w:ascii="Times New Roman" w:hAnsi="Times New Roman" w:hint="eastAsia"/>
          <w:sz w:val="18"/>
          <w:szCs w:val="18"/>
        </w:rPr>
        <w:t>年度归属母公司利润约</w:t>
      </w:r>
      <w:r w:rsidRPr="00F614F9">
        <w:rPr>
          <w:rFonts w:ascii="Times New Roman" w:hAnsi="Times New Roman" w:hint="eastAsia"/>
          <w:sz w:val="18"/>
          <w:szCs w:val="18"/>
        </w:rPr>
        <w:t>2.71</w:t>
      </w:r>
      <w:r w:rsidRPr="00F614F9">
        <w:rPr>
          <w:rFonts w:ascii="Times New Roman" w:hAnsi="Times New Roman" w:hint="eastAsia"/>
          <w:sz w:val="18"/>
          <w:szCs w:val="18"/>
        </w:rPr>
        <w:t>亿元。</w:t>
      </w:r>
    </w:p>
    <w:p w14:paraId="5C932D2A"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86" w:name="_Toc989019"/>
      <w:bookmarkStart w:id="187" w:name="_Toc164024805"/>
      <w:r w:rsidRPr="00F614F9">
        <w:rPr>
          <w:rFonts w:ascii="Times New Roman" w:eastAsia="宋体" w:hAnsi="Times New Roman" w:cs="宋体"/>
          <w:b/>
          <w:bCs/>
          <w:sz w:val="24"/>
          <w:szCs w:val="24"/>
        </w:rPr>
        <w:t>十七、公司子公司重大事项</w:t>
      </w:r>
      <w:bookmarkEnd w:id="186"/>
      <w:bookmarkEnd w:id="187"/>
    </w:p>
    <w:p w14:paraId="15388C30"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3566BE71" w14:textId="77777777" w:rsidR="001D26E7" w:rsidRPr="00F614F9" w:rsidRDefault="00000000">
      <w:pPr>
        <w:rPr>
          <w:rFonts w:ascii="Times New Roman" w:hAnsi="Times New Roman"/>
        </w:rPr>
      </w:pPr>
      <w:r w:rsidRPr="00F614F9">
        <w:rPr>
          <w:rFonts w:ascii="Times New Roman" w:hAnsi="Times New Roman"/>
        </w:rPr>
        <w:br w:type="page"/>
      </w:r>
    </w:p>
    <w:p w14:paraId="41A4C6F3" w14:textId="77777777" w:rsidR="001D26E7" w:rsidRPr="00F614F9" w:rsidRDefault="00000000">
      <w:pPr>
        <w:pStyle w:val="headingh1"/>
        <w:spacing w:before="340" w:after="330" w:line="773" w:lineRule="exact"/>
        <w:jc w:val="center"/>
        <w:rPr>
          <w:rFonts w:ascii="Times New Roman" w:eastAsia="宋体" w:hAnsi="Times New Roman" w:cs="宋体"/>
          <w:b/>
          <w:bCs/>
          <w:sz w:val="32"/>
          <w:szCs w:val="32"/>
        </w:rPr>
      </w:pPr>
      <w:bookmarkStart w:id="188" w:name="_Toc164024806"/>
      <w:r w:rsidRPr="00F614F9">
        <w:rPr>
          <w:rFonts w:ascii="Times New Roman" w:eastAsia="宋体" w:hAnsi="Times New Roman" w:cs="宋体"/>
          <w:b/>
          <w:bCs/>
          <w:sz w:val="32"/>
          <w:szCs w:val="32"/>
        </w:rPr>
        <w:lastRenderedPageBreak/>
        <w:t>第七节</w:t>
      </w:r>
      <w:r w:rsidRPr="00F614F9">
        <w:rPr>
          <w:rFonts w:ascii="Times New Roman" w:eastAsia="宋体" w:hAnsi="Times New Roman" w:cs="宋体"/>
          <w:b/>
          <w:bCs/>
          <w:sz w:val="32"/>
          <w:szCs w:val="32"/>
        </w:rPr>
        <w:t xml:space="preserve"> </w:t>
      </w:r>
      <w:r w:rsidRPr="00F614F9">
        <w:rPr>
          <w:rFonts w:ascii="Times New Roman" w:eastAsia="宋体" w:hAnsi="Times New Roman" w:cs="宋体"/>
          <w:b/>
          <w:bCs/>
          <w:sz w:val="32"/>
          <w:szCs w:val="32"/>
        </w:rPr>
        <w:t>股份变动及股东情况</w:t>
      </w:r>
      <w:bookmarkEnd w:id="188"/>
    </w:p>
    <w:p w14:paraId="69712035"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89" w:name="_Toc989021"/>
      <w:bookmarkStart w:id="190" w:name="_Toc164024807"/>
      <w:r w:rsidRPr="00F614F9">
        <w:rPr>
          <w:rFonts w:ascii="Times New Roman" w:eastAsia="宋体" w:hAnsi="Times New Roman" w:cs="宋体"/>
          <w:b/>
          <w:bCs/>
          <w:sz w:val="24"/>
          <w:szCs w:val="24"/>
        </w:rPr>
        <w:t>一、股份变动情况</w:t>
      </w:r>
      <w:bookmarkEnd w:id="189"/>
      <w:bookmarkEnd w:id="190"/>
    </w:p>
    <w:p w14:paraId="33ED797B" w14:textId="77777777" w:rsidR="001D26E7" w:rsidRPr="00F614F9" w:rsidRDefault="00000000">
      <w:pPr>
        <w:pStyle w:val="3"/>
        <w:spacing w:line="280" w:lineRule="exact"/>
        <w:jc w:val="left"/>
        <w:rPr>
          <w:rFonts w:ascii="Times New Roman" w:hAnsi="Times New Roman" w:cs="宋体"/>
          <w:b/>
          <w:bCs/>
        </w:rPr>
      </w:pPr>
      <w:bookmarkStart w:id="191" w:name="_Toc989022"/>
      <w:r w:rsidRPr="00F614F9">
        <w:rPr>
          <w:rFonts w:ascii="Times New Roman" w:hAnsi="Times New Roman" w:cs="宋体"/>
          <w:b/>
          <w:bCs/>
        </w:rPr>
        <w:t>1</w:t>
      </w:r>
      <w:r w:rsidRPr="00F614F9">
        <w:rPr>
          <w:rFonts w:ascii="Times New Roman" w:hAnsi="Times New Roman" w:cs="宋体"/>
          <w:b/>
          <w:bCs/>
        </w:rPr>
        <w:t>、股份变动情况</w:t>
      </w:r>
      <w:bookmarkEnd w:id="191"/>
    </w:p>
    <w:p w14:paraId="385A3090"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63"/>
        <w:gridCol w:w="964"/>
        <w:gridCol w:w="964"/>
        <w:gridCol w:w="964"/>
        <w:gridCol w:w="964"/>
        <w:gridCol w:w="964"/>
        <w:gridCol w:w="964"/>
        <w:gridCol w:w="964"/>
        <w:gridCol w:w="964"/>
        <w:gridCol w:w="964"/>
      </w:tblGrid>
      <w:tr w:rsidR="001D26E7" w:rsidRPr="00F614F9" w14:paraId="380E1B3F" w14:textId="77777777">
        <w:trPr>
          <w:trHeight w:val="240"/>
        </w:trPr>
        <w:tc>
          <w:tcPr>
            <w:tcW w:w="96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705C5B9" w14:textId="77777777" w:rsidR="001D26E7" w:rsidRPr="00F614F9" w:rsidRDefault="001D26E7">
            <w:pPr>
              <w:rPr>
                <w:rFonts w:ascii="Times New Roman" w:hAnsi="Times New Roman"/>
              </w:rPr>
            </w:pPr>
          </w:p>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37F3A0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本次变动前</w:t>
            </w:r>
          </w:p>
        </w:tc>
        <w:tc>
          <w:tcPr>
            <w:tcW w:w="4820"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32E0EC2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本次变动增减（＋，－）</w:t>
            </w:r>
          </w:p>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9CFE84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本次变动后</w:t>
            </w:r>
          </w:p>
        </w:tc>
      </w:tr>
      <w:tr w:rsidR="001D26E7" w:rsidRPr="00F614F9" w14:paraId="582DA315" w14:textId="77777777">
        <w:trPr>
          <w:trHeight w:val="240"/>
        </w:trPr>
        <w:tc>
          <w:tcPr>
            <w:tcW w:w="96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0380FB0" w14:textId="77777777" w:rsidR="001D26E7" w:rsidRPr="00F614F9" w:rsidRDefault="001D26E7">
            <w:pPr>
              <w:rPr>
                <w:rFonts w:ascii="Times New Roman" w:hAnsi="Times New Roman"/>
              </w:rPr>
            </w:pP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51BE979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17C9A49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比例</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2DBB111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发行新股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C8A6A1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送股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651558B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公积金转股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EFA16B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5B462BF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小计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2E1199A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4400C8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比例</w:t>
            </w:r>
          </w:p>
        </w:tc>
      </w:tr>
      <w:tr w:rsidR="001D26E7" w:rsidRPr="00F614F9" w14:paraId="519F9004"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69D6493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一、有限</w:t>
            </w:r>
            <w:proofErr w:type="gramStart"/>
            <w:r w:rsidRPr="00F614F9">
              <w:rPr>
                <w:rFonts w:ascii="Times New Roman" w:eastAsia="宋体" w:hAnsi="Times New Roman" w:cs="宋体"/>
                <w:sz w:val="18"/>
                <w:szCs w:val="18"/>
              </w:rPr>
              <w:t>售条件</w:t>
            </w:r>
            <w:proofErr w:type="gramEnd"/>
            <w:r w:rsidRPr="00F614F9">
              <w:rPr>
                <w:rFonts w:ascii="Times New Roman" w:eastAsia="宋体" w:hAnsi="Times New Roman" w:cs="宋体"/>
                <w:sz w:val="18"/>
                <w:szCs w:val="18"/>
              </w:rPr>
              <w:t>股份</w:t>
            </w:r>
          </w:p>
        </w:tc>
        <w:tc>
          <w:tcPr>
            <w:tcW w:w="964" w:type="dxa"/>
            <w:tcBorders>
              <w:top w:val="single" w:sz="2" w:space="0" w:color="auto"/>
              <w:left w:val="single" w:sz="2" w:space="0" w:color="auto"/>
              <w:bottom w:val="single" w:sz="2" w:space="0" w:color="auto"/>
              <w:right w:val="single" w:sz="2" w:space="0" w:color="auto"/>
            </w:tcBorders>
            <w:vAlign w:val="center"/>
          </w:tcPr>
          <w:p w14:paraId="5CC30AE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1,755,000</w:t>
            </w:r>
          </w:p>
        </w:tc>
        <w:tc>
          <w:tcPr>
            <w:tcW w:w="964" w:type="dxa"/>
            <w:tcBorders>
              <w:top w:val="single" w:sz="2" w:space="0" w:color="auto"/>
              <w:left w:val="single" w:sz="2" w:space="0" w:color="auto"/>
              <w:bottom w:val="single" w:sz="2" w:space="0" w:color="auto"/>
              <w:right w:val="single" w:sz="2" w:space="0" w:color="auto"/>
            </w:tcBorders>
            <w:vAlign w:val="center"/>
          </w:tcPr>
          <w:p w14:paraId="418751C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0.16%</w:t>
            </w:r>
          </w:p>
        </w:tc>
        <w:tc>
          <w:tcPr>
            <w:tcW w:w="964" w:type="dxa"/>
            <w:tcBorders>
              <w:top w:val="single" w:sz="2" w:space="0" w:color="auto"/>
              <w:left w:val="single" w:sz="2" w:space="0" w:color="auto"/>
              <w:bottom w:val="single" w:sz="2" w:space="0" w:color="auto"/>
              <w:right w:val="single" w:sz="2" w:space="0" w:color="auto"/>
            </w:tcBorders>
            <w:vAlign w:val="center"/>
          </w:tcPr>
          <w:p w14:paraId="7F585EA2"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C3360EA"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A19D8C8"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C9E608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292,500</w:t>
            </w:r>
          </w:p>
        </w:tc>
        <w:tc>
          <w:tcPr>
            <w:tcW w:w="964" w:type="dxa"/>
            <w:tcBorders>
              <w:top w:val="single" w:sz="2" w:space="0" w:color="auto"/>
              <w:left w:val="single" w:sz="2" w:space="0" w:color="auto"/>
              <w:bottom w:val="single" w:sz="2" w:space="0" w:color="auto"/>
              <w:right w:val="single" w:sz="2" w:space="0" w:color="auto"/>
            </w:tcBorders>
            <w:vAlign w:val="center"/>
          </w:tcPr>
          <w:p w14:paraId="52E9D5C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292,500</w:t>
            </w:r>
          </w:p>
        </w:tc>
        <w:tc>
          <w:tcPr>
            <w:tcW w:w="964" w:type="dxa"/>
            <w:tcBorders>
              <w:top w:val="single" w:sz="2" w:space="0" w:color="auto"/>
              <w:left w:val="single" w:sz="2" w:space="0" w:color="auto"/>
              <w:bottom w:val="single" w:sz="2" w:space="0" w:color="auto"/>
              <w:right w:val="single" w:sz="2" w:space="0" w:color="auto"/>
            </w:tcBorders>
            <w:vAlign w:val="center"/>
          </w:tcPr>
          <w:p w14:paraId="6FBB697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2,047,500</w:t>
            </w:r>
          </w:p>
        </w:tc>
        <w:tc>
          <w:tcPr>
            <w:tcW w:w="964" w:type="dxa"/>
            <w:tcBorders>
              <w:top w:val="single" w:sz="2" w:space="0" w:color="auto"/>
              <w:left w:val="single" w:sz="2" w:space="0" w:color="auto"/>
              <w:bottom w:val="single" w:sz="2" w:space="0" w:color="auto"/>
              <w:right w:val="single" w:sz="2" w:space="0" w:color="auto"/>
            </w:tcBorders>
            <w:vAlign w:val="center"/>
          </w:tcPr>
          <w:p w14:paraId="03C903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0.19%</w:t>
            </w:r>
          </w:p>
        </w:tc>
      </w:tr>
      <w:tr w:rsidR="001D26E7" w:rsidRPr="00F614F9" w14:paraId="5F811B63"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164C6D0"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、国家持股</w:t>
            </w:r>
          </w:p>
        </w:tc>
        <w:tc>
          <w:tcPr>
            <w:tcW w:w="964" w:type="dxa"/>
            <w:tcBorders>
              <w:top w:val="single" w:sz="2" w:space="0" w:color="auto"/>
              <w:left w:val="single" w:sz="2" w:space="0" w:color="auto"/>
              <w:bottom w:val="single" w:sz="2" w:space="0" w:color="auto"/>
              <w:right w:val="single" w:sz="2" w:space="0" w:color="auto"/>
            </w:tcBorders>
            <w:vAlign w:val="center"/>
          </w:tcPr>
          <w:p w14:paraId="422BFFD7"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D02B2B3"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B8E3D77"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AD8E029"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D1C6E3E"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6BE2958"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84519AA"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DF682FA"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450B59C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B236E99"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7047FDA"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、国有法人持股</w:t>
            </w:r>
          </w:p>
        </w:tc>
        <w:tc>
          <w:tcPr>
            <w:tcW w:w="964" w:type="dxa"/>
            <w:tcBorders>
              <w:top w:val="single" w:sz="2" w:space="0" w:color="auto"/>
              <w:left w:val="single" w:sz="2" w:space="0" w:color="auto"/>
              <w:bottom w:val="single" w:sz="2" w:space="0" w:color="auto"/>
              <w:right w:val="single" w:sz="2" w:space="0" w:color="auto"/>
            </w:tcBorders>
            <w:vAlign w:val="center"/>
          </w:tcPr>
          <w:p w14:paraId="02A9B4B4"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4385FD16"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64B0878"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790950D"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0B2C2B4"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4E448F5"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4CFC979"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2712B81"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A9EDA2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9BFFC39"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09569D0E"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、其他内资持股</w:t>
            </w:r>
          </w:p>
        </w:tc>
        <w:tc>
          <w:tcPr>
            <w:tcW w:w="964" w:type="dxa"/>
            <w:tcBorders>
              <w:top w:val="single" w:sz="2" w:space="0" w:color="auto"/>
              <w:left w:val="single" w:sz="2" w:space="0" w:color="auto"/>
              <w:bottom w:val="single" w:sz="2" w:space="0" w:color="auto"/>
              <w:right w:val="single" w:sz="2" w:space="0" w:color="auto"/>
            </w:tcBorders>
            <w:vAlign w:val="center"/>
          </w:tcPr>
          <w:p w14:paraId="5AD3E1C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1,755,000</w:t>
            </w:r>
          </w:p>
        </w:tc>
        <w:tc>
          <w:tcPr>
            <w:tcW w:w="964" w:type="dxa"/>
            <w:tcBorders>
              <w:top w:val="single" w:sz="2" w:space="0" w:color="auto"/>
              <w:left w:val="single" w:sz="2" w:space="0" w:color="auto"/>
              <w:bottom w:val="single" w:sz="2" w:space="0" w:color="auto"/>
              <w:right w:val="single" w:sz="2" w:space="0" w:color="auto"/>
            </w:tcBorders>
            <w:vAlign w:val="center"/>
          </w:tcPr>
          <w:p w14:paraId="0D8951E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0.16%</w:t>
            </w:r>
          </w:p>
        </w:tc>
        <w:tc>
          <w:tcPr>
            <w:tcW w:w="964" w:type="dxa"/>
            <w:tcBorders>
              <w:top w:val="single" w:sz="2" w:space="0" w:color="auto"/>
              <w:left w:val="single" w:sz="2" w:space="0" w:color="auto"/>
              <w:bottom w:val="single" w:sz="2" w:space="0" w:color="auto"/>
              <w:right w:val="single" w:sz="2" w:space="0" w:color="auto"/>
            </w:tcBorders>
            <w:vAlign w:val="center"/>
          </w:tcPr>
          <w:p w14:paraId="6817F71D"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A6FF876"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349BBA68"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54B05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292,500</w:t>
            </w:r>
          </w:p>
        </w:tc>
        <w:tc>
          <w:tcPr>
            <w:tcW w:w="964" w:type="dxa"/>
            <w:tcBorders>
              <w:top w:val="single" w:sz="2" w:space="0" w:color="auto"/>
              <w:left w:val="single" w:sz="2" w:space="0" w:color="auto"/>
              <w:bottom w:val="single" w:sz="2" w:space="0" w:color="auto"/>
              <w:right w:val="single" w:sz="2" w:space="0" w:color="auto"/>
            </w:tcBorders>
            <w:vAlign w:val="center"/>
          </w:tcPr>
          <w:p w14:paraId="3A13FC3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292,500</w:t>
            </w:r>
          </w:p>
        </w:tc>
        <w:tc>
          <w:tcPr>
            <w:tcW w:w="964" w:type="dxa"/>
            <w:tcBorders>
              <w:top w:val="single" w:sz="2" w:space="0" w:color="auto"/>
              <w:left w:val="single" w:sz="2" w:space="0" w:color="auto"/>
              <w:bottom w:val="single" w:sz="2" w:space="0" w:color="auto"/>
              <w:right w:val="single" w:sz="2" w:space="0" w:color="auto"/>
            </w:tcBorders>
            <w:vAlign w:val="center"/>
          </w:tcPr>
          <w:p w14:paraId="2BC0107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2,047,500</w:t>
            </w:r>
          </w:p>
        </w:tc>
        <w:tc>
          <w:tcPr>
            <w:tcW w:w="964" w:type="dxa"/>
            <w:tcBorders>
              <w:top w:val="single" w:sz="2" w:space="0" w:color="auto"/>
              <w:left w:val="single" w:sz="2" w:space="0" w:color="auto"/>
              <w:bottom w:val="single" w:sz="2" w:space="0" w:color="auto"/>
              <w:right w:val="single" w:sz="2" w:space="0" w:color="auto"/>
            </w:tcBorders>
            <w:vAlign w:val="center"/>
          </w:tcPr>
          <w:p w14:paraId="0244857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0.19%</w:t>
            </w:r>
          </w:p>
        </w:tc>
      </w:tr>
      <w:tr w:rsidR="001D26E7" w:rsidRPr="00F614F9" w14:paraId="619A5669"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53BC4B6"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其中：境内法人持股</w:t>
            </w:r>
          </w:p>
        </w:tc>
        <w:tc>
          <w:tcPr>
            <w:tcW w:w="964" w:type="dxa"/>
            <w:tcBorders>
              <w:top w:val="single" w:sz="2" w:space="0" w:color="auto"/>
              <w:left w:val="single" w:sz="2" w:space="0" w:color="auto"/>
              <w:bottom w:val="single" w:sz="2" w:space="0" w:color="auto"/>
              <w:right w:val="single" w:sz="2" w:space="0" w:color="auto"/>
            </w:tcBorders>
            <w:vAlign w:val="center"/>
          </w:tcPr>
          <w:p w14:paraId="10F67F31"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B7A450E"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CB80425"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3A840C62"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6DBD8B3"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B1547B5"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A6CCE2F"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B2EBC6A"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3AFEF218"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3C1E7B9"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8F1F639"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境内自然人持股</w:t>
            </w:r>
          </w:p>
        </w:tc>
        <w:tc>
          <w:tcPr>
            <w:tcW w:w="964" w:type="dxa"/>
            <w:tcBorders>
              <w:top w:val="single" w:sz="2" w:space="0" w:color="auto"/>
              <w:left w:val="single" w:sz="2" w:space="0" w:color="auto"/>
              <w:bottom w:val="single" w:sz="2" w:space="0" w:color="auto"/>
              <w:right w:val="single" w:sz="2" w:space="0" w:color="auto"/>
            </w:tcBorders>
            <w:vAlign w:val="center"/>
          </w:tcPr>
          <w:p w14:paraId="757FE11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1,755,000</w:t>
            </w:r>
          </w:p>
        </w:tc>
        <w:tc>
          <w:tcPr>
            <w:tcW w:w="964" w:type="dxa"/>
            <w:tcBorders>
              <w:top w:val="single" w:sz="2" w:space="0" w:color="auto"/>
              <w:left w:val="single" w:sz="2" w:space="0" w:color="auto"/>
              <w:bottom w:val="single" w:sz="2" w:space="0" w:color="auto"/>
              <w:right w:val="single" w:sz="2" w:space="0" w:color="auto"/>
            </w:tcBorders>
            <w:vAlign w:val="center"/>
          </w:tcPr>
          <w:p w14:paraId="45EC11D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0.16%</w:t>
            </w:r>
          </w:p>
        </w:tc>
        <w:tc>
          <w:tcPr>
            <w:tcW w:w="964" w:type="dxa"/>
            <w:tcBorders>
              <w:top w:val="single" w:sz="2" w:space="0" w:color="auto"/>
              <w:left w:val="single" w:sz="2" w:space="0" w:color="auto"/>
              <w:bottom w:val="single" w:sz="2" w:space="0" w:color="auto"/>
              <w:right w:val="single" w:sz="2" w:space="0" w:color="auto"/>
            </w:tcBorders>
            <w:vAlign w:val="center"/>
          </w:tcPr>
          <w:p w14:paraId="0C754C23"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AF684D4"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E526FA4"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B91AA0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292,500</w:t>
            </w:r>
          </w:p>
        </w:tc>
        <w:tc>
          <w:tcPr>
            <w:tcW w:w="964" w:type="dxa"/>
            <w:tcBorders>
              <w:top w:val="single" w:sz="2" w:space="0" w:color="auto"/>
              <w:left w:val="single" w:sz="2" w:space="0" w:color="auto"/>
              <w:bottom w:val="single" w:sz="2" w:space="0" w:color="auto"/>
              <w:right w:val="single" w:sz="2" w:space="0" w:color="auto"/>
            </w:tcBorders>
            <w:vAlign w:val="center"/>
          </w:tcPr>
          <w:p w14:paraId="0E3421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292,500</w:t>
            </w:r>
          </w:p>
        </w:tc>
        <w:tc>
          <w:tcPr>
            <w:tcW w:w="964" w:type="dxa"/>
            <w:tcBorders>
              <w:top w:val="single" w:sz="2" w:space="0" w:color="auto"/>
              <w:left w:val="single" w:sz="2" w:space="0" w:color="auto"/>
              <w:bottom w:val="single" w:sz="2" w:space="0" w:color="auto"/>
              <w:right w:val="single" w:sz="2" w:space="0" w:color="auto"/>
            </w:tcBorders>
            <w:vAlign w:val="center"/>
          </w:tcPr>
          <w:p w14:paraId="00EAF29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2,047,500</w:t>
            </w:r>
          </w:p>
        </w:tc>
        <w:tc>
          <w:tcPr>
            <w:tcW w:w="964" w:type="dxa"/>
            <w:tcBorders>
              <w:top w:val="single" w:sz="2" w:space="0" w:color="auto"/>
              <w:left w:val="single" w:sz="2" w:space="0" w:color="auto"/>
              <w:bottom w:val="single" w:sz="2" w:space="0" w:color="auto"/>
              <w:right w:val="single" w:sz="2" w:space="0" w:color="auto"/>
            </w:tcBorders>
            <w:vAlign w:val="center"/>
          </w:tcPr>
          <w:p w14:paraId="5068E91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0.19%</w:t>
            </w:r>
          </w:p>
        </w:tc>
      </w:tr>
      <w:tr w:rsidR="001D26E7" w:rsidRPr="00F614F9" w14:paraId="5B1AE05F"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20E39281"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、外资持股</w:t>
            </w:r>
          </w:p>
        </w:tc>
        <w:tc>
          <w:tcPr>
            <w:tcW w:w="964" w:type="dxa"/>
            <w:tcBorders>
              <w:top w:val="single" w:sz="2" w:space="0" w:color="auto"/>
              <w:left w:val="single" w:sz="2" w:space="0" w:color="auto"/>
              <w:bottom w:val="single" w:sz="2" w:space="0" w:color="auto"/>
              <w:right w:val="single" w:sz="2" w:space="0" w:color="auto"/>
            </w:tcBorders>
            <w:vAlign w:val="center"/>
          </w:tcPr>
          <w:p w14:paraId="557820B9"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C8C4C72"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D5D9931"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ACAB64D"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4DC0AF71"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4176B79"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4182F09A"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755104C"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55F10F8"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25F6873"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311E741B"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其中：境外法人持股</w:t>
            </w:r>
          </w:p>
        </w:tc>
        <w:tc>
          <w:tcPr>
            <w:tcW w:w="964" w:type="dxa"/>
            <w:tcBorders>
              <w:top w:val="single" w:sz="2" w:space="0" w:color="auto"/>
              <w:left w:val="single" w:sz="2" w:space="0" w:color="auto"/>
              <w:bottom w:val="single" w:sz="2" w:space="0" w:color="auto"/>
              <w:right w:val="single" w:sz="2" w:space="0" w:color="auto"/>
            </w:tcBorders>
            <w:vAlign w:val="center"/>
          </w:tcPr>
          <w:p w14:paraId="7858F03E"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70582D2"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9787559"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1D3AC6FA"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2F0312B"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39B4259"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64D1065"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57AD826"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4C2DB2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9EA78A1"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3136DD78"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境外自然人持股</w:t>
            </w:r>
          </w:p>
        </w:tc>
        <w:tc>
          <w:tcPr>
            <w:tcW w:w="964" w:type="dxa"/>
            <w:tcBorders>
              <w:top w:val="single" w:sz="2" w:space="0" w:color="auto"/>
              <w:left w:val="single" w:sz="2" w:space="0" w:color="auto"/>
              <w:bottom w:val="single" w:sz="2" w:space="0" w:color="auto"/>
              <w:right w:val="single" w:sz="2" w:space="0" w:color="auto"/>
            </w:tcBorders>
            <w:vAlign w:val="center"/>
          </w:tcPr>
          <w:p w14:paraId="20DB0855"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DDB6027"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34045F48"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6C81FF4"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67EA277"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32B8C5E"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8B4C385"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9BDA933"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C10C1D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4D6E79D"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132292A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二、无限</w:t>
            </w:r>
            <w:proofErr w:type="gramStart"/>
            <w:r w:rsidRPr="00F614F9">
              <w:rPr>
                <w:rFonts w:ascii="Times New Roman" w:eastAsia="宋体" w:hAnsi="Times New Roman" w:cs="宋体"/>
                <w:sz w:val="18"/>
                <w:szCs w:val="18"/>
              </w:rPr>
              <w:t>售条件</w:t>
            </w:r>
            <w:proofErr w:type="gramEnd"/>
            <w:r w:rsidRPr="00F614F9">
              <w:rPr>
                <w:rFonts w:ascii="Times New Roman" w:eastAsia="宋体" w:hAnsi="Times New Roman" w:cs="宋体"/>
                <w:sz w:val="18"/>
                <w:szCs w:val="18"/>
              </w:rPr>
              <w:t>股份</w:t>
            </w:r>
          </w:p>
        </w:tc>
        <w:tc>
          <w:tcPr>
            <w:tcW w:w="964" w:type="dxa"/>
            <w:tcBorders>
              <w:top w:val="single" w:sz="2" w:space="0" w:color="auto"/>
              <w:left w:val="single" w:sz="2" w:space="0" w:color="auto"/>
              <w:bottom w:val="single" w:sz="2" w:space="0" w:color="auto"/>
              <w:right w:val="single" w:sz="2" w:space="0" w:color="auto"/>
            </w:tcBorders>
            <w:vAlign w:val="center"/>
          </w:tcPr>
          <w:p w14:paraId="305FF1A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1,077,373,488</w:t>
            </w:r>
          </w:p>
        </w:tc>
        <w:tc>
          <w:tcPr>
            <w:tcW w:w="964" w:type="dxa"/>
            <w:tcBorders>
              <w:top w:val="single" w:sz="2" w:space="0" w:color="auto"/>
              <w:left w:val="single" w:sz="2" w:space="0" w:color="auto"/>
              <w:bottom w:val="single" w:sz="2" w:space="0" w:color="auto"/>
              <w:right w:val="single" w:sz="2" w:space="0" w:color="auto"/>
            </w:tcBorders>
            <w:vAlign w:val="center"/>
          </w:tcPr>
          <w:p w14:paraId="6BC71C6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99.84%</w:t>
            </w:r>
          </w:p>
        </w:tc>
        <w:tc>
          <w:tcPr>
            <w:tcW w:w="964" w:type="dxa"/>
            <w:tcBorders>
              <w:top w:val="single" w:sz="2" w:space="0" w:color="auto"/>
              <w:left w:val="single" w:sz="2" w:space="0" w:color="auto"/>
              <w:bottom w:val="single" w:sz="2" w:space="0" w:color="auto"/>
              <w:right w:val="single" w:sz="2" w:space="0" w:color="auto"/>
            </w:tcBorders>
            <w:vAlign w:val="center"/>
          </w:tcPr>
          <w:p w14:paraId="5098F80D"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1770EEC1"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2842865"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30E931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-261,156</w:t>
            </w:r>
          </w:p>
        </w:tc>
        <w:tc>
          <w:tcPr>
            <w:tcW w:w="964" w:type="dxa"/>
            <w:tcBorders>
              <w:top w:val="single" w:sz="2" w:space="0" w:color="auto"/>
              <w:left w:val="single" w:sz="2" w:space="0" w:color="auto"/>
              <w:bottom w:val="single" w:sz="2" w:space="0" w:color="auto"/>
              <w:right w:val="single" w:sz="2" w:space="0" w:color="auto"/>
            </w:tcBorders>
            <w:vAlign w:val="center"/>
          </w:tcPr>
          <w:p w14:paraId="612CCD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-261,156</w:t>
            </w:r>
          </w:p>
        </w:tc>
        <w:tc>
          <w:tcPr>
            <w:tcW w:w="964" w:type="dxa"/>
            <w:tcBorders>
              <w:top w:val="single" w:sz="2" w:space="0" w:color="auto"/>
              <w:left w:val="single" w:sz="2" w:space="0" w:color="auto"/>
              <w:bottom w:val="single" w:sz="2" w:space="0" w:color="auto"/>
              <w:right w:val="single" w:sz="2" w:space="0" w:color="auto"/>
            </w:tcBorders>
            <w:vAlign w:val="center"/>
          </w:tcPr>
          <w:p w14:paraId="0EE7427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1,077,112,332</w:t>
            </w:r>
          </w:p>
        </w:tc>
        <w:tc>
          <w:tcPr>
            <w:tcW w:w="964" w:type="dxa"/>
            <w:tcBorders>
              <w:top w:val="single" w:sz="2" w:space="0" w:color="auto"/>
              <w:left w:val="single" w:sz="2" w:space="0" w:color="auto"/>
              <w:bottom w:val="single" w:sz="2" w:space="0" w:color="auto"/>
              <w:right w:val="single" w:sz="2" w:space="0" w:color="auto"/>
            </w:tcBorders>
            <w:vAlign w:val="center"/>
          </w:tcPr>
          <w:p w14:paraId="58ECF09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99.81%</w:t>
            </w:r>
          </w:p>
        </w:tc>
      </w:tr>
      <w:tr w:rsidR="001D26E7" w:rsidRPr="00F614F9" w14:paraId="5CF32E4A"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13803732"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、人民币普通股</w:t>
            </w:r>
          </w:p>
        </w:tc>
        <w:tc>
          <w:tcPr>
            <w:tcW w:w="964" w:type="dxa"/>
            <w:tcBorders>
              <w:top w:val="single" w:sz="2" w:space="0" w:color="auto"/>
              <w:left w:val="single" w:sz="2" w:space="0" w:color="auto"/>
              <w:bottom w:val="single" w:sz="2" w:space="0" w:color="auto"/>
              <w:right w:val="single" w:sz="2" w:space="0" w:color="auto"/>
            </w:tcBorders>
            <w:vAlign w:val="center"/>
          </w:tcPr>
          <w:p w14:paraId="38D245B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1,077,373,488</w:t>
            </w:r>
          </w:p>
        </w:tc>
        <w:tc>
          <w:tcPr>
            <w:tcW w:w="964" w:type="dxa"/>
            <w:tcBorders>
              <w:top w:val="single" w:sz="2" w:space="0" w:color="auto"/>
              <w:left w:val="single" w:sz="2" w:space="0" w:color="auto"/>
              <w:bottom w:val="single" w:sz="2" w:space="0" w:color="auto"/>
              <w:right w:val="single" w:sz="2" w:space="0" w:color="auto"/>
            </w:tcBorders>
            <w:vAlign w:val="center"/>
          </w:tcPr>
          <w:p w14:paraId="75CA55E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99.84%</w:t>
            </w:r>
          </w:p>
        </w:tc>
        <w:tc>
          <w:tcPr>
            <w:tcW w:w="964" w:type="dxa"/>
            <w:tcBorders>
              <w:top w:val="single" w:sz="2" w:space="0" w:color="auto"/>
              <w:left w:val="single" w:sz="2" w:space="0" w:color="auto"/>
              <w:bottom w:val="single" w:sz="2" w:space="0" w:color="auto"/>
              <w:right w:val="single" w:sz="2" w:space="0" w:color="auto"/>
            </w:tcBorders>
            <w:vAlign w:val="center"/>
          </w:tcPr>
          <w:p w14:paraId="6E4F3F02"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1312EBA"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6DA9148"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A04267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-261,156</w:t>
            </w:r>
          </w:p>
        </w:tc>
        <w:tc>
          <w:tcPr>
            <w:tcW w:w="964" w:type="dxa"/>
            <w:tcBorders>
              <w:top w:val="single" w:sz="2" w:space="0" w:color="auto"/>
              <w:left w:val="single" w:sz="2" w:space="0" w:color="auto"/>
              <w:bottom w:val="single" w:sz="2" w:space="0" w:color="auto"/>
              <w:right w:val="single" w:sz="2" w:space="0" w:color="auto"/>
            </w:tcBorders>
            <w:vAlign w:val="center"/>
          </w:tcPr>
          <w:p w14:paraId="5C4361C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-261,156</w:t>
            </w:r>
          </w:p>
        </w:tc>
        <w:tc>
          <w:tcPr>
            <w:tcW w:w="964" w:type="dxa"/>
            <w:tcBorders>
              <w:top w:val="single" w:sz="2" w:space="0" w:color="auto"/>
              <w:left w:val="single" w:sz="2" w:space="0" w:color="auto"/>
              <w:bottom w:val="single" w:sz="2" w:space="0" w:color="auto"/>
              <w:right w:val="single" w:sz="2" w:space="0" w:color="auto"/>
            </w:tcBorders>
            <w:vAlign w:val="center"/>
          </w:tcPr>
          <w:p w14:paraId="200A763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1,077,112,332</w:t>
            </w:r>
          </w:p>
        </w:tc>
        <w:tc>
          <w:tcPr>
            <w:tcW w:w="964" w:type="dxa"/>
            <w:tcBorders>
              <w:top w:val="single" w:sz="2" w:space="0" w:color="auto"/>
              <w:left w:val="single" w:sz="2" w:space="0" w:color="auto"/>
              <w:bottom w:val="single" w:sz="2" w:space="0" w:color="auto"/>
              <w:right w:val="single" w:sz="2" w:space="0" w:color="auto"/>
            </w:tcBorders>
            <w:vAlign w:val="center"/>
          </w:tcPr>
          <w:p w14:paraId="4C65156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99.81%</w:t>
            </w:r>
          </w:p>
        </w:tc>
      </w:tr>
      <w:tr w:rsidR="001D26E7" w:rsidRPr="00F614F9" w14:paraId="63FFB4D5"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843C238"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、境内上市的外资股</w:t>
            </w:r>
          </w:p>
        </w:tc>
        <w:tc>
          <w:tcPr>
            <w:tcW w:w="964" w:type="dxa"/>
            <w:tcBorders>
              <w:top w:val="single" w:sz="2" w:space="0" w:color="auto"/>
              <w:left w:val="single" w:sz="2" w:space="0" w:color="auto"/>
              <w:bottom w:val="single" w:sz="2" w:space="0" w:color="auto"/>
              <w:right w:val="single" w:sz="2" w:space="0" w:color="auto"/>
            </w:tcBorders>
            <w:vAlign w:val="center"/>
          </w:tcPr>
          <w:p w14:paraId="5A7EC96A"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4D01D713"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AA4DF80"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21F050D"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B116523"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561F05E"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94F3244"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E485F06"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97260F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1749453"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63C930EF"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、境外上市的外资股</w:t>
            </w:r>
          </w:p>
        </w:tc>
        <w:tc>
          <w:tcPr>
            <w:tcW w:w="964" w:type="dxa"/>
            <w:tcBorders>
              <w:top w:val="single" w:sz="2" w:space="0" w:color="auto"/>
              <w:left w:val="single" w:sz="2" w:space="0" w:color="auto"/>
              <w:bottom w:val="single" w:sz="2" w:space="0" w:color="auto"/>
              <w:right w:val="single" w:sz="2" w:space="0" w:color="auto"/>
            </w:tcBorders>
            <w:vAlign w:val="center"/>
          </w:tcPr>
          <w:p w14:paraId="38672DB2"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950DC94"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E2B0E94"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34DB246D"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6112936"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B66DE9F"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4776A14"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42D65E5"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CAAD9D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706B80A"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206B3867"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、其</w:t>
            </w:r>
            <w:r w:rsidRPr="00F614F9">
              <w:rPr>
                <w:rFonts w:ascii="Times New Roman" w:eastAsia="宋体" w:hAnsi="Times New Roman" w:cs="宋体"/>
                <w:sz w:val="18"/>
                <w:szCs w:val="18"/>
              </w:rPr>
              <w:lastRenderedPageBreak/>
              <w:t>他</w:t>
            </w:r>
          </w:p>
        </w:tc>
        <w:tc>
          <w:tcPr>
            <w:tcW w:w="964" w:type="dxa"/>
            <w:tcBorders>
              <w:top w:val="single" w:sz="2" w:space="0" w:color="auto"/>
              <w:left w:val="single" w:sz="2" w:space="0" w:color="auto"/>
              <w:bottom w:val="single" w:sz="2" w:space="0" w:color="auto"/>
              <w:right w:val="single" w:sz="2" w:space="0" w:color="auto"/>
            </w:tcBorders>
            <w:vAlign w:val="center"/>
          </w:tcPr>
          <w:p w14:paraId="4C5F91D2"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96A0D4B"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448CAE38"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404681E"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181B3592"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6E2E061"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8C6C7E0"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CEE9FA8"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196FF495"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12D1650"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57CF558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三、股份总数</w:t>
            </w:r>
          </w:p>
        </w:tc>
        <w:tc>
          <w:tcPr>
            <w:tcW w:w="964" w:type="dxa"/>
            <w:tcBorders>
              <w:top w:val="single" w:sz="2" w:space="0" w:color="auto"/>
              <w:left w:val="single" w:sz="2" w:space="0" w:color="auto"/>
              <w:bottom w:val="single" w:sz="2" w:space="0" w:color="auto"/>
              <w:right w:val="single" w:sz="2" w:space="0" w:color="auto"/>
            </w:tcBorders>
            <w:vAlign w:val="center"/>
          </w:tcPr>
          <w:p w14:paraId="4810626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1,079,128,488</w:t>
            </w:r>
          </w:p>
        </w:tc>
        <w:tc>
          <w:tcPr>
            <w:tcW w:w="964" w:type="dxa"/>
            <w:tcBorders>
              <w:top w:val="single" w:sz="2" w:space="0" w:color="auto"/>
              <w:left w:val="single" w:sz="2" w:space="0" w:color="auto"/>
              <w:bottom w:val="single" w:sz="2" w:space="0" w:color="auto"/>
              <w:right w:val="single" w:sz="2" w:space="0" w:color="auto"/>
            </w:tcBorders>
            <w:vAlign w:val="center"/>
          </w:tcPr>
          <w:p w14:paraId="379CAF4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964" w:type="dxa"/>
            <w:tcBorders>
              <w:top w:val="single" w:sz="2" w:space="0" w:color="auto"/>
              <w:left w:val="single" w:sz="2" w:space="0" w:color="auto"/>
              <w:bottom w:val="single" w:sz="2" w:space="0" w:color="auto"/>
              <w:right w:val="single" w:sz="2" w:space="0" w:color="auto"/>
            </w:tcBorders>
            <w:vAlign w:val="center"/>
          </w:tcPr>
          <w:p w14:paraId="10FD6C7F"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53809F8"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31E35406" w14:textId="77777777" w:rsidR="001D26E7" w:rsidRPr="00F614F9" w:rsidRDefault="001D26E7">
            <w:pPr>
              <w:spacing w:line="240" w:lineRule="exact"/>
              <w:jc w:val="right"/>
              <w:rPr>
                <w:rFonts w:ascii="Times New Roman" w:eastAsia="宋体" w:hAnsi="Times New Roman"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91B375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31,344</w:t>
            </w:r>
          </w:p>
        </w:tc>
        <w:tc>
          <w:tcPr>
            <w:tcW w:w="964" w:type="dxa"/>
            <w:tcBorders>
              <w:top w:val="single" w:sz="2" w:space="0" w:color="auto"/>
              <w:left w:val="single" w:sz="2" w:space="0" w:color="auto"/>
              <w:bottom w:val="single" w:sz="2" w:space="0" w:color="auto"/>
              <w:right w:val="single" w:sz="2" w:space="0" w:color="auto"/>
            </w:tcBorders>
            <w:vAlign w:val="center"/>
          </w:tcPr>
          <w:p w14:paraId="24277B5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31,344</w:t>
            </w:r>
          </w:p>
        </w:tc>
        <w:tc>
          <w:tcPr>
            <w:tcW w:w="964" w:type="dxa"/>
            <w:tcBorders>
              <w:top w:val="single" w:sz="2" w:space="0" w:color="auto"/>
              <w:left w:val="single" w:sz="2" w:space="0" w:color="auto"/>
              <w:bottom w:val="single" w:sz="2" w:space="0" w:color="auto"/>
              <w:right w:val="single" w:sz="2" w:space="0" w:color="auto"/>
            </w:tcBorders>
            <w:vAlign w:val="center"/>
          </w:tcPr>
          <w:p w14:paraId="19B3BE5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1,079,159,832</w:t>
            </w:r>
          </w:p>
        </w:tc>
        <w:tc>
          <w:tcPr>
            <w:tcW w:w="964" w:type="dxa"/>
            <w:tcBorders>
              <w:top w:val="single" w:sz="2" w:space="0" w:color="auto"/>
              <w:left w:val="single" w:sz="2" w:space="0" w:color="auto"/>
              <w:bottom w:val="single" w:sz="2" w:space="0" w:color="auto"/>
              <w:right w:val="single" w:sz="2" w:space="0" w:color="auto"/>
            </w:tcBorders>
            <w:vAlign w:val="center"/>
          </w:tcPr>
          <w:p w14:paraId="1F9A654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r>
    </w:tbl>
    <w:p w14:paraId="39BDBEA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股份变动的原因</w:t>
      </w:r>
    </w:p>
    <w:p w14:paraId="3F47BA00"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3DB7732F" w14:textId="77777777" w:rsidR="00872599" w:rsidRPr="00F614F9" w:rsidRDefault="00000000" w:rsidP="00A3396D">
      <w:pPr>
        <w:pStyle w:val="a3"/>
        <w:spacing w:before="0" w:beforeAutospacing="0" w:after="0" w:afterAutospacing="0" w:line="276" w:lineRule="auto"/>
        <w:divId w:val="1972517033"/>
        <w:rPr>
          <w:rFonts w:ascii="Times New Roman" w:eastAsia="等线" w:hAnsi="Times New Roman"/>
          <w:sz w:val="21"/>
          <w:szCs w:val="21"/>
        </w:rPr>
      </w:pPr>
      <w:r w:rsidRPr="00F614F9">
        <w:rPr>
          <w:rFonts w:ascii="Times New Roman" w:hAnsi="Times New Roman" w:hint="eastAsia"/>
          <w:sz w:val="18"/>
          <w:szCs w:val="18"/>
        </w:rPr>
        <w:t xml:space="preserve">  </w:t>
      </w:r>
      <w:r w:rsidRPr="00F614F9">
        <w:rPr>
          <w:rFonts w:ascii="Times New Roman" w:hAnsi="Times New Roman" w:hint="eastAsia"/>
          <w:sz w:val="18"/>
          <w:szCs w:val="18"/>
        </w:rPr>
        <w:t>（</w:t>
      </w:r>
      <w:r w:rsidRPr="00F614F9">
        <w:rPr>
          <w:rFonts w:ascii="Times New Roman" w:hAnsi="Times New Roman" w:hint="eastAsia"/>
          <w:sz w:val="18"/>
          <w:szCs w:val="18"/>
        </w:rPr>
        <w:t>1</w:t>
      </w:r>
      <w:r w:rsidRPr="00F614F9">
        <w:rPr>
          <w:rFonts w:ascii="Times New Roman" w:hAnsi="Times New Roman" w:hint="eastAsia"/>
          <w:sz w:val="18"/>
          <w:szCs w:val="18"/>
        </w:rPr>
        <w:t>）根据公司《</w:t>
      </w:r>
      <w:r w:rsidRPr="00F614F9">
        <w:rPr>
          <w:rFonts w:ascii="Times New Roman" w:hAnsi="Times New Roman" w:hint="eastAsia"/>
          <w:sz w:val="18"/>
          <w:szCs w:val="18"/>
        </w:rPr>
        <w:t>2019</w:t>
      </w:r>
      <w:r w:rsidRPr="00F614F9">
        <w:rPr>
          <w:rFonts w:ascii="Times New Roman" w:hAnsi="Times New Roman" w:hint="eastAsia"/>
          <w:sz w:val="18"/>
          <w:szCs w:val="18"/>
        </w:rPr>
        <w:t>年股票期权与限制性股票激励计划》，公司</w:t>
      </w:r>
      <w:r w:rsidRPr="00F614F9">
        <w:rPr>
          <w:rFonts w:ascii="Times New Roman" w:hAnsi="Times New Roman" w:hint="eastAsia"/>
          <w:sz w:val="18"/>
          <w:szCs w:val="18"/>
        </w:rPr>
        <w:t>2019</w:t>
      </w:r>
      <w:r w:rsidRPr="00F614F9">
        <w:rPr>
          <w:rFonts w:ascii="Times New Roman" w:hAnsi="Times New Roman" w:hint="eastAsia"/>
          <w:sz w:val="18"/>
          <w:szCs w:val="18"/>
        </w:rPr>
        <w:t>年激励计划的第一个行权期符合行权条件的</w:t>
      </w:r>
      <w:r w:rsidRPr="00F614F9">
        <w:rPr>
          <w:rFonts w:ascii="Times New Roman" w:hAnsi="Times New Roman" w:hint="eastAsia"/>
          <w:sz w:val="18"/>
          <w:szCs w:val="18"/>
        </w:rPr>
        <w:t>217</w:t>
      </w:r>
      <w:r w:rsidRPr="00F614F9">
        <w:rPr>
          <w:rFonts w:ascii="Times New Roman" w:hAnsi="Times New Roman" w:hint="eastAsia"/>
          <w:sz w:val="18"/>
          <w:szCs w:val="18"/>
        </w:rPr>
        <w:t>名激励</w:t>
      </w:r>
      <w:proofErr w:type="gramStart"/>
      <w:r w:rsidRPr="00F614F9">
        <w:rPr>
          <w:rFonts w:ascii="Times New Roman" w:hAnsi="Times New Roman" w:hint="eastAsia"/>
          <w:sz w:val="18"/>
          <w:szCs w:val="18"/>
        </w:rPr>
        <w:t>对象获</w:t>
      </w:r>
      <w:proofErr w:type="gramEnd"/>
      <w:r w:rsidRPr="00F614F9">
        <w:rPr>
          <w:rFonts w:ascii="Times New Roman" w:hAnsi="Times New Roman" w:hint="eastAsia"/>
          <w:sz w:val="18"/>
          <w:szCs w:val="18"/>
        </w:rPr>
        <w:t>授</w:t>
      </w:r>
      <w:r w:rsidRPr="00F614F9">
        <w:rPr>
          <w:rFonts w:ascii="Times New Roman" w:hAnsi="Times New Roman" w:hint="eastAsia"/>
          <w:sz w:val="18"/>
          <w:szCs w:val="18"/>
        </w:rPr>
        <w:t>652.964</w:t>
      </w:r>
      <w:r w:rsidRPr="00F614F9">
        <w:rPr>
          <w:rFonts w:ascii="Times New Roman" w:hAnsi="Times New Roman" w:hint="eastAsia"/>
          <w:sz w:val="18"/>
          <w:szCs w:val="18"/>
        </w:rPr>
        <w:t>万份股票期权于</w:t>
      </w:r>
      <w:r w:rsidRPr="00F614F9">
        <w:rPr>
          <w:rFonts w:ascii="Times New Roman" w:hAnsi="Times New Roman" w:hint="eastAsia"/>
          <w:sz w:val="18"/>
          <w:szCs w:val="18"/>
        </w:rPr>
        <w:t>2021</w:t>
      </w:r>
      <w:r w:rsidRPr="00F614F9">
        <w:rPr>
          <w:rFonts w:ascii="Times New Roman" w:hAnsi="Times New Roman" w:hint="eastAsia"/>
          <w:sz w:val="18"/>
          <w:szCs w:val="18"/>
        </w:rPr>
        <w:t>年</w:t>
      </w:r>
      <w:r w:rsidRPr="00F614F9">
        <w:rPr>
          <w:rFonts w:ascii="Times New Roman" w:hAnsi="Times New Roman" w:hint="eastAsia"/>
          <w:sz w:val="18"/>
          <w:szCs w:val="18"/>
        </w:rPr>
        <w:t>2</w:t>
      </w:r>
      <w:r w:rsidRPr="00F614F9">
        <w:rPr>
          <w:rFonts w:ascii="Times New Roman" w:hAnsi="Times New Roman" w:hint="eastAsia"/>
          <w:sz w:val="18"/>
          <w:szCs w:val="18"/>
        </w:rPr>
        <w:t>月</w:t>
      </w:r>
      <w:r w:rsidRPr="00F614F9">
        <w:rPr>
          <w:rFonts w:ascii="Times New Roman" w:hAnsi="Times New Roman" w:hint="eastAsia"/>
          <w:sz w:val="18"/>
          <w:szCs w:val="18"/>
        </w:rPr>
        <w:t>3</w:t>
      </w:r>
      <w:r w:rsidRPr="00F614F9">
        <w:rPr>
          <w:rFonts w:ascii="Times New Roman" w:hAnsi="Times New Roman" w:hint="eastAsia"/>
          <w:sz w:val="18"/>
          <w:szCs w:val="18"/>
        </w:rPr>
        <w:t>日开始自主行权，以及公司</w:t>
      </w:r>
      <w:r w:rsidRPr="00F614F9">
        <w:rPr>
          <w:rFonts w:ascii="Times New Roman" w:hAnsi="Times New Roman" w:hint="eastAsia"/>
          <w:sz w:val="18"/>
          <w:szCs w:val="18"/>
        </w:rPr>
        <w:t>2019</w:t>
      </w:r>
      <w:r w:rsidRPr="00F614F9">
        <w:rPr>
          <w:rFonts w:ascii="Times New Roman" w:hAnsi="Times New Roman" w:hint="eastAsia"/>
          <w:sz w:val="18"/>
          <w:szCs w:val="18"/>
        </w:rPr>
        <w:t>年激励计划的第二个行权期符合行权条件的</w:t>
      </w:r>
      <w:r w:rsidRPr="00F614F9">
        <w:rPr>
          <w:rFonts w:ascii="Times New Roman" w:hAnsi="Times New Roman" w:hint="eastAsia"/>
          <w:sz w:val="18"/>
          <w:szCs w:val="18"/>
        </w:rPr>
        <w:t>209</w:t>
      </w:r>
      <w:r w:rsidRPr="00F614F9">
        <w:rPr>
          <w:rFonts w:ascii="Times New Roman" w:hAnsi="Times New Roman" w:hint="eastAsia"/>
          <w:sz w:val="18"/>
          <w:szCs w:val="18"/>
        </w:rPr>
        <w:t>名激励</w:t>
      </w:r>
      <w:proofErr w:type="gramStart"/>
      <w:r w:rsidRPr="00F614F9">
        <w:rPr>
          <w:rFonts w:ascii="Times New Roman" w:hAnsi="Times New Roman" w:hint="eastAsia"/>
          <w:sz w:val="18"/>
          <w:szCs w:val="18"/>
        </w:rPr>
        <w:t>对象获</w:t>
      </w:r>
      <w:proofErr w:type="gramEnd"/>
      <w:r w:rsidRPr="00F614F9">
        <w:rPr>
          <w:rFonts w:ascii="Times New Roman" w:hAnsi="Times New Roman" w:hint="eastAsia"/>
          <w:sz w:val="18"/>
          <w:szCs w:val="18"/>
        </w:rPr>
        <w:t>授</w:t>
      </w:r>
      <w:r w:rsidRPr="00F614F9">
        <w:rPr>
          <w:rFonts w:ascii="Times New Roman" w:hAnsi="Times New Roman" w:hint="eastAsia"/>
          <w:sz w:val="18"/>
          <w:szCs w:val="18"/>
        </w:rPr>
        <w:t>469.2714</w:t>
      </w:r>
      <w:r w:rsidRPr="00F614F9">
        <w:rPr>
          <w:rFonts w:ascii="Times New Roman" w:hAnsi="Times New Roman" w:hint="eastAsia"/>
          <w:sz w:val="18"/>
          <w:szCs w:val="18"/>
        </w:rPr>
        <w:t>万份股票期权于</w:t>
      </w:r>
      <w:r w:rsidRPr="00F614F9">
        <w:rPr>
          <w:rFonts w:ascii="Times New Roman" w:hAnsi="Times New Roman" w:hint="eastAsia"/>
          <w:sz w:val="18"/>
          <w:szCs w:val="18"/>
        </w:rPr>
        <w:t>2022</w:t>
      </w:r>
      <w:r w:rsidRPr="00F614F9">
        <w:rPr>
          <w:rFonts w:ascii="Times New Roman" w:hAnsi="Times New Roman" w:hint="eastAsia"/>
          <w:sz w:val="18"/>
          <w:szCs w:val="18"/>
        </w:rPr>
        <w:t>年</w:t>
      </w:r>
      <w:r w:rsidRPr="00F614F9">
        <w:rPr>
          <w:rFonts w:ascii="Times New Roman" w:hAnsi="Times New Roman" w:hint="eastAsia"/>
          <w:sz w:val="18"/>
          <w:szCs w:val="18"/>
        </w:rPr>
        <w:t>2</w:t>
      </w:r>
      <w:r w:rsidRPr="00F614F9">
        <w:rPr>
          <w:rFonts w:ascii="Times New Roman" w:hAnsi="Times New Roman" w:hint="eastAsia"/>
          <w:sz w:val="18"/>
          <w:szCs w:val="18"/>
        </w:rPr>
        <w:t>月</w:t>
      </w:r>
      <w:r w:rsidRPr="00F614F9">
        <w:rPr>
          <w:rFonts w:ascii="Times New Roman" w:hAnsi="Times New Roman" w:hint="eastAsia"/>
          <w:sz w:val="18"/>
          <w:szCs w:val="18"/>
        </w:rPr>
        <w:t>18</w:t>
      </w:r>
      <w:r w:rsidRPr="00F614F9">
        <w:rPr>
          <w:rFonts w:ascii="Times New Roman" w:hAnsi="Times New Roman" w:hint="eastAsia"/>
          <w:sz w:val="18"/>
          <w:szCs w:val="18"/>
        </w:rPr>
        <w:t>日开始自主行权。报告期内，公司总股本因激励对象自主行权增加</w:t>
      </w:r>
      <w:r w:rsidRPr="00F614F9">
        <w:rPr>
          <w:rFonts w:ascii="Times New Roman" w:hAnsi="Times New Roman" w:hint="eastAsia"/>
          <w:sz w:val="18"/>
          <w:szCs w:val="18"/>
        </w:rPr>
        <w:t>30,872</w:t>
      </w:r>
      <w:r w:rsidRPr="00F614F9">
        <w:rPr>
          <w:rFonts w:ascii="Times New Roman" w:hAnsi="Times New Roman" w:hint="eastAsia"/>
          <w:sz w:val="18"/>
          <w:szCs w:val="18"/>
        </w:rPr>
        <w:t>股。</w:t>
      </w:r>
    </w:p>
    <w:p w14:paraId="41CA9C1B" w14:textId="77777777" w:rsidR="00872599" w:rsidRPr="00F614F9" w:rsidRDefault="00000000" w:rsidP="00A3396D">
      <w:pPr>
        <w:pStyle w:val="a3"/>
        <w:spacing w:before="0" w:beforeAutospacing="0" w:after="0" w:afterAutospacing="0" w:line="276" w:lineRule="auto"/>
        <w:divId w:val="1972517033"/>
        <w:rPr>
          <w:rFonts w:ascii="Times New Roman" w:eastAsia="等线" w:hAnsi="Times New Roman"/>
          <w:sz w:val="21"/>
          <w:szCs w:val="21"/>
        </w:rPr>
      </w:pPr>
      <w:r w:rsidRPr="00F614F9">
        <w:rPr>
          <w:rFonts w:ascii="Times New Roman" w:hAnsi="Times New Roman" w:hint="eastAsia"/>
          <w:sz w:val="18"/>
          <w:szCs w:val="18"/>
        </w:rPr>
        <w:t xml:space="preserve">  </w:t>
      </w:r>
      <w:r w:rsidRPr="00F614F9">
        <w:rPr>
          <w:rFonts w:ascii="Times New Roman" w:hAnsi="Times New Roman" w:hint="eastAsia"/>
          <w:sz w:val="18"/>
          <w:szCs w:val="18"/>
        </w:rPr>
        <w:t>（</w:t>
      </w:r>
      <w:r w:rsidRPr="00F614F9">
        <w:rPr>
          <w:rFonts w:ascii="Times New Roman" w:hAnsi="Times New Roman" w:hint="eastAsia"/>
          <w:sz w:val="18"/>
          <w:szCs w:val="18"/>
        </w:rPr>
        <w:t>2</w:t>
      </w:r>
      <w:r w:rsidRPr="00F614F9">
        <w:rPr>
          <w:rFonts w:ascii="Times New Roman" w:hAnsi="Times New Roman" w:hint="eastAsia"/>
          <w:sz w:val="18"/>
          <w:szCs w:val="18"/>
        </w:rPr>
        <w:t>）经中国证券监督管理委员会“证监许可</w:t>
      </w:r>
      <w:r w:rsidRPr="00F614F9">
        <w:rPr>
          <w:rFonts w:ascii="Times New Roman" w:hAnsi="Times New Roman" w:hint="eastAsia"/>
          <w:sz w:val="18"/>
          <w:szCs w:val="18"/>
        </w:rPr>
        <w:t>[2020]1077</w:t>
      </w:r>
      <w:r w:rsidRPr="00F614F9">
        <w:rPr>
          <w:rFonts w:ascii="Times New Roman" w:hAnsi="Times New Roman" w:hint="eastAsia"/>
          <w:sz w:val="18"/>
          <w:szCs w:val="18"/>
        </w:rPr>
        <w:t>号”核准，公司于</w:t>
      </w:r>
      <w:r w:rsidRPr="00F614F9">
        <w:rPr>
          <w:rFonts w:ascii="Times New Roman" w:hAnsi="Times New Roman" w:hint="eastAsia"/>
          <w:sz w:val="18"/>
          <w:szCs w:val="18"/>
        </w:rPr>
        <w:t>2020</w:t>
      </w:r>
      <w:r w:rsidRPr="00F614F9">
        <w:rPr>
          <w:rFonts w:ascii="Times New Roman" w:hAnsi="Times New Roman" w:hint="eastAsia"/>
          <w:sz w:val="18"/>
          <w:szCs w:val="18"/>
        </w:rPr>
        <w:t>年</w:t>
      </w:r>
      <w:r w:rsidRPr="00F614F9">
        <w:rPr>
          <w:rFonts w:ascii="Times New Roman" w:hAnsi="Times New Roman" w:hint="eastAsia"/>
          <w:sz w:val="18"/>
          <w:szCs w:val="18"/>
        </w:rPr>
        <w:t>7</w:t>
      </w:r>
      <w:r w:rsidRPr="00F614F9">
        <w:rPr>
          <w:rFonts w:ascii="Times New Roman" w:hAnsi="Times New Roman" w:hint="eastAsia"/>
          <w:sz w:val="18"/>
          <w:szCs w:val="18"/>
        </w:rPr>
        <w:t>月</w:t>
      </w:r>
      <w:r w:rsidRPr="00F614F9">
        <w:rPr>
          <w:rFonts w:ascii="Times New Roman" w:hAnsi="Times New Roman" w:hint="eastAsia"/>
          <w:sz w:val="18"/>
          <w:szCs w:val="18"/>
        </w:rPr>
        <w:t>13</w:t>
      </w:r>
      <w:r w:rsidRPr="00F614F9">
        <w:rPr>
          <w:rFonts w:ascii="Times New Roman" w:hAnsi="Times New Roman" w:hint="eastAsia"/>
          <w:sz w:val="18"/>
          <w:szCs w:val="18"/>
        </w:rPr>
        <w:t>日公开发行了</w:t>
      </w:r>
      <w:r w:rsidRPr="00F614F9">
        <w:rPr>
          <w:rFonts w:ascii="Times New Roman" w:hAnsi="Times New Roman" w:hint="eastAsia"/>
          <w:sz w:val="18"/>
          <w:szCs w:val="18"/>
        </w:rPr>
        <w:t>950</w:t>
      </w:r>
      <w:r w:rsidRPr="00F614F9">
        <w:rPr>
          <w:rFonts w:ascii="Times New Roman" w:hAnsi="Times New Roman" w:hint="eastAsia"/>
          <w:sz w:val="18"/>
          <w:szCs w:val="18"/>
        </w:rPr>
        <w:t>万张可转换公司债</w:t>
      </w:r>
      <w:proofErr w:type="gramStart"/>
      <w:r w:rsidRPr="00F614F9">
        <w:rPr>
          <w:rFonts w:ascii="Times New Roman" w:hAnsi="Times New Roman" w:hint="eastAsia"/>
          <w:sz w:val="18"/>
          <w:szCs w:val="18"/>
        </w:rPr>
        <w:t>券</w:t>
      </w:r>
      <w:proofErr w:type="gramEnd"/>
      <w:r w:rsidRPr="00F614F9">
        <w:rPr>
          <w:rFonts w:ascii="Times New Roman" w:hAnsi="Times New Roman" w:hint="eastAsia"/>
          <w:sz w:val="18"/>
          <w:szCs w:val="18"/>
        </w:rPr>
        <w:t>，每张面值</w:t>
      </w:r>
      <w:r w:rsidRPr="00F614F9">
        <w:rPr>
          <w:rFonts w:ascii="Times New Roman" w:hAnsi="Times New Roman" w:hint="eastAsia"/>
          <w:sz w:val="18"/>
          <w:szCs w:val="18"/>
        </w:rPr>
        <w:t>100</w:t>
      </w:r>
      <w:r w:rsidRPr="00F614F9">
        <w:rPr>
          <w:rFonts w:ascii="Times New Roman" w:hAnsi="Times New Roman" w:hint="eastAsia"/>
          <w:sz w:val="18"/>
          <w:szCs w:val="18"/>
        </w:rPr>
        <w:t>元，发行总额</w:t>
      </w:r>
      <w:r w:rsidRPr="00F614F9">
        <w:rPr>
          <w:rFonts w:ascii="Times New Roman" w:hAnsi="Times New Roman" w:hint="eastAsia"/>
          <w:sz w:val="18"/>
          <w:szCs w:val="18"/>
        </w:rPr>
        <w:t>95,000.00</w:t>
      </w:r>
      <w:r w:rsidRPr="00F614F9">
        <w:rPr>
          <w:rFonts w:ascii="Times New Roman" w:hAnsi="Times New Roman" w:hint="eastAsia"/>
          <w:sz w:val="18"/>
          <w:szCs w:val="18"/>
        </w:rPr>
        <w:t>万元。并于</w:t>
      </w:r>
      <w:r w:rsidRPr="00F614F9">
        <w:rPr>
          <w:rFonts w:ascii="Times New Roman" w:hAnsi="Times New Roman" w:hint="eastAsia"/>
          <w:sz w:val="18"/>
          <w:szCs w:val="18"/>
        </w:rPr>
        <w:t>2020</w:t>
      </w:r>
      <w:r w:rsidRPr="00F614F9">
        <w:rPr>
          <w:rFonts w:ascii="Times New Roman" w:hAnsi="Times New Roman" w:hint="eastAsia"/>
          <w:sz w:val="18"/>
          <w:szCs w:val="18"/>
        </w:rPr>
        <w:t>年</w:t>
      </w:r>
      <w:r w:rsidRPr="00F614F9">
        <w:rPr>
          <w:rFonts w:ascii="Times New Roman" w:hAnsi="Times New Roman" w:hint="eastAsia"/>
          <w:sz w:val="18"/>
          <w:szCs w:val="18"/>
        </w:rPr>
        <w:t>8</w:t>
      </w:r>
      <w:r w:rsidRPr="00F614F9">
        <w:rPr>
          <w:rFonts w:ascii="Times New Roman" w:hAnsi="Times New Roman" w:hint="eastAsia"/>
          <w:sz w:val="18"/>
          <w:szCs w:val="18"/>
        </w:rPr>
        <w:t>月</w:t>
      </w:r>
      <w:r w:rsidRPr="00F614F9">
        <w:rPr>
          <w:rFonts w:ascii="Times New Roman" w:hAnsi="Times New Roman" w:hint="eastAsia"/>
          <w:sz w:val="18"/>
          <w:szCs w:val="18"/>
        </w:rPr>
        <w:t>7</w:t>
      </w:r>
      <w:r w:rsidRPr="00F614F9">
        <w:rPr>
          <w:rFonts w:ascii="Times New Roman" w:hAnsi="Times New Roman" w:hint="eastAsia"/>
          <w:sz w:val="18"/>
          <w:szCs w:val="18"/>
        </w:rPr>
        <w:t>日起在深交所挂牌交易，债券简称“龙大转债”，债券代码“</w:t>
      </w:r>
      <w:r w:rsidRPr="00F614F9">
        <w:rPr>
          <w:rFonts w:ascii="Times New Roman" w:hAnsi="Times New Roman" w:hint="eastAsia"/>
          <w:sz w:val="18"/>
          <w:szCs w:val="18"/>
        </w:rPr>
        <w:t>128119.SZ</w:t>
      </w:r>
      <w:r w:rsidRPr="00F614F9">
        <w:rPr>
          <w:rFonts w:ascii="Times New Roman" w:hAnsi="Times New Roman" w:hint="eastAsia"/>
          <w:sz w:val="18"/>
          <w:szCs w:val="18"/>
        </w:rPr>
        <w:t>”。根据《深圳证券交易所股票上市规则》等相关规定和《山东龙大肉食品股份有限公司公开发行</w:t>
      </w:r>
      <w:r w:rsidRPr="00F614F9">
        <w:rPr>
          <w:rFonts w:ascii="Times New Roman" w:hAnsi="Times New Roman" w:hint="eastAsia"/>
          <w:sz w:val="18"/>
          <w:szCs w:val="18"/>
        </w:rPr>
        <w:t>A</w:t>
      </w:r>
      <w:r w:rsidRPr="00F614F9">
        <w:rPr>
          <w:rFonts w:ascii="Times New Roman" w:hAnsi="Times New Roman" w:hint="eastAsia"/>
          <w:sz w:val="18"/>
          <w:szCs w:val="18"/>
        </w:rPr>
        <w:t>股可转换公司债券募集说明书》的约定，公司本次发行的“龙大转债”自</w:t>
      </w:r>
      <w:r w:rsidRPr="00F614F9">
        <w:rPr>
          <w:rFonts w:ascii="Times New Roman" w:hAnsi="Times New Roman" w:hint="eastAsia"/>
          <w:sz w:val="18"/>
          <w:szCs w:val="18"/>
        </w:rPr>
        <w:t>2021</w:t>
      </w:r>
      <w:r w:rsidRPr="00F614F9">
        <w:rPr>
          <w:rFonts w:ascii="Times New Roman" w:hAnsi="Times New Roman" w:hint="eastAsia"/>
          <w:sz w:val="18"/>
          <w:szCs w:val="18"/>
        </w:rPr>
        <w:t>年</w:t>
      </w:r>
      <w:r w:rsidRPr="00F614F9">
        <w:rPr>
          <w:rFonts w:ascii="Times New Roman" w:hAnsi="Times New Roman" w:hint="eastAsia"/>
          <w:sz w:val="18"/>
          <w:szCs w:val="18"/>
        </w:rPr>
        <w:t>1</w:t>
      </w:r>
      <w:r w:rsidRPr="00F614F9">
        <w:rPr>
          <w:rFonts w:ascii="Times New Roman" w:hAnsi="Times New Roman" w:hint="eastAsia"/>
          <w:sz w:val="18"/>
          <w:szCs w:val="18"/>
        </w:rPr>
        <w:t>月</w:t>
      </w:r>
      <w:r w:rsidRPr="00F614F9">
        <w:rPr>
          <w:rFonts w:ascii="Times New Roman" w:hAnsi="Times New Roman" w:hint="eastAsia"/>
          <w:sz w:val="18"/>
          <w:szCs w:val="18"/>
        </w:rPr>
        <w:t>18</w:t>
      </w:r>
      <w:r w:rsidRPr="00F614F9">
        <w:rPr>
          <w:rFonts w:ascii="Times New Roman" w:hAnsi="Times New Roman" w:hint="eastAsia"/>
          <w:sz w:val="18"/>
          <w:szCs w:val="18"/>
        </w:rPr>
        <w:t>日起可转换为公司股份。报告期内，累计转股数量为</w:t>
      </w:r>
      <w:r w:rsidRPr="00F614F9">
        <w:rPr>
          <w:rFonts w:ascii="Times New Roman" w:hAnsi="Times New Roman" w:hint="eastAsia"/>
          <w:sz w:val="18"/>
          <w:szCs w:val="18"/>
        </w:rPr>
        <w:t>472</w:t>
      </w:r>
      <w:r w:rsidRPr="00F614F9">
        <w:rPr>
          <w:rFonts w:ascii="Times New Roman" w:hAnsi="Times New Roman" w:hint="eastAsia"/>
          <w:sz w:val="18"/>
          <w:szCs w:val="18"/>
        </w:rPr>
        <w:t>股。</w:t>
      </w:r>
    </w:p>
    <w:p w14:paraId="14D37CF8" w14:textId="77777777" w:rsidR="00872599" w:rsidRPr="00F614F9" w:rsidRDefault="00000000" w:rsidP="00A3396D">
      <w:pPr>
        <w:pStyle w:val="a3"/>
        <w:spacing w:before="0" w:beforeAutospacing="0" w:after="0" w:afterAutospacing="0" w:line="276" w:lineRule="auto"/>
        <w:divId w:val="1972517033"/>
        <w:rPr>
          <w:rFonts w:ascii="Times New Roman" w:eastAsia="等线" w:hAnsi="Times New Roman"/>
          <w:sz w:val="21"/>
          <w:szCs w:val="21"/>
        </w:rPr>
      </w:pPr>
      <w:r w:rsidRPr="00F614F9">
        <w:rPr>
          <w:rFonts w:ascii="Times New Roman" w:hAnsi="Times New Roman" w:hint="eastAsia"/>
          <w:sz w:val="18"/>
          <w:szCs w:val="18"/>
        </w:rPr>
        <w:t xml:space="preserve">  </w:t>
      </w:r>
      <w:r w:rsidRPr="00F614F9">
        <w:rPr>
          <w:rFonts w:ascii="Times New Roman" w:hAnsi="Times New Roman" w:hint="eastAsia"/>
          <w:sz w:val="18"/>
          <w:szCs w:val="18"/>
        </w:rPr>
        <w:t>（</w:t>
      </w:r>
      <w:r w:rsidRPr="00F614F9">
        <w:rPr>
          <w:rFonts w:ascii="Times New Roman" w:hAnsi="Times New Roman" w:hint="eastAsia"/>
          <w:sz w:val="18"/>
          <w:szCs w:val="18"/>
        </w:rPr>
        <w:t>3</w:t>
      </w:r>
      <w:r w:rsidRPr="00F614F9">
        <w:rPr>
          <w:rFonts w:ascii="Times New Roman" w:hAnsi="Times New Roman" w:hint="eastAsia"/>
          <w:sz w:val="18"/>
          <w:szCs w:val="18"/>
        </w:rPr>
        <w:t>）因公司董事、高管持有公司股份数量及性质变动，导致限售股增加</w:t>
      </w:r>
      <w:r w:rsidRPr="00F614F9">
        <w:rPr>
          <w:rFonts w:ascii="Times New Roman" w:hAnsi="Times New Roman" w:hint="eastAsia"/>
          <w:sz w:val="18"/>
          <w:szCs w:val="18"/>
        </w:rPr>
        <w:t>292,500</w:t>
      </w:r>
      <w:r w:rsidRPr="00F614F9">
        <w:rPr>
          <w:rFonts w:ascii="Times New Roman" w:hAnsi="Times New Roman" w:hint="eastAsia"/>
          <w:sz w:val="18"/>
          <w:szCs w:val="18"/>
        </w:rPr>
        <w:t>股。</w:t>
      </w:r>
    </w:p>
    <w:p w14:paraId="106E02A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股份变动的批准情况</w:t>
      </w:r>
    </w:p>
    <w:p w14:paraId="67694C6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4DA44BE1" w14:textId="77777777" w:rsidR="00872599" w:rsidRPr="00F614F9" w:rsidRDefault="00000000" w:rsidP="00A3396D">
      <w:pPr>
        <w:pStyle w:val="a3"/>
        <w:spacing w:line="276" w:lineRule="auto"/>
        <w:ind w:firstLineChars="200" w:firstLine="360"/>
        <w:divId w:val="921597694"/>
        <w:rPr>
          <w:rFonts w:ascii="Times New Roman" w:hAnsi="Times New Roman"/>
          <w:sz w:val="18"/>
          <w:szCs w:val="18"/>
        </w:rPr>
      </w:pPr>
      <w:r w:rsidRPr="00F614F9">
        <w:rPr>
          <w:rFonts w:ascii="Times New Roman" w:hAnsi="Times New Roman" w:hint="eastAsia"/>
          <w:sz w:val="18"/>
          <w:szCs w:val="18"/>
        </w:rPr>
        <w:t>2022</w:t>
      </w:r>
      <w:r w:rsidRPr="00F614F9">
        <w:rPr>
          <w:rFonts w:ascii="Times New Roman" w:hAnsi="Times New Roman" w:hint="eastAsia"/>
          <w:sz w:val="18"/>
          <w:szCs w:val="18"/>
        </w:rPr>
        <w:t>年</w:t>
      </w:r>
      <w:r w:rsidRPr="00F614F9">
        <w:rPr>
          <w:rFonts w:ascii="Times New Roman" w:hAnsi="Times New Roman" w:hint="eastAsia"/>
          <w:sz w:val="18"/>
          <w:szCs w:val="18"/>
        </w:rPr>
        <w:t>1</w:t>
      </w:r>
      <w:r w:rsidRPr="00F614F9">
        <w:rPr>
          <w:rFonts w:ascii="Times New Roman" w:hAnsi="Times New Roman" w:hint="eastAsia"/>
          <w:sz w:val="18"/>
          <w:szCs w:val="18"/>
        </w:rPr>
        <w:t>月</w:t>
      </w:r>
      <w:r w:rsidRPr="00F614F9">
        <w:rPr>
          <w:rFonts w:ascii="Times New Roman" w:hAnsi="Times New Roman" w:hint="eastAsia"/>
          <w:sz w:val="18"/>
          <w:szCs w:val="18"/>
        </w:rPr>
        <w:t>7</w:t>
      </w:r>
      <w:r w:rsidRPr="00F614F9">
        <w:rPr>
          <w:rFonts w:ascii="Times New Roman" w:hAnsi="Times New Roman" w:hint="eastAsia"/>
          <w:sz w:val="18"/>
          <w:szCs w:val="18"/>
        </w:rPr>
        <w:t>日，公司召开第四届董事会第四十三次会议以及第四届监事会第三十二次会议，审议通过了《关于</w:t>
      </w:r>
      <w:r w:rsidRPr="00F614F9">
        <w:rPr>
          <w:rFonts w:ascii="Times New Roman" w:hAnsi="Times New Roman" w:hint="eastAsia"/>
          <w:sz w:val="18"/>
          <w:szCs w:val="18"/>
        </w:rPr>
        <w:t>2019</w:t>
      </w:r>
      <w:r w:rsidRPr="00F614F9">
        <w:rPr>
          <w:rFonts w:ascii="Times New Roman" w:hAnsi="Times New Roman" w:hint="eastAsia"/>
          <w:sz w:val="18"/>
          <w:szCs w:val="18"/>
        </w:rPr>
        <w:t>年股票期权和限制性股票激励计划第二个行权期</w:t>
      </w:r>
      <w:r w:rsidRPr="00F614F9">
        <w:rPr>
          <w:rFonts w:ascii="Times New Roman" w:hAnsi="Times New Roman" w:hint="eastAsia"/>
          <w:sz w:val="18"/>
          <w:szCs w:val="18"/>
        </w:rPr>
        <w:t>/</w:t>
      </w:r>
      <w:r w:rsidRPr="00F614F9">
        <w:rPr>
          <w:rFonts w:ascii="Times New Roman" w:hAnsi="Times New Roman" w:hint="eastAsia"/>
          <w:sz w:val="18"/>
          <w:szCs w:val="18"/>
        </w:rPr>
        <w:t>解锁期条件成就的议案》董事会认为</w:t>
      </w:r>
      <w:r w:rsidRPr="00F614F9">
        <w:rPr>
          <w:rFonts w:ascii="Times New Roman" w:hAnsi="Times New Roman" w:hint="eastAsia"/>
          <w:sz w:val="18"/>
          <w:szCs w:val="18"/>
        </w:rPr>
        <w:t>2019</w:t>
      </w:r>
      <w:r w:rsidRPr="00F614F9">
        <w:rPr>
          <w:rFonts w:ascii="Times New Roman" w:hAnsi="Times New Roman" w:hint="eastAsia"/>
          <w:sz w:val="18"/>
          <w:szCs w:val="18"/>
        </w:rPr>
        <w:t>年激励计划设定的第二个解锁期</w:t>
      </w:r>
      <w:r w:rsidRPr="00F614F9">
        <w:rPr>
          <w:rFonts w:ascii="Times New Roman" w:hAnsi="Times New Roman" w:hint="eastAsia"/>
          <w:sz w:val="18"/>
          <w:szCs w:val="18"/>
        </w:rPr>
        <w:t>/</w:t>
      </w:r>
      <w:r w:rsidRPr="00F614F9">
        <w:rPr>
          <w:rFonts w:ascii="Times New Roman" w:hAnsi="Times New Roman" w:hint="eastAsia"/>
          <w:sz w:val="18"/>
          <w:szCs w:val="18"/>
        </w:rPr>
        <w:t>行权</w:t>
      </w:r>
      <w:proofErr w:type="gramStart"/>
      <w:r w:rsidRPr="00F614F9">
        <w:rPr>
          <w:rFonts w:ascii="Times New Roman" w:hAnsi="Times New Roman" w:hint="eastAsia"/>
          <w:sz w:val="18"/>
          <w:szCs w:val="18"/>
        </w:rPr>
        <w:t>期条件</w:t>
      </w:r>
      <w:proofErr w:type="gramEnd"/>
      <w:r w:rsidRPr="00F614F9">
        <w:rPr>
          <w:rFonts w:ascii="Times New Roman" w:hAnsi="Times New Roman" w:hint="eastAsia"/>
          <w:sz w:val="18"/>
          <w:szCs w:val="18"/>
        </w:rPr>
        <w:t>已经成就，</w:t>
      </w:r>
      <w:r w:rsidRPr="00F614F9">
        <w:rPr>
          <w:rFonts w:ascii="Times New Roman" w:hAnsi="Times New Roman" w:hint="eastAsia"/>
          <w:sz w:val="18"/>
          <w:szCs w:val="18"/>
        </w:rPr>
        <w:t>209</w:t>
      </w:r>
      <w:r w:rsidRPr="00F614F9">
        <w:rPr>
          <w:rFonts w:ascii="Times New Roman" w:hAnsi="Times New Roman" w:hint="eastAsia"/>
          <w:sz w:val="18"/>
          <w:szCs w:val="18"/>
        </w:rPr>
        <w:t>名激励</w:t>
      </w:r>
      <w:proofErr w:type="gramStart"/>
      <w:r w:rsidRPr="00F614F9">
        <w:rPr>
          <w:rFonts w:ascii="Times New Roman" w:hAnsi="Times New Roman" w:hint="eastAsia"/>
          <w:sz w:val="18"/>
          <w:szCs w:val="18"/>
        </w:rPr>
        <w:t>对象获</w:t>
      </w:r>
      <w:proofErr w:type="gramEnd"/>
      <w:r w:rsidRPr="00F614F9">
        <w:rPr>
          <w:rFonts w:ascii="Times New Roman" w:hAnsi="Times New Roman" w:hint="eastAsia"/>
          <w:sz w:val="18"/>
          <w:szCs w:val="18"/>
        </w:rPr>
        <w:t>授</w:t>
      </w:r>
      <w:r w:rsidRPr="00F614F9">
        <w:rPr>
          <w:rFonts w:ascii="Times New Roman" w:hAnsi="Times New Roman" w:hint="eastAsia"/>
          <w:sz w:val="18"/>
          <w:szCs w:val="18"/>
        </w:rPr>
        <w:t>469.2714</w:t>
      </w:r>
      <w:r w:rsidRPr="00F614F9">
        <w:rPr>
          <w:rFonts w:ascii="Times New Roman" w:hAnsi="Times New Roman" w:hint="eastAsia"/>
          <w:sz w:val="18"/>
          <w:szCs w:val="18"/>
        </w:rPr>
        <w:t>万份股票期权于</w:t>
      </w:r>
      <w:r w:rsidRPr="00F614F9">
        <w:rPr>
          <w:rFonts w:ascii="Times New Roman" w:hAnsi="Times New Roman" w:hint="eastAsia"/>
          <w:sz w:val="18"/>
          <w:szCs w:val="18"/>
        </w:rPr>
        <w:t>2022</w:t>
      </w:r>
      <w:r w:rsidRPr="00F614F9">
        <w:rPr>
          <w:rFonts w:ascii="Times New Roman" w:hAnsi="Times New Roman" w:hint="eastAsia"/>
          <w:sz w:val="18"/>
          <w:szCs w:val="18"/>
        </w:rPr>
        <w:t>年</w:t>
      </w:r>
      <w:r w:rsidRPr="00F614F9">
        <w:rPr>
          <w:rFonts w:ascii="Times New Roman" w:hAnsi="Times New Roman" w:hint="eastAsia"/>
          <w:sz w:val="18"/>
          <w:szCs w:val="18"/>
        </w:rPr>
        <w:t>2</w:t>
      </w:r>
      <w:r w:rsidRPr="00F614F9">
        <w:rPr>
          <w:rFonts w:ascii="Times New Roman" w:hAnsi="Times New Roman" w:hint="eastAsia"/>
          <w:sz w:val="18"/>
          <w:szCs w:val="18"/>
        </w:rPr>
        <w:t>月</w:t>
      </w:r>
      <w:r w:rsidRPr="00F614F9">
        <w:rPr>
          <w:rFonts w:ascii="Times New Roman" w:hAnsi="Times New Roman" w:hint="eastAsia"/>
          <w:sz w:val="18"/>
          <w:szCs w:val="18"/>
        </w:rPr>
        <w:t>18</w:t>
      </w:r>
      <w:r w:rsidRPr="00F614F9">
        <w:rPr>
          <w:rFonts w:ascii="Times New Roman" w:hAnsi="Times New Roman" w:hint="eastAsia"/>
          <w:sz w:val="18"/>
          <w:szCs w:val="18"/>
        </w:rPr>
        <w:t>日开始自主行。</w:t>
      </w:r>
    </w:p>
    <w:p w14:paraId="32FFCF61"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股份变动的过户情况</w:t>
      </w:r>
    </w:p>
    <w:p w14:paraId="1AC3918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5BB1F6D3" w14:textId="77777777" w:rsidR="00872599" w:rsidRPr="00F614F9" w:rsidRDefault="00000000">
      <w:pPr>
        <w:pStyle w:val="a3"/>
        <w:divId w:val="729036199"/>
        <w:rPr>
          <w:rFonts w:ascii="Times New Roman" w:hAnsi="Times New Roman"/>
          <w:sz w:val="18"/>
          <w:szCs w:val="18"/>
        </w:rPr>
      </w:pPr>
      <w:r w:rsidRPr="00F614F9">
        <w:rPr>
          <w:rFonts w:ascii="Times New Roman" w:hAnsi="Times New Roman" w:hint="eastAsia"/>
          <w:sz w:val="18"/>
          <w:szCs w:val="18"/>
        </w:rPr>
        <w:t>上述股份变动情况均已在中国证券登记结算有限责任公司深圳分公司完成登记。</w:t>
      </w:r>
    </w:p>
    <w:p w14:paraId="5556EB3F"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股份变动对最近一年和最近一期基本每股收益和稀释每股收益、归属于公司普通股股东的每股净资产等财务指标的影响</w:t>
      </w:r>
    </w:p>
    <w:p w14:paraId="028BADA0"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3908F84"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公司认为必要或证券监管机构要求披露的其他内容</w:t>
      </w:r>
    </w:p>
    <w:p w14:paraId="1BDEA43B"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74F3DC8" w14:textId="77777777" w:rsidR="001D26E7" w:rsidRPr="00F614F9" w:rsidRDefault="00000000">
      <w:pPr>
        <w:pStyle w:val="3"/>
        <w:spacing w:line="280" w:lineRule="exact"/>
        <w:jc w:val="left"/>
        <w:rPr>
          <w:rFonts w:ascii="Times New Roman" w:hAnsi="Times New Roman" w:cs="宋体"/>
          <w:b/>
          <w:bCs/>
        </w:rPr>
      </w:pPr>
      <w:bookmarkStart w:id="192" w:name="_Toc989023"/>
      <w:r w:rsidRPr="00F614F9">
        <w:rPr>
          <w:rFonts w:ascii="Times New Roman" w:hAnsi="Times New Roman" w:cs="宋体"/>
          <w:b/>
          <w:bCs/>
        </w:rPr>
        <w:t>2</w:t>
      </w:r>
      <w:r w:rsidRPr="00F614F9">
        <w:rPr>
          <w:rFonts w:ascii="Times New Roman" w:hAnsi="Times New Roman" w:cs="宋体"/>
          <w:b/>
          <w:bCs/>
        </w:rPr>
        <w:t>、限售股份变动情况</w:t>
      </w:r>
      <w:bookmarkEnd w:id="192"/>
    </w:p>
    <w:p w14:paraId="4601ED09"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52EF41C5"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1D26E7" w:rsidRPr="00F614F9" w14:paraId="2AED902F"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FBAF1B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股东名称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1D6E5F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C405C2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本期增加限售股数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C1C9CA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本期解除限售股数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0B200D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7D719F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限售原因</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20BD4B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解除限售日期</w:t>
            </w:r>
          </w:p>
        </w:tc>
      </w:tr>
      <w:tr w:rsidR="001D26E7" w:rsidRPr="00F614F9" w14:paraId="6602C1B6"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6C12B0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张瑞</w:t>
            </w:r>
          </w:p>
        </w:tc>
        <w:tc>
          <w:tcPr>
            <w:tcW w:w="1377" w:type="dxa"/>
            <w:tcBorders>
              <w:top w:val="single" w:sz="2" w:space="0" w:color="auto"/>
              <w:left w:val="single" w:sz="2" w:space="0" w:color="auto"/>
              <w:bottom w:val="single" w:sz="2" w:space="0" w:color="auto"/>
              <w:right w:val="single" w:sz="2" w:space="0" w:color="auto"/>
            </w:tcBorders>
            <w:vAlign w:val="center"/>
          </w:tcPr>
          <w:p w14:paraId="6B9C57C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819,000.00</w:t>
            </w:r>
          </w:p>
        </w:tc>
        <w:tc>
          <w:tcPr>
            <w:tcW w:w="1377" w:type="dxa"/>
            <w:tcBorders>
              <w:top w:val="single" w:sz="2" w:space="0" w:color="auto"/>
              <w:left w:val="single" w:sz="2" w:space="0" w:color="auto"/>
              <w:bottom w:val="single" w:sz="2" w:space="0" w:color="auto"/>
              <w:right w:val="single" w:sz="2" w:space="0" w:color="auto"/>
            </w:tcBorders>
            <w:vAlign w:val="center"/>
          </w:tcPr>
          <w:p w14:paraId="67DF412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7AD4793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443B4EA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819,000.00</w:t>
            </w:r>
          </w:p>
        </w:tc>
        <w:tc>
          <w:tcPr>
            <w:tcW w:w="1377" w:type="dxa"/>
            <w:tcBorders>
              <w:top w:val="single" w:sz="2" w:space="0" w:color="auto"/>
              <w:left w:val="single" w:sz="2" w:space="0" w:color="auto"/>
              <w:bottom w:val="single" w:sz="2" w:space="0" w:color="auto"/>
              <w:right w:val="single" w:sz="2" w:space="0" w:color="auto"/>
            </w:tcBorders>
            <w:vAlign w:val="center"/>
          </w:tcPr>
          <w:p w14:paraId="3246546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高管</w:t>
            </w:r>
            <w:proofErr w:type="gramStart"/>
            <w:r w:rsidRPr="00F614F9">
              <w:rPr>
                <w:rFonts w:ascii="Times New Roman" w:eastAsia="宋体" w:hAnsi="Times New Roman" w:cs="宋体"/>
                <w:sz w:val="18"/>
                <w:szCs w:val="18"/>
              </w:rPr>
              <w:t>锁定股</w:t>
            </w:r>
            <w:proofErr w:type="gramEnd"/>
          </w:p>
        </w:tc>
        <w:tc>
          <w:tcPr>
            <w:tcW w:w="1377" w:type="dxa"/>
            <w:tcBorders>
              <w:top w:val="single" w:sz="2" w:space="0" w:color="auto"/>
              <w:left w:val="single" w:sz="2" w:space="0" w:color="auto"/>
              <w:bottom w:val="single" w:sz="2" w:space="0" w:color="auto"/>
              <w:right w:val="single" w:sz="2" w:space="0" w:color="auto"/>
            </w:tcBorders>
            <w:vAlign w:val="center"/>
          </w:tcPr>
          <w:p w14:paraId="4F21FD6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按高管</w:t>
            </w:r>
            <w:proofErr w:type="gramStart"/>
            <w:r w:rsidRPr="00F614F9">
              <w:rPr>
                <w:rFonts w:ascii="Times New Roman" w:eastAsia="宋体" w:hAnsi="Times New Roman" w:cs="宋体"/>
                <w:sz w:val="18"/>
                <w:szCs w:val="18"/>
              </w:rPr>
              <w:t>锁定股</w:t>
            </w:r>
            <w:proofErr w:type="gramEnd"/>
            <w:r w:rsidRPr="00F614F9">
              <w:rPr>
                <w:rFonts w:ascii="Times New Roman" w:eastAsia="宋体" w:hAnsi="Times New Roman" w:cs="宋体"/>
                <w:sz w:val="18"/>
                <w:szCs w:val="18"/>
              </w:rPr>
              <w:t>规则执行</w:t>
            </w:r>
          </w:p>
        </w:tc>
      </w:tr>
      <w:tr w:rsidR="001D26E7" w:rsidRPr="00F614F9" w14:paraId="51A71BCC"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2CE61E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余宇</w:t>
            </w:r>
          </w:p>
        </w:tc>
        <w:tc>
          <w:tcPr>
            <w:tcW w:w="1377" w:type="dxa"/>
            <w:tcBorders>
              <w:top w:val="single" w:sz="2" w:space="0" w:color="auto"/>
              <w:left w:val="single" w:sz="2" w:space="0" w:color="auto"/>
              <w:bottom w:val="single" w:sz="2" w:space="0" w:color="auto"/>
              <w:right w:val="single" w:sz="2" w:space="0" w:color="auto"/>
            </w:tcBorders>
            <w:vAlign w:val="center"/>
          </w:tcPr>
          <w:p w14:paraId="128E74E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1,228,500.00</w:t>
            </w:r>
          </w:p>
        </w:tc>
        <w:tc>
          <w:tcPr>
            <w:tcW w:w="1377" w:type="dxa"/>
            <w:tcBorders>
              <w:top w:val="single" w:sz="2" w:space="0" w:color="auto"/>
              <w:left w:val="single" w:sz="2" w:space="0" w:color="auto"/>
              <w:bottom w:val="single" w:sz="2" w:space="0" w:color="auto"/>
              <w:right w:val="single" w:sz="2" w:space="0" w:color="auto"/>
            </w:tcBorders>
            <w:vAlign w:val="center"/>
          </w:tcPr>
          <w:p w14:paraId="7E28365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67B9485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4A1966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1,228,500.00</w:t>
            </w:r>
          </w:p>
        </w:tc>
        <w:tc>
          <w:tcPr>
            <w:tcW w:w="1377" w:type="dxa"/>
            <w:tcBorders>
              <w:top w:val="single" w:sz="2" w:space="0" w:color="auto"/>
              <w:left w:val="single" w:sz="2" w:space="0" w:color="auto"/>
              <w:bottom w:val="single" w:sz="2" w:space="0" w:color="auto"/>
              <w:right w:val="single" w:sz="2" w:space="0" w:color="auto"/>
            </w:tcBorders>
            <w:vAlign w:val="center"/>
          </w:tcPr>
          <w:p w14:paraId="4B86089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高管</w:t>
            </w:r>
            <w:proofErr w:type="gramStart"/>
            <w:r w:rsidRPr="00F614F9">
              <w:rPr>
                <w:rFonts w:ascii="Times New Roman" w:eastAsia="宋体" w:hAnsi="Times New Roman" w:cs="宋体"/>
                <w:sz w:val="18"/>
                <w:szCs w:val="18"/>
              </w:rPr>
              <w:t>锁定股</w:t>
            </w:r>
            <w:proofErr w:type="gramEnd"/>
          </w:p>
        </w:tc>
        <w:tc>
          <w:tcPr>
            <w:tcW w:w="1377" w:type="dxa"/>
            <w:tcBorders>
              <w:top w:val="single" w:sz="2" w:space="0" w:color="auto"/>
              <w:left w:val="single" w:sz="2" w:space="0" w:color="auto"/>
              <w:bottom w:val="single" w:sz="2" w:space="0" w:color="auto"/>
              <w:right w:val="single" w:sz="2" w:space="0" w:color="auto"/>
            </w:tcBorders>
            <w:vAlign w:val="center"/>
          </w:tcPr>
          <w:p w14:paraId="7003823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按高管</w:t>
            </w:r>
            <w:proofErr w:type="gramStart"/>
            <w:r w:rsidRPr="00F614F9">
              <w:rPr>
                <w:rFonts w:ascii="Times New Roman" w:eastAsia="宋体" w:hAnsi="Times New Roman" w:cs="宋体"/>
                <w:sz w:val="18"/>
                <w:szCs w:val="18"/>
              </w:rPr>
              <w:t>锁定股</w:t>
            </w:r>
            <w:proofErr w:type="gramEnd"/>
            <w:r w:rsidRPr="00F614F9">
              <w:rPr>
                <w:rFonts w:ascii="Times New Roman" w:eastAsia="宋体" w:hAnsi="Times New Roman" w:cs="宋体"/>
                <w:sz w:val="18"/>
                <w:szCs w:val="18"/>
              </w:rPr>
              <w:t>规则执行</w:t>
            </w:r>
          </w:p>
        </w:tc>
      </w:tr>
      <w:tr w:rsidR="001D26E7" w:rsidRPr="00F614F9" w14:paraId="35E1D861"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2E2345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0AFF595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2,047,500</w:t>
            </w:r>
          </w:p>
        </w:tc>
        <w:tc>
          <w:tcPr>
            <w:tcW w:w="1377" w:type="dxa"/>
            <w:tcBorders>
              <w:top w:val="single" w:sz="2" w:space="0" w:color="auto"/>
              <w:left w:val="single" w:sz="2" w:space="0" w:color="auto"/>
              <w:bottom w:val="single" w:sz="2" w:space="0" w:color="auto"/>
              <w:right w:val="single" w:sz="2" w:space="0" w:color="auto"/>
            </w:tcBorders>
            <w:vAlign w:val="center"/>
          </w:tcPr>
          <w:p w14:paraId="0112D64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4AB3A8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69542B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2,047,500</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D1A07A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AA4F89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r>
    </w:tbl>
    <w:p w14:paraId="3436D010"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93" w:name="_Toc989024"/>
      <w:bookmarkStart w:id="194" w:name="_Toc164024808"/>
      <w:r w:rsidRPr="00F614F9">
        <w:rPr>
          <w:rFonts w:ascii="Times New Roman" w:eastAsia="宋体" w:hAnsi="Times New Roman" w:cs="宋体"/>
          <w:b/>
          <w:bCs/>
          <w:sz w:val="24"/>
          <w:szCs w:val="24"/>
        </w:rPr>
        <w:lastRenderedPageBreak/>
        <w:t>二、证券发行与上市情况</w:t>
      </w:r>
      <w:bookmarkEnd w:id="193"/>
      <w:bookmarkEnd w:id="194"/>
    </w:p>
    <w:p w14:paraId="35D8D2F3" w14:textId="77777777" w:rsidR="001D26E7" w:rsidRPr="00F614F9" w:rsidRDefault="00000000">
      <w:pPr>
        <w:pStyle w:val="3"/>
        <w:spacing w:line="280" w:lineRule="exact"/>
        <w:jc w:val="left"/>
        <w:rPr>
          <w:rFonts w:ascii="Times New Roman" w:hAnsi="Times New Roman" w:cs="宋体"/>
          <w:b/>
          <w:bCs/>
        </w:rPr>
      </w:pPr>
      <w:bookmarkStart w:id="195" w:name="_Toc989025"/>
      <w:r w:rsidRPr="00F614F9">
        <w:rPr>
          <w:rFonts w:ascii="Times New Roman" w:hAnsi="Times New Roman" w:cs="宋体"/>
          <w:b/>
          <w:bCs/>
        </w:rPr>
        <w:t>1</w:t>
      </w:r>
      <w:r w:rsidRPr="00F614F9">
        <w:rPr>
          <w:rFonts w:ascii="Times New Roman" w:hAnsi="Times New Roman" w:cs="宋体"/>
          <w:b/>
          <w:bCs/>
        </w:rPr>
        <w:t>、报告期内证券发行（不含优先股）情况</w:t>
      </w:r>
      <w:bookmarkEnd w:id="195"/>
    </w:p>
    <w:p w14:paraId="5A2185A6"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5311152F" w14:textId="77777777" w:rsidR="001D26E7" w:rsidRPr="00F614F9" w:rsidRDefault="00000000">
      <w:pPr>
        <w:pStyle w:val="3"/>
        <w:spacing w:line="280" w:lineRule="exact"/>
        <w:jc w:val="left"/>
        <w:rPr>
          <w:rFonts w:ascii="Times New Roman" w:hAnsi="Times New Roman" w:cs="宋体"/>
          <w:b/>
          <w:bCs/>
        </w:rPr>
      </w:pPr>
      <w:bookmarkStart w:id="196" w:name="_Toc989026"/>
      <w:r w:rsidRPr="00F614F9">
        <w:rPr>
          <w:rFonts w:ascii="Times New Roman" w:hAnsi="Times New Roman" w:cs="宋体"/>
          <w:b/>
          <w:bCs/>
        </w:rPr>
        <w:t>2</w:t>
      </w:r>
      <w:r w:rsidRPr="00F614F9">
        <w:rPr>
          <w:rFonts w:ascii="Times New Roman" w:hAnsi="Times New Roman" w:cs="宋体"/>
          <w:b/>
          <w:bCs/>
        </w:rPr>
        <w:t>、公司股份总数及股东结构的变动、公司资产和负债结构的变动情况说明</w:t>
      </w:r>
      <w:bookmarkEnd w:id="196"/>
    </w:p>
    <w:p w14:paraId="51668AC8"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65E70B45" w14:textId="77777777" w:rsidR="00A3396D" w:rsidRPr="00F614F9" w:rsidRDefault="00000000" w:rsidP="000441DC">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w:t>
      </w:r>
      <w:r w:rsidRPr="00F614F9">
        <w:rPr>
          <w:rFonts w:ascii="Times New Roman" w:eastAsia="宋体" w:hAnsi="Times New Roman" w:hint="eastAsia"/>
          <w:sz w:val="18"/>
        </w:rPr>
        <w:t>1</w:t>
      </w:r>
      <w:r w:rsidRPr="00F614F9">
        <w:rPr>
          <w:rFonts w:ascii="Times New Roman" w:eastAsia="宋体" w:hAnsi="Times New Roman" w:hint="eastAsia"/>
          <w:sz w:val="18"/>
        </w:rPr>
        <w:t>）根据公司《</w:t>
      </w:r>
      <w:r w:rsidRPr="00F614F9">
        <w:rPr>
          <w:rFonts w:ascii="Times New Roman" w:eastAsia="宋体" w:hAnsi="Times New Roman" w:hint="eastAsia"/>
          <w:sz w:val="18"/>
        </w:rPr>
        <w:t>2019</w:t>
      </w:r>
      <w:r w:rsidRPr="00F614F9">
        <w:rPr>
          <w:rFonts w:ascii="Times New Roman" w:eastAsia="宋体" w:hAnsi="Times New Roman" w:hint="eastAsia"/>
          <w:sz w:val="18"/>
        </w:rPr>
        <w:t>年股票期权与限制性股票激励计划》，公司</w:t>
      </w:r>
      <w:r w:rsidRPr="00F614F9">
        <w:rPr>
          <w:rFonts w:ascii="Times New Roman" w:eastAsia="宋体" w:hAnsi="Times New Roman" w:hint="eastAsia"/>
          <w:sz w:val="18"/>
        </w:rPr>
        <w:t>2019</w:t>
      </w:r>
      <w:r w:rsidRPr="00F614F9">
        <w:rPr>
          <w:rFonts w:ascii="Times New Roman" w:eastAsia="宋体" w:hAnsi="Times New Roman" w:hint="eastAsia"/>
          <w:sz w:val="18"/>
        </w:rPr>
        <w:t>年激励计划的第一个行权期符合行权条件的</w:t>
      </w:r>
      <w:r w:rsidRPr="00F614F9">
        <w:rPr>
          <w:rFonts w:ascii="Times New Roman" w:eastAsia="宋体" w:hAnsi="Times New Roman" w:hint="eastAsia"/>
          <w:sz w:val="18"/>
        </w:rPr>
        <w:t>217</w:t>
      </w:r>
      <w:r w:rsidRPr="00F614F9">
        <w:rPr>
          <w:rFonts w:ascii="Times New Roman" w:eastAsia="宋体" w:hAnsi="Times New Roman" w:hint="eastAsia"/>
          <w:sz w:val="18"/>
        </w:rPr>
        <w:t>名激励</w:t>
      </w:r>
      <w:proofErr w:type="gramStart"/>
      <w:r w:rsidRPr="00F614F9">
        <w:rPr>
          <w:rFonts w:ascii="Times New Roman" w:eastAsia="宋体" w:hAnsi="Times New Roman" w:hint="eastAsia"/>
          <w:sz w:val="18"/>
        </w:rPr>
        <w:t>对象获</w:t>
      </w:r>
      <w:proofErr w:type="gramEnd"/>
      <w:r w:rsidRPr="00F614F9">
        <w:rPr>
          <w:rFonts w:ascii="Times New Roman" w:eastAsia="宋体" w:hAnsi="Times New Roman" w:hint="eastAsia"/>
          <w:sz w:val="18"/>
        </w:rPr>
        <w:t>授</w:t>
      </w:r>
      <w:r w:rsidRPr="00F614F9">
        <w:rPr>
          <w:rFonts w:ascii="Times New Roman" w:eastAsia="宋体" w:hAnsi="Times New Roman" w:hint="eastAsia"/>
          <w:sz w:val="18"/>
        </w:rPr>
        <w:t>652.964</w:t>
      </w:r>
      <w:r w:rsidRPr="00F614F9">
        <w:rPr>
          <w:rFonts w:ascii="Times New Roman" w:eastAsia="宋体" w:hAnsi="Times New Roman" w:hint="eastAsia"/>
          <w:sz w:val="18"/>
        </w:rPr>
        <w:t>万份股票期权于</w:t>
      </w:r>
      <w:r w:rsidRPr="00F614F9">
        <w:rPr>
          <w:rFonts w:ascii="Times New Roman" w:eastAsia="宋体" w:hAnsi="Times New Roman" w:hint="eastAsia"/>
          <w:sz w:val="18"/>
        </w:rPr>
        <w:t>2021</w:t>
      </w:r>
      <w:r w:rsidRPr="00F614F9">
        <w:rPr>
          <w:rFonts w:ascii="Times New Roman" w:eastAsia="宋体" w:hAnsi="Times New Roman" w:hint="eastAsia"/>
          <w:sz w:val="18"/>
        </w:rPr>
        <w:t>年</w:t>
      </w:r>
      <w:r w:rsidRPr="00F614F9">
        <w:rPr>
          <w:rFonts w:ascii="Times New Roman" w:eastAsia="宋体" w:hAnsi="Times New Roman" w:hint="eastAsia"/>
          <w:sz w:val="18"/>
        </w:rPr>
        <w:t>2</w:t>
      </w:r>
      <w:r w:rsidRPr="00F614F9">
        <w:rPr>
          <w:rFonts w:ascii="Times New Roman" w:eastAsia="宋体" w:hAnsi="Times New Roman" w:hint="eastAsia"/>
          <w:sz w:val="18"/>
        </w:rPr>
        <w:t>月</w:t>
      </w:r>
      <w:r w:rsidRPr="00F614F9">
        <w:rPr>
          <w:rFonts w:ascii="Times New Roman" w:eastAsia="宋体" w:hAnsi="Times New Roman" w:hint="eastAsia"/>
          <w:sz w:val="18"/>
        </w:rPr>
        <w:t>3</w:t>
      </w:r>
      <w:r w:rsidRPr="00F614F9">
        <w:rPr>
          <w:rFonts w:ascii="Times New Roman" w:eastAsia="宋体" w:hAnsi="Times New Roman" w:hint="eastAsia"/>
          <w:sz w:val="18"/>
        </w:rPr>
        <w:t>日开始自主行权，以及公司</w:t>
      </w:r>
      <w:r w:rsidRPr="00F614F9">
        <w:rPr>
          <w:rFonts w:ascii="Times New Roman" w:eastAsia="宋体" w:hAnsi="Times New Roman" w:hint="eastAsia"/>
          <w:sz w:val="18"/>
        </w:rPr>
        <w:t>2019</w:t>
      </w:r>
      <w:r w:rsidRPr="00F614F9">
        <w:rPr>
          <w:rFonts w:ascii="Times New Roman" w:eastAsia="宋体" w:hAnsi="Times New Roman" w:hint="eastAsia"/>
          <w:sz w:val="18"/>
        </w:rPr>
        <w:t>年激励计划的第二个行权期符合行权条件的</w:t>
      </w:r>
      <w:r w:rsidRPr="00F614F9">
        <w:rPr>
          <w:rFonts w:ascii="Times New Roman" w:eastAsia="宋体" w:hAnsi="Times New Roman" w:hint="eastAsia"/>
          <w:sz w:val="18"/>
        </w:rPr>
        <w:t>209</w:t>
      </w:r>
      <w:r w:rsidRPr="00F614F9">
        <w:rPr>
          <w:rFonts w:ascii="Times New Roman" w:eastAsia="宋体" w:hAnsi="Times New Roman" w:hint="eastAsia"/>
          <w:sz w:val="18"/>
        </w:rPr>
        <w:t>名激励</w:t>
      </w:r>
      <w:proofErr w:type="gramStart"/>
      <w:r w:rsidRPr="00F614F9">
        <w:rPr>
          <w:rFonts w:ascii="Times New Roman" w:eastAsia="宋体" w:hAnsi="Times New Roman" w:hint="eastAsia"/>
          <w:sz w:val="18"/>
        </w:rPr>
        <w:t>对象获</w:t>
      </w:r>
      <w:proofErr w:type="gramEnd"/>
      <w:r w:rsidRPr="00F614F9">
        <w:rPr>
          <w:rFonts w:ascii="Times New Roman" w:eastAsia="宋体" w:hAnsi="Times New Roman" w:hint="eastAsia"/>
          <w:sz w:val="18"/>
        </w:rPr>
        <w:t>授</w:t>
      </w:r>
      <w:r w:rsidRPr="00F614F9">
        <w:rPr>
          <w:rFonts w:ascii="Times New Roman" w:eastAsia="宋体" w:hAnsi="Times New Roman" w:hint="eastAsia"/>
          <w:sz w:val="18"/>
        </w:rPr>
        <w:t>469.2714</w:t>
      </w:r>
      <w:r w:rsidRPr="00F614F9">
        <w:rPr>
          <w:rFonts w:ascii="Times New Roman" w:eastAsia="宋体" w:hAnsi="Times New Roman" w:hint="eastAsia"/>
          <w:sz w:val="18"/>
        </w:rPr>
        <w:t>万份股票期权于</w:t>
      </w:r>
      <w:r w:rsidRPr="00F614F9">
        <w:rPr>
          <w:rFonts w:ascii="Times New Roman" w:eastAsia="宋体" w:hAnsi="Times New Roman" w:hint="eastAsia"/>
          <w:sz w:val="18"/>
        </w:rPr>
        <w:t>2022</w:t>
      </w:r>
      <w:r w:rsidRPr="00F614F9">
        <w:rPr>
          <w:rFonts w:ascii="Times New Roman" w:eastAsia="宋体" w:hAnsi="Times New Roman" w:hint="eastAsia"/>
          <w:sz w:val="18"/>
        </w:rPr>
        <w:t>年</w:t>
      </w:r>
      <w:r w:rsidRPr="00F614F9">
        <w:rPr>
          <w:rFonts w:ascii="Times New Roman" w:eastAsia="宋体" w:hAnsi="Times New Roman" w:hint="eastAsia"/>
          <w:sz w:val="18"/>
        </w:rPr>
        <w:t>2</w:t>
      </w:r>
      <w:r w:rsidRPr="00F614F9">
        <w:rPr>
          <w:rFonts w:ascii="Times New Roman" w:eastAsia="宋体" w:hAnsi="Times New Roman" w:hint="eastAsia"/>
          <w:sz w:val="18"/>
        </w:rPr>
        <w:t>月</w:t>
      </w:r>
      <w:r w:rsidRPr="00F614F9">
        <w:rPr>
          <w:rFonts w:ascii="Times New Roman" w:eastAsia="宋体" w:hAnsi="Times New Roman" w:hint="eastAsia"/>
          <w:sz w:val="18"/>
        </w:rPr>
        <w:t>18</w:t>
      </w:r>
      <w:r w:rsidRPr="00F614F9">
        <w:rPr>
          <w:rFonts w:ascii="Times New Roman" w:eastAsia="宋体" w:hAnsi="Times New Roman" w:hint="eastAsia"/>
          <w:sz w:val="18"/>
        </w:rPr>
        <w:t>日开始自主行权。报告期内，公司总股本因激励对象自主行权增加</w:t>
      </w:r>
      <w:r w:rsidRPr="00F614F9">
        <w:rPr>
          <w:rFonts w:ascii="Times New Roman" w:eastAsia="宋体" w:hAnsi="Times New Roman" w:hint="eastAsia"/>
          <w:sz w:val="18"/>
        </w:rPr>
        <w:t>30,872</w:t>
      </w:r>
      <w:r w:rsidRPr="00F614F9">
        <w:rPr>
          <w:rFonts w:ascii="Times New Roman" w:eastAsia="宋体" w:hAnsi="Times New Roman" w:hint="eastAsia"/>
          <w:sz w:val="18"/>
        </w:rPr>
        <w:t>股。</w:t>
      </w:r>
    </w:p>
    <w:p w14:paraId="6BA8567E" w14:textId="77777777" w:rsidR="00A3396D" w:rsidRPr="00F614F9" w:rsidRDefault="00000000" w:rsidP="000441DC">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w:t>
      </w:r>
      <w:r w:rsidRPr="00F614F9">
        <w:rPr>
          <w:rFonts w:ascii="Times New Roman" w:eastAsia="宋体" w:hAnsi="Times New Roman" w:hint="eastAsia"/>
          <w:sz w:val="18"/>
        </w:rPr>
        <w:t>2</w:t>
      </w:r>
      <w:r w:rsidRPr="00F614F9">
        <w:rPr>
          <w:rFonts w:ascii="Times New Roman" w:eastAsia="宋体" w:hAnsi="Times New Roman" w:hint="eastAsia"/>
          <w:sz w:val="18"/>
        </w:rPr>
        <w:t>）经中国证券监督管理委员会“证监许可</w:t>
      </w:r>
      <w:r w:rsidRPr="00F614F9">
        <w:rPr>
          <w:rFonts w:ascii="Times New Roman" w:eastAsia="宋体" w:hAnsi="Times New Roman" w:hint="eastAsia"/>
          <w:sz w:val="18"/>
        </w:rPr>
        <w:t>[2020]1077</w:t>
      </w:r>
      <w:r w:rsidRPr="00F614F9">
        <w:rPr>
          <w:rFonts w:ascii="Times New Roman" w:eastAsia="宋体" w:hAnsi="Times New Roman" w:hint="eastAsia"/>
          <w:sz w:val="18"/>
        </w:rPr>
        <w:t>号”核准，公司于</w:t>
      </w:r>
      <w:r w:rsidRPr="00F614F9">
        <w:rPr>
          <w:rFonts w:ascii="Times New Roman" w:eastAsia="宋体" w:hAnsi="Times New Roman" w:hint="eastAsia"/>
          <w:sz w:val="18"/>
        </w:rPr>
        <w:t>2020</w:t>
      </w:r>
      <w:r w:rsidRPr="00F614F9">
        <w:rPr>
          <w:rFonts w:ascii="Times New Roman" w:eastAsia="宋体" w:hAnsi="Times New Roman" w:hint="eastAsia"/>
          <w:sz w:val="18"/>
        </w:rPr>
        <w:t>年</w:t>
      </w:r>
      <w:r w:rsidRPr="00F614F9">
        <w:rPr>
          <w:rFonts w:ascii="Times New Roman" w:eastAsia="宋体" w:hAnsi="Times New Roman" w:hint="eastAsia"/>
          <w:sz w:val="18"/>
        </w:rPr>
        <w:t>7</w:t>
      </w:r>
      <w:r w:rsidRPr="00F614F9">
        <w:rPr>
          <w:rFonts w:ascii="Times New Roman" w:eastAsia="宋体" w:hAnsi="Times New Roman" w:hint="eastAsia"/>
          <w:sz w:val="18"/>
        </w:rPr>
        <w:t>月</w:t>
      </w:r>
      <w:r w:rsidRPr="00F614F9">
        <w:rPr>
          <w:rFonts w:ascii="Times New Roman" w:eastAsia="宋体" w:hAnsi="Times New Roman" w:hint="eastAsia"/>
          <w:sz w:val="18"/>
        </w:rPr>
        <w:t>13</w:t>
      </w:r>
      <w:r w:rsidRPr="00F614F9">
        <w:rPr>
          <w:rFonts w:ascii="Times New Roman" w:eastAsia="宋体" w:hAnsi="Times New Roman" w:hint="eastAsia"/>
          <w:sz w:val="18"/>
        </w:rPr>
        <w:t>日公开发行了</w:t>
      </w:r>
      <w:r w:rsidRPr="00F614F9">
        <w:rPr>
          <w:rFonts w:ascii="Times New Roman" w:eastAsia="宋体" w:hAnsi="Times New Roman" w:hint="eastAsia"/>
          <w:sz w:val="18"/>
        </w:rPr>
        <w:t>950</w:t>
      </w:r>
      <w:r w:rsidRPr="00F614F9">
        <w:rPr>
          <w:rFonts w:ascii="Times New Roman" w:eastAsia="宋体" w:hAnsi="Times New Roman" w:hint="eastAsia"/>
          <w:sz w:val="18"/>
        </w:rPr>
        <w:t>万张可转换公司债</w:t>
      </w:r>
      <w:proofErr w:type="gramStart"/>
      <w:r w:rsidRPr="00F614F9">
        <w:rPr>
          <w:rFonts w:ascii="Times New Roman" w:eastAsia="宋体" w:hAnsi="Times New Roman" w:hint="eastAsia"/>
          <w:sz w:val="18"/>
        </w:rPr>
        <w:t>券</w:t>
      </w:r>
      <w:proofErr w:type="gramEnd"/>
      <w:r w:rsidRPr="00F614F9">
        <w:rPr>
          <w:rFonts w:ascii="Times New Roman" w:eastAsia="宋体" w:hAnsi="Times New Roman" w:hint="eastAsia"/>
          <w:sz w:val="18"/>
        </w:rPr>
        <w:t>，每张面值</w:t>
      </w:r>
      <w:r w:rsidRPr="00F614F9">
        <w:rPr>
          <w:rFonts w:ascii="Times New Roman" w:eastAsia="宋体" w:hAnsi="Times New Roman" w:hint="eastAsia"/>
          <w:sz w:val="18"/>
        </w:rPr>
        <w:t>100</w:t>
      </w:r>
      <w:r w:rsidRPr="00F614F9">
        <w:rPr>
          <w:rFonts w:ascii="Times New Roman" w:eastAsia="宋体" w:hAnsi="Times New Roman" w:hint="eastAsia"/>
          <w:sz w:val="18"/>
        </w:rPr>
        <w:t>元，发行总额</w:t>
      </w:r>
      <w:r w:rsidRPr="00F614F9">
        <w:rPr>
          <w:rFonts w:ascii="Times New Roman" w:eastAsia="宋体" w:hAnsi="Times New Roman" w:hint="eastAsia"/>
          <w:sz w:val="18"/>
        </w:rPr>
        <w:t>95,000.00</w:t>
      </w:r>
      <w:r w:rsidRPr="00F614F9">
        <w:rPr>
          <w:rFonts w:ascii="Times New Roman" w:eastAsia="宋体" w:hAnsi="Times New Roman" w:hint="eastAsia"/>
          <w:sz w:val="18"/>
        </w:rPr>
        <w:t>万元。并于</w:t>
      </w:r>
      <w:r w:rsidRPr="00F614F9">
        <w:rPr>
          <w:rFonts w:ascii="Times New Roman" w:eastAsia="宋体" w:hAnsi="Times New Roman" w:hint="eastAsia"/>
          <w:sz w:val="18"/>
        </w:rPr>
        <w:t>2020</w:t>
      </w:r>
      <w:r w:rsidRPr="00F614F9">
        <w:rPr>
          <w:rFonts w:ascii="Times New Roman" w:eastAsia="宋体" w:hAnsi="Times New Roman" w:hint="eastAsia"/>
          <w:sz w:val="18"/>
        </w:rPr>
        <w:t>年</w:t>
      </w:r>
      <w:r w:rsidRPr="00F614F9">
        <w:rPr>
          <w:rFonts w:ascii="Times New Roman" w:eastAsia="宋体" w:hAnsi="Times New Roman" w:hint="eastAsia"/>
          <w:sz w:val="18"/>
        </w:rPr>
        <w:t>8</w:t>
      </w:r>
      <w:r w:rsidRPr="00F614F9">
        <w:rPr>
          <w:rFonts w:ascii="Times New Roman" w:eastAsia="宋体" w:hAnsi="Times New Roman" w:hint="eastAsia"/>
          <w:sz w:val="18"/>
        </w:rPr>
        <w:t>月</w:t>
      </w:r>
      <w:r w:rsidRPr="00F614F9">
        <w:rPr>
          <w:rFonts w:ascii="Times New Roman" w:eastAsia="宋体" w:hAnsi="Times New Roman" w:hint="eastAsia"/>
          <w:sz w:val="18"/>
        </w:rPr>
        <w:t>7</w:t>
      </w:r>
      <w:r w:rsidRPr="00F614F9">
        <w:rPr>
          <w:rFonts w:ascii="Times New Roman" w:eastAsia="宋体" w:hAnsi="Times New Roman" w:hint="eastAsia"/>
          <w:sz w:val="18"/>
        </w:rPr>
        <w:t>日起在深交所挂牌交易，债券简称“龙大转债”，债券代码“</w:t>
      </w:r>
      <w:r w:rsidRPr="00F614F9">
        <w:rPr>
          <w:rFonts w:ascii="Times New Roman" w:eastAsia="宋体" w:hAnsi="Times New Roman" w:hint="eastAsia"/>
          <w:sz w:val="18"/>
        </w:rPr>
        <w:t>128119.SZ</w:t>
      </w:r>
      <w:r w:rsidRPr="00F614F9">
        <w:rPr>
          <w:rFonts w:ascii="Times New Roman" w:eastAsia="宋体" w:hAnsi="Times New Roman" w:hint="eastAsia"/>
          <w:sz w:val="18"/>
        </w:rPr>
        <w:t>”。根据《深圳证券交易所股票上市规则》等相关规定和《山东龙大肉食品股份有限公司公开发行</w:t>
      </w:r>
      <w:r w:rsidRPr="00F614F9">
        <w:rPr>
          <w:rFonts w:ascii="Times New Roman" w:eastAsia="宋体" w:hAnsi="Times New Roman" w:hint="eastAsia"/>
          <w:sz w:val="18"/>
        </w:rPr>
        <w:t>A</w:t>
      </w:r>
      <w:r w:rsidRPr="00F614F9">
        <w:rPr>
          <w:rFonts w:ascii="Times New Roman" w:eastAsia="宋体" w:hAnsi="Times New Roman" w:hint="eastAsia"/>
          <w:sz w:val="18"/>
        </w:rPr>
        <w:t>股可转换公司债券募集说明书》的约定，公司本次发行的“龙大转债”自</w:t>
      </w:r>
      <w:r w:rsidRPr="00F614F9">
        <w:rPr>
          <w:rFonts w:ascii="Times New Roman" w:eastAsia="宋体" w:hAnsi="Times New Roman" w:hint="eastAsia"/>
          <w:sz w:val="18"/>
        </w:rPr>
        <w:t>2021</w:t>
      </w:r>
      <w:r w:rsidRPr="00F614F9">
        <w:rPr>
          <w:rFonts w:ascii="Times New Roman" w:eastAsia="宋体" w:hAnsi="Times New Roman" w:hint="eastAsia"/>
          <w:sz w:val="18"/>
        </w:rPr>
        <w:t>年</w:t>
      </w:r>
      <w:r w:rsidRPr="00F614F9">
        <w:rPr>
          <w:rFonts w:ascii="Times New Roman" w:eastAsia="宋体" w:hAnsi="Times New Roman" w:hint="eastAsia"/>
          <w:sz w:val="18"/>
        </w:rPr>
        <w:t>1</w:t>
      </w:r>
      <w:r w:rsidRPr="00F614F9">
        <w:rPr>
          <w:rFonts w:ascii="Times New Roman" w:eastAsia="宋体" w:hAnsi="Times New Roman" w:hint="eastAsia"/>
          <w:sz w:val="18"/>
        </w:rPr>
        <w:t>月</w:t>
      </w:r>
      <w:r w:rsidRPr="00F614F9">
        <w:rPr>
          <w:rFonts w:ascii="Times New Roman" w:eastAsia="宋体" w:hAnsi="Times New Roman" w:hint="eastAsia"/>
          <w:sz w:val="18"/>
        </w:rPr>
        <w:t>18</w:t>
      </w:r>
      <w:r w:rsidRPr="00F614F9">
        <w:rPr>
          <w:rFonts w:ascii="Times New Roman" w:eastAsia="宋体" w:hAnsi="Times New Roman" w:hint="eastAsia"/>
          <w:sz w:val="18"/>
        </w:rPr>
        <w:t>日起可转换为公司股份。报告期内，累计转股数量为</w:t>
      </w:r>
      <w:r w:rsidRPr="00F614F9">
        <w:rPr>
          <w:rFonts w:ascii="Times New Roman" w:eastAsia="宋体" w:hAnsi="Times New Roman" w:hint="eastAsia"/>
          <w:sz w:val="18"/>
        </w:rPr>
        <w:t>472</w:t>
      </w:r>
      <w:r w:rsidRPr="00F614F9">
        <w:rPr>
          <w:rFonts w:ascii="Times New Roman" w:eastAsia="宋体" w:hAnsi="Times New Roman" w:hint="eastAsia"/>
          <w:sz w:val="18"/>
        </w:rPr>
        <w:t>股。</w:t>
      </w:r>
    </w:p>
    <w:p w14:paraId="340B065A" w14:textId="77777777" w:rsidR="00872599" w:rsidRPr="00F614F9" w:rsidRDefault="00000000" w:rsidP="000441DC">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 xml:space="preserve">  </w:t>
      </w:r>
      <w:r w:rsidRPr="00F614F9">
        <w:rPr>
          <w:rFonts w:ascii="Times New Roman" w:eastAsia="宋体" w:hAnsi="Times New Roman" w:hint="eastAsia"/>
          <w:sz w:val="18"/>
        </w:rPr>
        <w:t>公司总股本由</w:t>
      </w:r>
      <w:r w:rsidRPr="00F614F9">
        <w:rPr>
          <w:rFonts w:ascii="Times New Roman" w:eastAsia="宋体" w:hAnsi="Times New Roman" w:hint="eastAsia"/>
          <w:sz w:val="18"/>
        </w:rPr>
        <w:t>1,079,128,488</w:t>
      </w:r>
      <w:r w:rsidRPr="00F614F9">
        <w:rPr>
          <w:rFonts w:ascii="Times New Roman" w:eastAsia="宋体" w:hAnsi="Times New Roman" w:hint="eastAsia"/>
          <w:sz w:val="18"/>
        </w:rPr>
        <w:t>股增加至</w:t>
      </w:r>
      <w:r w:rsidRPr="00F614F9">
        <w:rPr>
          <w:rFonts w:ascii="Times New Roman" w:eastAsia="宋体" w:hAnsi="Times New Roman" w:hint="eastAsia"/>
          <w:sz w:val="18"/>
        </w:rPr>
        <w:t>1,079,159,832</w:t>
      </w:r>
      <w:r w:rsidRPr="00F614F9">
        <w:rPr>
          <w:rFonts w:ascii="Times New Roman" w:eastAsia="宋体" w:hAnsi="Times New Roman" w:hint="eastAsia"/>
          <w:sz w:val="18"/>
        </w:rPr>
        <w:t>股，公司股东结构、资产和负债结构未因此而发生较大变动。</w:t>
      </w:r>
    </w:p>
    <w:p w14:paraId="25FF77CC" w14:textId="77777777" w:rsidR="001D26E7" w:rsidRPr="00F614F9" w:rsidRDefault="00000000">
      <w:pPr>
        <w:pStyle w:val="3"/>
        <w:spacing w:line="280" w:lineRule="exact"/>
        <w:jc w:val="left"/>
        <w:rPr>
          <w:rFonts w:ascii="Times New Roman" w:hAnsi="Times New Roman" w:cs="宋体"/>
          <w:b/>
          <w:bCs/>
        </w:rPr>
      </w:pPr>
      <w:bookmarkStart w:id="197" w:name="_Toc989027"/>
      <w:r w:rsidRPr="00F614F9">
        <w:rPr>
          <w:rFonts w:ascii="Times New Roman" w:hAnsi="Times New Roman" w:cs="宋体"/>
          <w:b/>
          <w:bCs/>
        </w:rPr>
        <w:t>3</w:t>
      </w:r>
      <w:r w:rsidRPr="00F614F9">
        <w:rPr>
          <w:rFonts w:ascii="Times New Roman" w:hAnsi="Times New Roman" w:cs="宋体"/>
          <w:b/>
          <w:bCs/>
        </w:rPr>
        <w:t>、现存的内部职工股情况</w:t>
      </w:r>
      <w:bookmarkEnd w:id="197"/>
    </w:p>
    <w:p w14:paraId="54A3A36D"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24C17008"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198" w:name="_Toc989028"/>
      <w:bookmarkStart w:id="199" w:name="_Toc164024809"/>
      <w:r w:rsidRPr="00F614F9">
        <w:rPr>
          <w:rFonts w:ascii="Times New Roman" w:eastAsia="宋体" w:hAnsi="Times New Roman" w:cs="宋体"/>
          <w:b/>
          <w:bCs/>
          <w:sz w:val="24"/>
          <w:szCs w:val="24"/>
        </w:rPr>
        <w:t>三、股东和实际控制人情况</w:t>
      </w:r>
      <w:bookmarkEnd w:id="198"/>
      <w:bookmarkEnd w:id="199"/>
    </w:p>
    <w:p w14:paraId="2BF397CF" w14:textId="77777777" w:rsidR="001D26E7" w:rsidRPr="00F614F9" w:rsidRDefault="00000000">
      <w:pPr>
        <w:pStyle w:val="3"/>
        <w:spacing w:line="280" w:lineRule="exact"/>
        <w:jc w:val="left"/>
        <w:rPr>
          <w:rFonts w:ascii="Times New Roman" w:hAnsi="Times New Roman" w:cs="宋体"/>
          <w:b/>
          <w:bCs/>
        </w:rPr>
      </w:pPr>
      <w:bookmarkStart w:id="200" w:name="_Toc989029"/>
      <w:r w:rsidRPr="00F614F9">
        <w:rPr>
          <w:rFonts w:ascii="Times New Roman" w:hAnsi="Times New Roman" w:cs="宋体"/>
          <w:b/>
          <w:bCs/>
        </w:rPr>
        <w:t>1</w:t>
      </w:r>
      <w:r w:rsidRPr="00F614F9">
        <w:rPr>
          <w:rFonts w:ascii="Times New Roman" w:hAnsi="Times New Roman" w:cs="宋体"/>
          <w:b/>
          <w:bCs/>
        </w:rPr>
        <w:t>、公司股东数量及持股情况</w:t>
      </w:r>
      <w:bookmarkEnd w:id="200"/>
    </w:p>
    <w:p w14:paraId="3B139CD1"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977"/>
        <w:gridCol w:w="1165"/>
        <w:gridCol w:w="1245"/>
        <w:gridCol w:w="897"/>
        <w:gridCol w:w="1229"/>
        <w:gridCol w:w="850"/>
        <w:gridCol w:w="1134"/>
      </w:tblGrid>
      <w:tr w:rsidR="001D26E7" w:rsidRPr="00F614F9" w14:paraId="575F5A4D" w14:textId="77777777" w:rsidTr="0084625D">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A73D5B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报告期末普通股股东总数</w:t>
            </w:r>
          </w:p>
        </w:tc>
        <w:tc>
          <w:tcPr>
            <w:tcW w:w="1071" w:type="dxa"/>
            <w:tcBorders>
              <w:top w:val="single" w:sz="2" w:space="0" w:color="auto"/>
              <w:left w:val="single" w:sz="2" w:space="0" w:color="auto"/>
              <w:bottom w:val="single" w:sz="2" w:space="0" w:color="auto"/>
              <w:right w:val="single" w:sz="2" w:space="0" w:color="auto"/>
            </w:tcBorders>
            <w:vAlign w:val="center"/>
          </w:tcPr>
          <w:p w14:paraId="48DBAF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32,854</w:t>
            </w:r>
          </w:p>
        </w:tc>
        <w:tc>
          <w:tcPr>
            <w:tcW w:w="977" w:type="dxa"/>
            <w:tcBorders>
              <w:top w:val="single" w:sz="2" w:space="0" w:color="auto"/>
              <w:left w:val="single" w:sz="2" w:space="0" w:color="auto"/>
              <w:bottom w:val="single" w:sz="2" w:space="0" w:color="auto"/>
              <w:right w:val="single" w:sz="2" w:space="0" w:color="auto"/>
            </w:tcBorders>
            <w:shd w:val="clear" w:color="auto" w:fill="D3D3D3"/>
            <w:vAlign w:val="center"/>
          </w:tcPr>
          <w:p w14:paraId="2EE37EC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年度报告披露日前上一月末普通股股东总数</w:t>
            </w:r>
          </w:p>
        </w:tc>
        <w:tc>
          <w:tcPr>
            <w:tcW w:w="1165" w:type="dxa"/>
            <w:tcBorders>
              <w:top w:val="single" w:sz="2" w:space="0" w:color="auto"/>
              <w:left w:val="single" w:sz="2" w:space="0" w:color="auto"/>
              <w:bottom w:val="single" w:sz="2" w:space="0" w:color="auto"/>
              <w:right w:val="single" w:sz="2" w:space="0" w:color="auto"/>
            </w:tcBorders>
            <w:vAlign w:val="center"/>
          </w:tcPr>
          <w:p w14:paraId="6883FCD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30,509</w:t>
            </w:r>
          </w:p>
        </w:tc>
        <w:tc>
          <w:tcPr>
            <w:tcW w:w="1245" w:type="dxa"/>
            <w:tcBorders>
              <w:top w:val="single" w:sz="2" w:space="0" w:color="auto"/>
              <w:left w:val="single" w:sz="2" w:space="0" w:color="auto"/>
              <w:bottom w:val="single" w:sz="2" w:space="0" w:color="auto"/>
              <w:right w:val="single" w:sz="2" w:space="0" w:color="auto"/>
            </w:tcBorders>
            <w:shd w:val="clear" w:color="auto" w:fill="D3D3D3"/>
            <w:vAlign w:val="center"/>
          </w:tcPr>
          <w:p w14:paraId="2A8704A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报告期末表决权恢复的优先股股东总数（如有）（参见注</w:t>
            </w:r>
            <w:r w:rsidRPr="00F614F9">
              <w:rPr>
                <w:rFonts w:ascii="Times New Roman" w:eastAsia="宋体" w:hAnsi="Times New Roman" w:cs="宋体"/>
                <w:sz w:val="18"/>
                <w:szCs w:val="18"/>
              </w:rPr>
              <w:t>8</w:t>
            </w:r>
            <w:r w:rsidRPr="00F614F9">
              <w:rPr>
                <w:rFonts w:ascii="Times New Roman" w:eastAsia="宋体" w:hAnsi="Times New Roman" w:cs="宋体"/>
                <w:sz w:val="18"/>
                <w:szCs w:val="18"/>
              </w:rPr>
              <w:t>）</w:t>
            </w:r>
          </w:p>
        </w:tc>
        <w:tc>
          <w:tcPr>
            <w:tcW w:w="897" w:type="dxa"/>
            <w:tcBorders>
              <w:top w:val="single" w:sz="2" w:space="0" w:color="auto"/>
              <w:left w:val="single" w:sz="2" w:space="0" w:color="auto"/>
              <w:bottom w:val="single" w:sz="2" w:space="0" w:color="auto"/>
              <w:right w:val="single" w:sz="2" w:space="0" w:color="auto"/>
            </w:tcBorders>
            <w:vAlign w:val="center"/>
          </w:tcPr>
          <w:p w14:paraId="18C9E73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207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4B6ED9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年度报告披露日前上一月末表决权恢复的优先股股东总数（如有）（参见注</w:t>
            </w:r>
            <w:r w:rsidRPr="00F614F9">
              <w:rPr>
                <w:rFonts w:ascii="Times New Roman" w:eastAsia="宋体" w:hAnsi="Times New Roman" w:cs="宋体"/>
                <w:sz w:val="18"/>
                <w:szCs w:val="18"/>
              </w:rPr>
              <w:t>8</w:t>
            </w:r>
            <w:r w:rsidRPr="00F614F9">
              <w:rPr>
                <w:rFonts w:ascii="Times New Roman" w:eastAsia="宋体" w:hAnsi="Times New Roman" w:cs="宋体"/>
                <w:sz w:val="18"/>
                <w:szCs w:val="18"/>
              </w:rPr>
              <w:t>）</w:t>
            </w:r>
          </w:p>
        </w:tc>
        <w:tc>
          <w:tcPr>
            <w:tcW w:w="1134" w:type="dxa"/>
            <w:tcBorders>
              <w:top w:val="single" w:sz="2" w:space="0" w:color="auto"/>
              <w:left w:val="single" w:sz="2" w:space="0" w:color="auto"/>
              <w:bottom w:val="single" w:sz="2" w:space="0" w:color="auto"/>
              <w:right w:val="single" w:sz="2" w:space="0" w:color="auto"/>
            </w:tcBorders>
            <w:vAlign w:val="center"/>
          </w:tcPr>
          <w:p w14:paraId="48C5627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3A4858DC" w14:textId="77777777">
        <w:trPr>
          <w:trHeight w:val="240"/>
        </w:trPr>
        <w:tc>
          <w:tcPr>
            <w:tcW w:w="9639"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14:paraId="00182B7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持股</w:t>
            </w:r>
            <w:r w:rsidRPr="00F614F9">
              <w:rPr>
                <w:rFonts w:ascii="Times New Roman" w:eastAsia="宋体" w:hAnsi="Times New Roman" w:cs="宋体"/>
                <w:sz w:val="18"/>
                <w:szCs w:val="18"/>
              </w:rPr>
              <w:t>5%</w:t>
            </w:r>
            <w:r w:rsidRPr="00F614F9">
              <w:rPr>
                <w:rFonts w:ascii="Times New Roman" w:eastAsia="宋体" w:hAnsi="Times New Roman" w:cs="宋体"/>
                <w:sz w:val="18"/>
                <w:szCs w:val="18"/>
              </w:rPr>
              <w:t>以上的股东或前</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名股东持股情况（不含通过转融通出借股份）</w:t>
            </w:r>
          </w:p>
        </w:tc>
      </w:tr>
      <w:tr w:rsidR="001D26E7" w:rsidRPr="00F614F9" w14:paraId="04DAD7AD" w14:textId="77777777" w:rsidTr="00A3396D">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485C79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股东名称</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B46C0E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股东性质</w:t>
            </w:r>
          </w:p>
        </w:tc>
        <w:tc>
          <w:tcPr>
            <w:tcW w:w="9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463179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持股比例</w:t>
            </w:r>
          </w:p>
        </w:tc>
        <w:tc>
          <w:tcPr>
            <w:tcW w:w="116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88DB6A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报告期末持股数量</w:t>
            </w:r>
          </w:p>
        </w:tc>
        <w:tc>
          <w:tcPr>
            <w:tcW w:w="124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FA41B1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报告期内增减变动情况</w:t>
            </w:r>
          </w:p>
        </w:tc>
        <w:tc>
          <w:tcPr>
            <w:tcW w:w="89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5B07B6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持有有限</w:t>
            </w:r>
            <w:proofErr w:type="gramStart"/>
            <w:r w:rsidRPr="00F614F9">
              <w:rPr>
                <w:rFonts w:ascii="Times New Roman" w:eastAsia="宋体" w:hAnsi="Times New Roman" w:cs="宋体"/>
                <w:sz w:val="18"/>
                <w:szCs w:val="18"/>
              </w:rPr>
              <w:t>售条件</w:t>
            </w:r>
            <w:proofErr w:type="gramEnd"/>
            <w:r w:rsidRPr="00F614F9">
              <w:rPr>
                <w:rFonts w:ascii="Times New Roman" w:eastAsia="宋体" w:hAnsi="Times New Roman" w:cs="宋体"/>
                <w:sz w:val="18"/>
                <w:szCs w:val="18"/>
              </w:rPr>
              <w:t>的股份数量</w:t>
            </w:r>
          </w:p>
        </w:tc>
        <w:tc>
          <w:tcPr>
            <w:tcW w:w="122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E7AF8C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持有无限</w:t>
            </w:r>
            <w:proofErr w:type="gramStart"/>
            <w:r w:rsidRPr="00F614F9">
              <w:rPr>
                <w:rFonts w:ascii="Times New Roman" w:eastAsia="宋体" w:hAnsi="Times New Roman" w:cs="宋体"/>
                <w:sz w:val="18"/>
                <w:szCs w:val="18"/>
              </w:rPr>
              <w:t>售条件</w:t>
            </w:r>
            <w:proofErr w:type="gramEnd"/>
            <w:r w:rsidRPr="00F614F9">
              <w:rPr>
                <w:rFonts w:ascii="Times New Roman" w:eastAsia="宋体" w:hAnsi="Times New Roman" w:cs="宋体"/>
                <w:sz w:val="18"/>
                <w:szCs w:val="18"/>
              </w:rPr>
              <w:t>的股份数量</w:t>
            </w:r>
          </w:p>
        </w:tc>
        <w:tc>
          <w:tcPr>
            <w:tcW w:w="198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EA6ECE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质押、标记或冻结情况</w:t>
            </w:r>
          </w:p>
        </w:tc>
      </w:tr>
      <w:tr w:rsidR="001D26E7" w:rsidRPr="00F614F9" w14:paraId="18AB517C" w14:textId="77777777" w:rsidTr="0084625D">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A90AA17" w14:textId="77777777" w:rsidR="001D26E7" w:rsidRPr="00F614F9" w:rsidRDefault="001D26E7">
            <w:pPr>
              <w:rPr>
                <w:rFonts w:ascii="Times New Roman" w:hAnsi="Times New Roman"/>
              </w:rPr>
            </w:pP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ADA0E91" w14:textId="77777777" w:rsidR="001D26E7" w:rsidRPr="00F614F9" w:rsidRDefault="001D26E7">
            <w:pPr>
              <w:rPr>
                <w:rFonts w:ascii="Times New Roman" w:hAnsi="Times New Roman"/>
              </w:rPr>
            </w:pPr>
          </w:p>
        </w:tc>
        <w:tc>
          <w:tcPr>
            <w:tcW w:w="9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A6DC531" w14:textId="77777777" w:rsidR="001D26E7" w:rsidRPr="00F614F9" w:rsidRDefault="001D26E7">
            <w:pPr>
              <w:rPr>
                <w:rFonts w:ascii="Times New Roman" w:hAnsi="Times New Roman"/>
              </w:rPr>
            </w:pPr>
          </w:p>
        </w:tc>
        <w:tc>
          <w:tcPr>
            <w:tcW w:w="116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032ADAA" w14:textId="77777777" w:rsidR="001D26E7" w:rsidRPr="00F614F9" w:rsidRDefault="001D26E7">
            <w:pPr>
              <w:rPr>
                <w:rFonts w:ascii="Times New Roman" w:hAnsi="Times New Roman"/>
              </w:rPr>
            </w:pPr>
          </w:p>
        </w:tc>
        <w:tc>
          <w:tcPr>
            <w:tcW w:w="124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33D0376" w14:textId="77777777" w:rsidR="001D26E7" w:rsidRPr="00F614F9" w:rsidRDefault="001D26E7">
            <w:pPr>
              <w:rPr>
                <w:rFonts w:ascii="Times New Roman" w:hAnsi="Times New Roman"/>
              </w:rPr>
            </w:pPr>
          </w:p>
        </w:tc>
        <w:tc>
          <w:tcPr>
            <w:tcW w:w="89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6BAA241" w14:textId="77777777" w:rsidR="001D26E7" w:rsidRPr="00F614F9" w:rsidRDefault="001D26E7">
            <w:pPr>
              <w:rPr>
                <w:rFonts w:ascii="Times New Roman" w:hAnsi="Times New Roman"/>
              </w:rPr>
            </w:pPr>
          </w:p>
        </w:tc>
        <w:tc>
          <w:tcPr>
            <w:tcW w:w="122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0EF7E6B" w14:textId="77777777" w:rsidR="001D26E7" w:rsidRPr="00F614F9" w:rsidRDefault="001D26E7">
            <w:pPr>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7ED18A7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股份状态</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7B8D40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数量</w:t>
            </w:r>
          </w:p>
        </w:tc>
      </w:tr>
      <w:tr w:rsidR="001D26E7" w:rsidRPr="00F614F9" w14:paraId="7514E88D" w14:textId="77777777" w:rsidTr="0084625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7F61D15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66A8175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境内非国有法人</w:t>
            </w:r>
          </w:p>
        </w:tc>
        <w:tc>
          <w:tcPr>
            <w:tcW w:w="977" w:type="dxa"/>
            <w:tcBorders>
              <w:top w:val="single" w:sz="2" w:space="0" w:color="auto"/>
              <w:left w:val="single" w:sz="2" w:space="0" w:color="auto"/>
              <w:bottom w:val="single" w:sz="2" w:space="0" w:color="auto"/>
              <w:right w:val="single" w:sz="2" w:space="0" w:color="auto"/>
            </w:tcBorders>
            <w:vAlign w:val="center"/>
          </w:tcPr>
          <w:p w14:paraId="59957698"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27.23%</w:t>
            </w:r>
          </w:p>
        </w:tc>
        <w:tc>
          <w:tcPr>
            <w:tcW w:w="1165" w:type="dxa"/>
            <w:tcBorders>
              <w:top w:val="single" w:sz="2" w:space="0" w:color="auto"/>
              <w:left w:val="single" w:sz="2" w:space="0" w:color="auto"/>
              <w:bottom w:val="single" w:sz="2" w:space="0" w:color="auto"/>
              <w:right w:val="single" w:sz="2" w:space="0" w:color="auto"/>
            </w:tcBorders>
            <w:vAlign w:val="center"/>
          </w:tcPr>
          <w:p w14:paraId="55F39250"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293,885,800</w:t>
            </w:r>
          </w:p>
        </w:tc>
        <w:tc>
          <w:tcPr>
            <w:tcW w:w="1245" w:type="dxa"/>
            <w:tcBorders>
              <w:top w:val="single" w:sz="2" w:space="0" w:color="auto"/>
              <w:left w:val="single" w:sz="2" w:space="0" w:color="auto"/>
              <w:bottom w:val="single" w:sz="2" w:space="0" w:color="auto"/>
              <w:right w:val="single" w:sz="2" w:space="0" w:color="auto"/>
            </w:tcBorders>
            <w:vAlign w:val="center"/>
          </w:tcPr>
          <w:p w14:paraId="7C40F2E2"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97" w:type="dxa"/>
            <w:tcBorders>
              <w:top w:val="single" w:sz="2" w:space="0" w:color="auto"/>
              <w:left w:val="single" w:sz="2" w:space="0" w:color="auto"/>
              <w:bottom w:val="single" w:sz="2" w:space="0" w:color="auto"/>
              <w:right w:val="single" w:sz="2" w:space="0" w:color="auto"/>
            </w:tcBorders>
            <w:vAlign w:val="center"/>
          </w:tcPr>
          <w:p w14:paraId="62B2B08D"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29" w:type="dxa"/>
            <w:tcBorders>
              <w:top w:val="single" w:sz="2" w:space="0" w:color="auto"/>
              <w:left w:val="single" w:sz="2" w:space="0" w:color="auto"/>
              <w:bottom w:val="single" w:sz="2" w:space="0" w:color="auto"/>
              <w:right w:val="single" w:sz="2" w:space="0" w:color="auto"/>
            </w:tcBorders>
            <w:vAlign w:val="center"/>
          </w:tcPr>
          <w:p w14:paraId="7C2BF327"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293,885,800</w:t>
            </w:r>
          </w:p>
        </w:tc>
        <w:tc>
          <w:tcPr>
            <w:tcW w:w="850" w:type="dxa"/>
            <w:tcBorders>
              <w:top w:val="single" w:sz="2" w:space="0" w:color="auto"/>
              <w:left w:val="single" w:sz="2" w:space="0" w:color="auto"/>
              <w:bottom w:val="single" w:sz="2" w:space="0" w:color="auto"/>
              <w:right w:val="single" w:sz="2" w:space="0" w:color="auto"/>
            </w:tcBorders>
            <w:vAlign w:val="center"/>
          </w:tcPr>
          <w:p w14:paraId="3D1C088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质押</w:t>
            </w:r>
          </w:p>
        </w:tc>
        <w:tc>
          <w:tcPr>
            <w:tcW w:w="1134" w:type="dxa"/>
            <w:tcBorders>
              <w:top w:val="single" w:sz="2" w:space="0" w:color="auto"/>
              <w:left w:val="single" w:sz="2" w:space="0" w:color="auto"/>
              <w:bottom w:val="single" w:sz="2" w:space="0" w:color="auto"/>
              <w:right w:val="single" w:sz="2" w:space="0" w:color="auto"/>
            </w:tcBorders>
            <w:vAlign w:val="center"/>
          </w:tcPr>
          <w:p w14:paraId="777F98C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87,870,000</w:t>
            </w:r>
          </w:p>
        </w:tc>
      </w:tr>
      <w:tr w:rsidR="001D26E7" w:rsidRPr="00F614F9" w14:paraId="58078512" w14:textId="77777777" w:rsidTr="0084625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3E2A568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莱阳银龙投资有限公司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7946ECE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境内非国有法人</w:t>
            </w:r>
          </w:p>
        </w:tc>
        <w:tc>
          <w:tcPr>
            <w:tcW w:w="977" w:type="dxa"/>
            <w:tcBorders>
              <w:top w:val="single" w:sz="2" w:space="0" w:color="auto"/>
              <w:left w:val="single" w:sz="2" w:space="0" w:color="auto"/>
              <w:bottom w:val="single" w:sz="2" w:space="0" w:color="auto"/>
              <w:right w:val="single" w:sz="2" w:space="0" w:color="auto"/>
            </w:tcBorders>
            <w:vAlign w:val="center"/>
          </w:tcPr>
          <w:p w14:paraId="30FC6FE1"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7.29%</w:t>
            </w:r>
          </w:p>
        </w:tc>
        <w:tc>
          <w:tcPr>
            <w:tcW w:w="1165" w:type="dxa"/>
            <w:tcBorders>
              <w:top w:val="single" w:sz="2" w:space="0" w:color="auto"/>
              <w:left w:val="single" w:sz="2" w:space="0" w:color="auto"/>
              <w:bottom w:val="single" w:sz="2" w:space="0" w:color="auto"/>
              <w:right w:val="single" w:sz="2" w:space="0" w:color="auto"/>
            </w:tcBorders>
            <w:vAlign w:val="center"/>
          </w:tcPr>
          <w:p w14:paraId="5F5CE9AC"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78,676,000</w:t>
            </w:r>
          </w:p>
        </w:tc>
        <w:tc>
          <w:tcPr>
            <w:tcW w:w="1245" w:type="dxa"/>
            <w:tcBorders>
              <w:top w:val="single" w:sz="2" w:space="0" w:color="auto"/>
              <w:left w:val="single" w:sz="2" w:space="0" w:color="auto"/>
              <w:bottom w:val="single" w:sz="2" w:space="0" w:color="auto"/>
              <w:right w:val="single" w:sz="2" w:space="0" w:color="auto"/>
            </w:tcBorders>
            <w:vAlign w:val="center"/>
          </w:tcPr>
          <w:p w14:paraId="0A7D4AA6"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97" w:type="dxa"/>
            <w:tcBorders>
              <w:top w:val="single" w:sz="2" w:space="0" w:color="auto"/>
              <w:left w:val="single" w:sz="2" w:space="0" w:color="auto"/>
              <w:bottom w:val="single" w:sz="2" w:space="0" w:color="auto"/>
              <w:right w:val="single" w:sz="2" w:space="0" w:color="auto"/>
            </w:tcBorders>
            <w:vAlign w:val="center"/>
          </w:tcPr>
          <w:p w14:paraId="03A569A5"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29" w:type="dxa"/>
            <w:tcBorders>
              <w:top w:val="single" w:sz="2" w:space="0" w:color="auto"/>
              <w:left w:val="single" w:sz="2" w:space="0" w:color="auto"/>
              <w:bottom w:val="single" w:sz="2" w:space="0" w:color="auto"/>
              <w:right w:val="single" w:sz="2" w:space="0" w:color="auto"/>
            </w:tcBorders>
            <w:vAlign w:val="center"/>
          </w:tcPr>
          <w:p w14:paraId="7BD2A047"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78,676,000</w:t>
            </w:r>
          </w:p>
        </w:tc>
        <w:tc>
          <w:tcPr>
            <w:tcW w:w="850" w:type="dxa"/>
            <w:tcBorders>
              <w:top w:val="single" w:sz="2" w:space="0" w:color="auto"/>
              <w:left w:val="single" w:sz="2" w:space="0" w:color="auto"/>
              <w:bottom w:val="single" w:sz="2" w:space="0" w:color="auto"/>
              <w:right w:val="single" w:sz="2" w:space="0" w:color="auto"/>
            </w:tcBorders>
            <w:vAlign w:val="center"/>
          </w:tcPr>
          <w:p w14:paraId="5A5BAC9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09FA07B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30FF1134" w14:textId="77777777" w:rsidTr="0084625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3388F23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w:t>
            </w:r>
            <w:proofErr w:type="gramStart"/>
            <w:r w:rsidRPr="00F614F9">
              <w:rPr>
                <w:rFonts w:ascii="Times New Roman" w:eastAsia="宋体" w:hAnsi="Times New Roman" w:cs="宋体"/>
                <w:sz w:val="18"/>
                <w:szCs w:val="18"/>
              </w:rPr>
              <w:t>洪亨</w:t>
            </w:r>
            <w:r w:rsidRPr="00F614F9">
              <w:rPr>
                <w:rFonts w:ascii="Times New Roman" w:eastAsia="宋体" w:hAnsi="Times New Roman" w:cs="宋体"/>
                <w:sz w:val="18"/>
                <w:szCs w:val="18"/>
              </w:rPr>
              <w:lastRenderedPageBreak/>
              <w:t>亚</w:t>
            </w:r>
            <w:proofErr w:type="gramEnd"/>
            <w:r w:rsidRPr="00F614F9">
              <w:rPr>
                <w:rFonts w:ascii="Times New Roman" w:eastAsia="宋体" w:hAnsi="Times New Roman" w:cs="宋体"/>
                <w:sz w:val="18"/>
                <w:szCs w:val="18"/>
              </w:rPr>
              <w:t>和实业有限公司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27C0BFF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境内非国</w:t>
            </w:r>
            <w:r w:rsidRPr="00F614F9">
              <w:rPr>
                <w:rFonts w:ascii="Times New Roman" w:eastAsia="宋体" w:hAnsi="Times New Roman" w:cs="宋体"/>
                <w:sz w:val="18"/>
                <w:szCs w:val="18"/>
              </w:rPr>
              <w:lastRenderedPageBreak/>
              <w:t>有法人</w:t>
            </w:r>
          </w:p>
        </w:tc>
        <w:tc>
          <w:tcPr>
            <w:tcW w:w="977" w:type="dxa"/>
            <w:tcBorders>
              <w:top w:val="single" w:sz="2" w:space="0" w:color="auto"/>
              <w:left w:val="single" w:sz="2" w:space="0" w:color="auto"/>
              <w:bottom w:val="single" w:sz="2" w:space="0" w:color="auto"/>
              <w:right w:val="single" w:sz="2" w:space="0" w:color="auto"/>
            </w:tcBorders>
            <w:vAlign w:val="center"/>
          </w:tcPr>
          <w:p w14:paraId="2890F8A4"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lastRenderedPageBreak/>
              <w:t>5.53%</w:t>
            </w:r>
          </w:p>
        </w:tc>
        <w:tc>
          <w:tcPr>
            <w:tcW w:w="1165" w:type="dxa"/>
            <w:tcBorders>
              <w:top w:val="single" w:sz="2" w:space="0" w:color="auto"/>
              <w:left w:val="single" w:sz="2" w:space="0" w:color="auto"/>
              <w:bottom w:val="single" w:sz="2" w:space="0" w:color="auto"/>
              <w:right w:val="single" w:sz="2" w:space="0" w:color="auto"/>
            </w:tcBorders>
            <w:vAlign w:val="center"/>
          </w:tcPr>
          <w:p w14:paraId="5C9F6EDD"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59,714,200</w:t>
            </w:r>
          </w:p>
        </w:tc>
        <w:tc>
          <w:tcPr>
            <w:tcW w:w="1245" w:type="dxa"/>
            <w:tcBorders>
              <w:top w:val="single" w:sz="2" w:space="0" w:color="auto"/>
              <w:left w:val="single" w:sz="2" w:space="0" w:color="auto"/>
              <w:bottom w:val="single" w:sz="2" w:space="0" w:color="auto"/>
              <w:right w:val="single" w:sz="2" w:space="0" w:color="auto"/>
            </w:tcBorders>
            <w:vAlign w:val="center"/>
          </w:tcPr>
          <w:p w14:paraId="6B6CF278"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97" w:type="dxa"/>
            <w:tcBorders>
              <w:top w:val="single" w:sz="2" w:space="0" w:color="auto"/>
              <w:left w:val="single" w:sz="2" w:space="0" w:color="auto"/>
              <w:bottom w:val="single" w:sz="2" w:space="0" w:color="auto"/>
              <w:right w:val="single" w:sz="2" w:space="0" w:color="auto"/>
            </w:tcBorders>
            <w:vAlign w:val="center"/>
          </w:tcPr>
          <w:p w14:paraId="4D9ECBCC"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29" w:type="dxa"/>
            <w:tcBorders>
              <w:top w:val="single" w:sz="2" w:space="0" w:color="auto"/>
              <w:left w:val="single" w:sz="2" w:space="0" w:color="auto"/>
              <w:bottom w:val="single" w:sz="2" w:space="0" w:color="auto"/>
              <w:right w:val="single" w:sz="2" w:space="0" w:color="auto"/>
            </w:tcBorders>
            <w:vAlign w:val="center"/>
          </w:tcPr>
          <w:p w14:paraId="5FFD21A8"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59,714,200</w:t>
            </w:r>
          </w:p>
        </w:tc>
        <w:tc>
          <w:tcPr>
            <w:tcW w:w="850" w:type="dxa"/>
            <w:tcBorders>
              <w:top w:val="single" w:sz="2" w:space="0" w:color="auto"/>
              <w:left w:val="single" w:sz="2" w:space="0" w:color="auto"/>
              <w:bottom w:val="single" w:sz="2" w:space="0" w:color="auto"/>
              <w:right w:val="single" w:sz="2" w:space="0" w:color="auto"/>
            </w:tcBorders>
            <w:vAlign w:val="center"/>
          </w:tcPr>
          <w:p w14:paraId="0D010DF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7C82623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574B3925" w14:textId="77777777" w:rsidTr="0084625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443D254"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付小铜</w:t>
            </w:r>
            <w:proofErr w:type="gramEnd"/>
          </w:p>
        </w:tc>
        <w:tc>
          <w:tcPr>
            <w:tcW w:w="1071" w:type="dxa"/>
            <w:tcBorders>
              <w:top w:val="single" w:sz="2" w:space="0" w:color="auto"/>
              <w:left w:val="single" w:sz="2" w:space="0" w:color="auto"/>
              <w:bottom w:val="single" w:sz="2" w:space="0" w:color="auto"/>
              <w:right w:val="single" w:sz="2" w:space="0" w:color="auto"/>
            </w:tcBorders>
            <w:vAlign w:val="center"/>
          </w:tcPr>
          <w:p w14:paraId="78E8C39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境内自然人</w:t>
            </w:r>
          </w:p>
        </w:tc>
        <w:tc>
          <w:tcPr>
            <w:tcW w:w="977" w:type="dxa"/>
            <w:tcBorders>
              <w:top w:val="single" w:sz="2" w:space="0" w:color="auto"/>
              <w:left w:val="single" w:sz="2" w:space="0" w:color="auto"/>
              <w:bottom w:val="single" w:sz="2" w:space="0" w:color="auto"/>
              <w:right w:val="single" w:sz="2" w:space="0" w:color="auto"/>
            </w:tcBorders>
            <w:vAlign w:val="center"/>
          </w:tcPr>
          <w:p w14:paraId="14A396D4"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4.16%</w:t>
            </w:r>
          </w:p>
        </w:tc>
        <w:tc>
          <w:tcPr>
            <w:tcW w:w="1165" w:type="dxa"/>
            <w:tcBorders>
              <w:top w:val="single" w:sz="2" w:space="0" w:color="auto"/>
              <w:left w:val="single" w:sz="2" w:space="0" w:color="auto"/>
              <w:bottom w:val="single" w:sz="2" w:space="0" w:color="auto"/>
              <w:right w:val="single" w:sz="2" w:space="0" w:color="auto"/>
            </w:tcBorders>
            <w:vAlign w:val="center"/>
          </w:tcPr>
          <w:p w14:paraId="62DDEDF3"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44,871,342</w:t>
            </w:r>
          </w:p>
        </w:tc>
        <w:tc>
          <w:tcPr>
            <w:tcW w:w="1245" w:type="dxa"/>
            <w:tcBorders>
              <w:top w:val="single" w:sz="2" w:space="0" w:color="auto"/>
              <w:left w:val="single" w:sz="2" w:space="0" w:color="auto"/>
              <w:bottom w:val="single" w:sz="2" w:space="0" w:color="auto"/>
              <w:right w:val="single" w:sz="2" w:space="0" w:color="auto"/>
            </w:tcBorders>
            <w:vAlign w:val="center"/>
          </w:tcPr>
          <w:p w14:paraId="76FE602F"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-4,961,200</w:t>
            </w:r>
          </w:p>
        </w:tc>
        <w:tc>
          <w:tcPr>
            <w:tcW w:w="897" w:type="dxa"/>
            <w:tcBorders>
              <w:top w:val="single" w:sz="2" w:space="0" w:color="auto"/>
              <w:left w:val="single" w:sz="2" w:space="0" w:color="auto"/>
              <w:bottom w:val="single" w:sz="2" w:space="0" w:color="auto"/>
              <w:right w:val="single" w:sz="2" w:space="0" w:color="auto"/>
            </w:tcBorders>
            <w:vAlign w:val="center"/>
          </w:tcPr>
          <w:p w14:paraId="17BCF445"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29" w:type="dxa"/>
            <w:tcBorders>
              <w:top w:val="single" w:sz="2" w:space="0" w:color="auto"/>
              <w:left w:val="single" w:sz="2" w:space="0" w:color="auto"/>
              <w:bottom w:val="single" w:sz="2" w:space="0" w:color="auto"/>
              <w:right w:val="single" w:sz="2" w:space="0" w:color="auto"/>
            </w:tcBorders>
            <w:vAlign w:val="center"/>
          </w:tcPr>
          <w:p w14:paraId="46F3C505"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44,871,342</w:t>
            </w:r>
          </w:p>
        </w:tc>
        <w:tc>
          <w:tcPr>
            <w:tcW w:w="850" w:type="dxa"/>
            <w:tcBorders>
              <w:top w:val="single" w:sz="2" w:space="0" w:color="auto"/>
              <w:left w:val="single" w:sz="2" w:space="0" w:color="auto"/>
              <w:bottom w:val="single" w:sz="2" w:space="0" w:color="auto"/>
              <w:right w:val="single" w:sz="2" w:space="0" w:color="auto"/>
            </w:tcBorders>
            <w:vAlign w:val="center"/>
          </w:tcPr>
          <w:p w14:paraId="10DA356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1E3E4E3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069F9A80" w14:textId="77777777" w:rsidTr="0084625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7BDC1DE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银河德</w:t>
            </w:r>
            <w:proofErr w:type="gramStart"/>
            <w:r w:rsidRPr="00F614F9">
              <w:rPr>
                <w:rFonts w:ascii="Times New Roman" w:eastAsia="宋体" w:hAnsi="Times New Roman" w:cs="宋体"/>
                <w:sz w:val="18"/>
                <w:szCs w:val="18"/>
              </w:rPr>
              <w:t>睿</w:t>
            </w:r>
            <w:proofErr w:type="gramEnd"/>
            <w:r w:rsidRPr="00F614F9">
              <w:rPr>
                <w:rFonts w:ascii="Times New Roman" w:eastAsia="宋体" w:hAnsi="Times New Roman" w:cs="宋体"/>
                <w:sz w:val="18"/>
                <w:szCs w:val="18"/>
              </w:rPr>
              <w:t>资本管理有限公司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4673079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境内非国有法人</w:t>
            </w:r>
          </w:p>
        </w:tc>
        <w:tc>
          <w:tcPr>
            <w:tcW w:w="977" w:type="dxa"/>
            <w:tcBorders>
              <w:top w:val="single" w:sz="2" w:space="0" w:color="auto"/>
              <w:left w:val="single" w:sz="2" w:space="0" w:color="auto"/>
              <w:bottom w:val="single" w:sz="2" w:space="0" w:color="auto"/>
              <w:right w:val="single" w:sz="2" w:space="0" w:color="auto"/>
            </w:tcBorders>
            <w:vAlign w:val="center"/>
          </w:tcPr>
          <w:p w14:paraId="45F8324F"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3.41%</w:t>
            </w:r>
          </w:p>
        </w:tc>
        <w:tc>
          <w:tcPr>
            <w:tcW w:w="1165" w:type="dxa"/>
            <w:tcBorders>
              <w:top w:val="single" w:sz="2" w:space="0" w:color="auto"/>
              <w:left w:val="single" w:sz="2" w:space="0" w:color="auto"/>
              <w:bottom w:val="single" w:sz="2" w:space="0" w:color="auto"/>
              <w:right w:val="single" w:sz="2" w:space="0" w:color="auto"/>
            </w:tcBorders>
            <w:vAlign w:val="center"/>
          </w:tcPr>
          <w:p w14:paraId="5DAEC87B"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36,813,305</w:t>
            </w:r>
          </w:p>
        </w:tc>
        <w:tc>
          <w:tcPr>
            <w:tcW w:w="1245" w:type="dxa"/>
            <w:tcBorders>
              <w:top w:val="single" w:sz="2" w:space="0" w:color="auto"/>
              <w:left w:val="single" w:sz="2" w:space="0" w:color="auto"/>
              <w:bottom w:val="single" w:sz="2" w:space="0" w:color="auto"/>
              <w:right w:val="single" w:sz="2" w:space="0" w:color="auto"/>
            </w:tcBorders>
            <w:vAlign w:val="center"/>
          </w:tcPr>
          <w:p w14:paraId="154DF0FA"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3,528,600</w:t>
            </w:r>
          </w:p>
        </w:tc>
        <w:tc>
          <w:tcPr>
            <w:tcW w:w="897" w:type="dxa"/>
            <w:tcBorders>
              <w:top w:val="single" w:sz="2" w:space="0" w:color="auto"/>
              <w:left w:val="single" w:sz="2" w:space="0" w:color="auto"/>
              <w:bottom w:val="single" w:sz="2" w:space="0" w:color="auto"/>
              <w:right w:val="single" w:sz="2" w:space="0" w:color="auto"/>
            </w:tcBorders>
            <w:vAlign w:val="center"/>
          </w:tcPr>
          <w:p w14:paraId="6A225593"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29" w:type="dxa"/>
            <w:tcBorders>
              <w:top w:val="single" w:sz="2" w:space="0" w:color="auto"/>
              <w:left w:val="single" w:sz="2" w:space="0" w:color="auto"/>
              <w:bottom w:val="single" w:sz="2" w:space="0" w:color="auto"/>
              <w:right w:val="single" w:sz="2" w:space="0" w:color="auto"/>
            </w:tcBorders>
            <w:vAlign w:val="center"/>
          </w:tcPr>
          <w:p w14:paraId="4239CF6E"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36,813,305</w:t>
            </w:r>
          </w:p>
        </w:tc>
        <w:tc>
          <w:tcPr>
            <w:tcW w:w="850" w:type="dxa"/>
            <w:tcBorders>
              <w:top w:val="single" w:sz="2" w:space="0" w:color="auto"/>
              <w:left w:val="single" w:sz="2" w:space="0" w:color="auto"/>
              <w:bottom w:val="single" w:sz="2" w:space="0" w:color="auto"/>
              <w:right w:val="single" w:sz="2" w:space="0" w:color="auto"/>
            </w:tcBorders>
            <w:vAlign w:val="center"/>
          </w:tcPr>
          <w:p w14:paraId="3ED77F6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6C40A24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7D224FE5" w14:textId="77777777" w:rsidTr="0084625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33F6E642"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晟弘资产</w:t>
            </w:r>
            <w:proofErr w:type="gramEnd"/>
            <w:r w:rsidRPr="00F614F9">
              <w:rPr>
                <w:rFonts w:ascii="Times New Roman" w:eastAsia="宋体" w:hAnsi="Times New Roman" w:cs="宋体"/>
                <w:sz w:val="18"/>
                <w:szCs w:val="18"/>
              </w:rPr>
              <w:t>管理（珠海）有限公司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21EC4FF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境内非国有法人</w:t>
            </w:r>
          </w:p>
        </w:tc>
        <w:tc>
          <w:tcPr>
            <w:tcW w:w="977" w:type="dxa"/>
            <w:tcBorders>
              <w:top w:val="single" w:sz="2" w:space="0" w:color="auto"/>
              <w:left w:val="single" w:sz="2" w:space="0" w:color="auto"/>
              <w:bottom w:val="single" w:sz="2" w:space="0" w:color="auto"/>
              <w:right w:val="single" w:sz="2" w:space="0" w:color="auto"/>
            </w:tcBorders>
            <w:vAlign w:val="center"/>
          </w:tcPr>
          <w:p w14:paraId="01C37B7D"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2.72%</w:t>
            </w:r>
          </w:p>
        </w:tc>
        <w:tc>
          <w:tcPr>
            <w:tcW w:w="1165" w:type="dxa"/>
            <w:tcBorders>
              <w:top w:val="single" w:sz="2" w:space="0" w:color="auto"/>
              <w:left w:val="single" w:sz="2" w:space="0" w:color="auto"/>
              <w:bottom w:val="single" w:sz="2" w:space="0" w:color="auto"/>
              <w:right w:val="single" w:sz="2" w:space="0" w:color="auto"/>
            </w:tcBorders>
            <w:vAlign w:val="center"/>
          </w:tcPr>
          <w:p w14:paraId="436520F5"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29,376,135</w:t>
            </w:r>
          </w:p>
        </w:tc>
        <w:tc>
          <w:tcPr>
            <w:tcW w:w="1245" w:type="dxa"/>
            <w:tcBorders>
              <w:top w:val="single" w:sz="2" w:space="0" w:color="auto"/>
              <w:left w:val="single" w:sz="2" w:space="0" w:color="auto"/>
              <w:bottom w:val="single" w:sz="2" w:space="0" w:color="auto"/>
              <w:right w:val="single" w:sz="2" w:space="0" w:color="auto"/>
            </w:tcBorders>
            <w:vAlign w:val="center"/>
          </w:tcPr>
          <w:p w14:paraId="19AE39D7"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23,458,635</w:t>
            </w:r>
          </w:p>
        </w:tc>
        <w:tc>
          <w:tcPr>
            <w:tcW w:w="897" w:type="dxa"/>
            <w:tcBorders>
              <w:top w:val="single" w:sz="2" w:space="0" w:color="auto"/>
              <w:left w:val="single" w:sz="2" w:space="0" w:color="auto"/>
              <w:bottom w:val="single" w:sz="2" w:space="0" w:color="auto"/>
              <w:right w:val="single" w:sz="2" w:space="0" w:color="auto"/>
            </w:tcBorders>
            <w:vAlign w:val="center"/>
          </w:tcPr>
          <w:p w14:paraId="4BEDA7A0"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29" w:type="dxa"/>
            <w:tcBorders>
              <w:top w:val="single" w:sz="2" w:space="0" w:color="auto"/>
              <w:left w:val="single" w:sz="2" w:space="0" w:color="auto"/>
              <w:bottom w:val="single" w:sz="2" w:space="0" w:color="auto"/>
              <w:right w:val="single" w:sz="2" w:space="0" w:color="auto"/>
            </w:tcBorders>
            <w:vAlign w:val="center"/>
          </w:tcPr>
          <w:p w14:paraId="774479A4"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29,376,135</w:t>
            </w:r>
          </w:p>
        </w:tc>
        <w:tc>
          <w:tcPr>
            <w:tcW w:w="850" w:type="dxa"/>
            <w:tcBorders>
              <w:top w:val="single" w:sz="2" w:space="0" w:color="auto"/>
              <w:left w:val="single" w:sz="2" w:space="0" w:color="auto"/>
              <w:bottom w:val="single" w:sz="2" w:space="0" w:color="auto"/>
              <w:right w:val="single" w:sz="2" w:space="0" w:color="auto"/>
            </w:tcBorders>
            <w:vAlign w:val="center"/>
          </w:tcPr>
          <w:p w14:paraId="18FB849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041A39A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0DF3EA41" w14:textId="77777777" w:rsidTr="0084625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860060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伊藤忠（中国）集团有限公司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06D4A59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境内非国有法人</w:t>
            </w:r>
          </w:p>
        </w:tc>
        <w:tc>
          <w:tcPr>
            <w:tcW w:w="977" w:type="dxa"/>
            <w:tcBorders>
              <w:top w:val="single" w:sz="2" w:space="0" w:color="auto"/>
              <w:left w:val="single" w:sz="2" w:space="0" w:color="auto"/>
              <w:bottom w:val="single" w:sz="2" w:space="0" w:color="auto"/>
              <w:right w:val="single" w:sz="2" w:space="0" w:color="auto"/>
            </w:tcBorders>
            <w:vAlign w:val="center"/>
          </w:tcPr>
          <w:p w14:paraId="26E18AA4"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2.57%</w:t>
            </w:r>
          </w:p>
        </w:tc>
        <w:tc>
          <w:tcPr>
            <w:tcW w:w="1165" w:type="dxa"/>
            <w:tcBorders>
              <w:top w:val="single" w:sz="2" w:space="0" w:color="auto"/>
              <w:left w:val="single" w:sz="2" w:space="0" w:color="auto"/>
              <w:bottom w:val="single" w:sz="2" w:space="0" w:color="auto"/>
              <w:right w:val="single" w:sz="2" w:space="0" w:color="auto"/>
            </w:tcBorders>
            <w:vAlign w:val="center"/>
          </w:tcPr>
          <w:p w14:paraId="359087ED"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27,716,500</w:t>
            </w:r>
          </w:p>
        </w:tc>
        <w:tc>
          <w:tcPr>
            <w:tcW w:w="1245" w:type="dxa"/>
            <w:tcBorders>
              <w:top w:val="single" w:sz="2" w:space="0" w:color="auto"/>
              <w:left w:val="single" w:sz="2" w:space="0" w:color="auto"/>
              <w:bottom w:val="single" w:sz="2" w:space="0" w:color="auto"/>
              <w:right w:val="single" w:sz="2" w:space="0" w:color="auto"/>
            </w:tcBorders>
            <w:vAlign w:val="center"/>
          </w:tcPr>
          <w:p w14:paraId="04BB5A7B"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897" w:type="dxa"/>
            <w:tcBorders>
              <w:top w:val="single" w:sz="2" w:space="0" w:color="auto"/>
              <w:left w:val="single" w:sz="2" w:space="0" w:color="auto"/>
              <w:bottom w:val="single" w:sz="2" w:space="0" w:color="auto"/>
              <w:right w:val="single" w:sz="2" w:space="0" w:color="auto"/>
            </w:tcBorders>
            <w:vAlign w:val="center"/>
          </w:tcPr>
          <w:p w14:paraId="228AC9D2"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29" w:type="dxa"/>
            <w:tcBorders>
              <w:top w:val="single" w:sz="2" w:space="0" w:color="auto"/>
              <w:left w:val="single" w:sz="2" w:space="0" w:color="auto"/>
              <w:bottom w:val="single" w:sz="2" w:space="0" w:color="auto"/>
              <w:right w:val="single" w:sz="2" w:space="0" w:color="auto"/>
            </w:tcBorders>
            <w:vAlign w:val="center"/>
          </w:tcPr>
          <w:p w14:paraId="416D4C6A"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27,716,500</w:t>
            </w:r>
          </w:p>
        </w:tc>
        <w:tc>
          <w:tcPr>
            <w:tcW w:w="850" w:type="dxa"/>
            <w:tcBorders>
              <w:top w:val="single" w:sz="2" w:space="0" w:color="auto"/>
              <w:left w:val="single" w:sz="2" w:space="0" w:color="auto"/>
              <w:bottom w:val="single" w:sz="2" w:space="0" w:color="auto"/>
              <w:right w:val="single" w:sz="2" w:space="0" w:color="auto"/>
            </w:tcBorders>
            <w:vAlign w:val="center"/>
          </w:tcPr>
          <w:p w14:paraId="1919512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7B4B2C6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20DFBCE9" w14:textId="77777777" w:rsidTr="0084625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16E69F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上海鼎译智能科技有限公司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63E35AC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境内非国有法人</w:t>
            </w:r>
          </w:p>
        </w:tc>
        <w:tc>
          <w:tcPr>
            <w:tcW w:w="977" w:type="dxa"/>
            <w:tcBorders>
              <w:top w:val="single" w:sz="2" w:space="0" w:color="auto"/>
              <w:left w:val="single" w:sz="2" w:space="0" w:color="auto"/>
              <w:bottom w:val="single" w:sz="2" w:space="0" w:color="auto"/>
              <w:right w:val="single" w:sz="2" w:space="0" w:color="auto"/>
            </w:tcBorders>
            <w:vAlign w:val="center"/>
          </w:tcPr>
          <w:p w14:paraId="241F6E46"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1.96%</w:t>
            </w:r>
          </w:p>
        </w:tc>
        <w:tc>
          <w:tcPr>
            <w:tcW w:w="1165" w:type="dxa"/>
            <w:tcBorders>
              <w:top w:val="single" w:sz="2" w:space="0" w:color="auto"/>
              <w:left w:val="single" w:sz="2" w:space="0" w:color="auto"/>
              <w:bottom w:val="single" w:sz="2" w:space="0" w:color="auto"/>
              <w:right w:val="single" w:sz="2" w:space="0" w:color="auto"/>
            </w:tcBorders>
            <w:vAlign w:val="center"/>
          </w:tcPr>
          <w:p w14:paraId="64D63A4F"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21,116,171</w:t>
            </w:r>
          </w:p>
        </w:tc>
        <w:tc>
          <w:tcPr>
            <w:tcW w:w="1245" w:type="dxa"/>
            <w:tcBorders>
              <w:top w:val="single" w:sz="2" w:space="0" w:color="auto"/>
              <w:left w:val="single" w:sz="2" w:space="0" w:color="auto"/>
              <w:bottom w:val="single" w:sz="2" w:space="0" w:color="auto"/>
              <w:right w:val="single" w:sz="2" w:space="0" w:color="auto"/>
            </w:tcBorders>
            <w:vAlign w:val="center"/>
          </w:tcPr>
          <w:p w14:paraId="0987E276"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6,412,297</w:t>
            </w:r>
          </w:p>
        </w:tc>
        <w:tc>
          <w:tcPr>
            <w:tcW w:w="897" w:type="dxa"/>
            <w:tcBorders>
              <w:top w:val="single" w:sz="2" w:space="0" w:color="auto"/>
              <w:left w:val="single" w:sz="2" w:space="0" w:color="auto"/>
              <w:bottom w:val="single" w:sz="2" w:space="0" w:color="auto"/>
              <w:right w:val="single" w:sz="2" w:space="0" w:color="auto"/>
            </w:tcBorders>
            <w:vAlign w:val="center"/>
          </w:tcPr>
          <w:p w14:paraId="3D0782B6"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29" w:type="dxa"/>
            <w:tcBorders>
              <w:top w:val="single" w:sz="2" w:space="0" w:color="auto"/>
              <w:left w:val="single" w:sz="2" w:space="0" w:color="auto"/>
              <w:bottom w:val="single" w:sz="2" w:space="0" w:color="auto"/>
              <w:right w:val="single" w:sz="2" w:space="0" w:color="auto"/>
            </w:tcBorders>
            <w:vAlign w:val="center"/>
          </w:tcPr>
          <w:p w14:paraId="642E62A5"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21,116,171</w:t>
            </w:r>
          </w:p>
        </w:tc>
        <w:tc>
          <w:tcPr>
            <w:tcW w:w="850" w:type="dxa"/>
            <w:tcBorders>
              <w:top w:val="single" w:sz="2" w:space="0" w:color="auto"/>
              <w:left w:val="single" w:sz="2" w:space="0" w:color="auto"/>
              <w:bottom w:val="single" w:sz="2" w:space="0" w:color="auto"/>
              <w:right w:val="single" w:sz="2" w:space="0" w:color="auto"/>
            </w:tcBorders>
            <w:vAlign w:val="center"/>
          </w:tcPr>
          <w:p w14:paraId="628B4EA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15560A8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602FAA02" w14:textId="77777777" w:rsidTr="0084625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25EE98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上海芬隆实业有限公司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4E3179F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境内非国有法人</w:t>
            </w:r>
          </w:p>
        </w:tc>
        <w:tc>
          <w:tcPr>
            <w:tcW w:w="977" w:type="dxa"/>
            <w:tcBorders>
              <w:top w:val="single" w:sz="2" w:space="0" w:color="auto"/>
              <w:left w:val="single" w:sz="2" w:space="0" w:color="auto"/>
              <w:bottom w:val="single" w:sz="2" w:space="0" w:color="auto"/>
              <w:right w:val="single" w:sz="2" w:space="0" w:color="auto"/>
            </w:tcBorders>
            <w:vAlign w:val="center"/>
          </w:tcPr>
          <w:p w14:paraId="5B20F316"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1.70%</w:t>
            </w:r>
          </w:p>
        </w:tc>
        <w:tc>
          <w:tcPr>
            <w:tcW w:w="1165" w:type="dxa"/>
            <w:tcBorders>
              <w:top w:val="single" w:sz="2" w:space="0" w:color="auto"/>
              <w:left w:val="single" w:sz="2" w:space="0" w:color="auto"/>
              <w:bottom w:val="single" w:sz="2" w:space="0" w:color="auto"/>
              <w:right w:val="single" w:sz="2" w:space="0" w:color="auto"/>
            </w:tcBorders>
            <w:vAlign w:val="center"/>
          </w:tcPr>
          <w:p w14:paraId="1A1A8496"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18,325,963</w:t>
            </w:r>
          </w:p>
        </w:tc>
        <w:tc>
          <w:tcPr>
            <w:tcW w:w="1245" w:type="dxa"/>
            <w:tcBorders>
              <w:top w:val="single" w:sz="2" w:space="0" w:color="auto"/>
              <w:left w:val="single" w:sz="2" w:space="0" w:color="auto"/>
              <w:bottom w:val="single" w:sz="2" w:space="0" w:color="auto"/>
              <w:right w:val="single" w:sz="2" w:space="0" w:color="auto"/>
            </w:tcBorders>
            <w:vAlign w:val="center"/>
          </w:tcPr>
          <w:p w14:paraId="065D300F"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-3,579,461</w:t>
            </w:r>
          </w:p>
        </w:tc>
        <w:tc>
          <w:tcPr>
            <w:tcW w:w="897" w:type="dxa"/>
            <w:tcBorders>
              <w:top w:val="single" w:sz="2" w:space="0" w:color="auto"/>
              <w:left w:val="single" w:sz="2" w:space="0" w:color="auto"/>
              <w:bottom w:val="single" w:sz="2" w:space="0" w:color="auto"/>
              <w:right w:val="single" w:sz="2" w:space="0" w:color="auto"/>
            </w:tcBorders>
            <w:vAlign w:val="center"/>
          </w:tcPr>
          <w:p w14:paraId="40096074"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29" w:type="dxa"/>
            <w:tcBorders>
              <w:top w:val="single" w:sz="2" w:space="0" w:color="auto"/>
              <w:left w:val="single" w:sz="2" w:space="0" w:color="auto"/>
              <w:bottom w:val="single" w:sz="2" w:space="0" w:color="auto"/>
              <w:right w:val="single" w:sz="2" w:space="0" w:color="auto"/>
            </w:tcBorders>
            <w:vAlign w:val="center"/>
          </w:tcPr>
          <w:p w14:paraId="42C6140A"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18,325,963</w:t>
            </w:r>
          </w:p>
        </w:tc>
        <w:tc>
          <w:tcPr>
            <w:tcW w:w="850" w:type="dxa"/>
            <w:tcBorders>
              <w:top w:val="single" w:sz="2" w:space="0" w:color="auto"/>
              <w:left w:val="single" w:sz="2" w:space="0" w:color="auto"/>
              <w:bottom w:val="single" w:sz="2" w:space="0" w:color="auto"/>
              <w:right w:val="single" w:sz="2" w:space="0" w:color="auto"/>
            </w:tcBorders>
            <w:vAlign w:val="center"/>
          </w:tcPr>
          <w:p w14:paraId="43FB8B9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2425FB8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3B1D4C0F" w14:textId="77777777" w:rsidTr="0084625D">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1F99F68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成都正骐投资管理有限公司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正</w:t>
            </w:r>
            <w:proofErr w:type="gramStart"/>
            <w:r w:rsidRPr="00F614F9">
              <w:rPr>
                <w:rFonts w:ascii="Times New Roman" w:eastAsia="宋体" w:hAnsi="Times New Roman" w:cs="宋体"/>
                <w:sz w:val="18"/>
                <w:szCs w:val="18"/>
              </w:rPr>
              <w:t>骐</w:t>
            </w:r>
            <w:proofErr w:type="gramEnd"/>
            <w:r w:rsidRPr="00F614F9">
              <w:rPr>
                <w:rFonts w:ascii="Times New Roman" w:eastAsia="宋体" w:hAnsi="Times New Roman" w:cs="宋体"/>
                <w:sz w:val="18"/>
                <w:szCs w:val="18"/>
              </w:rPr>
              <w:t>消费一号私募证券投资基金</w:t>
            </w:r>
          </w:p>
        </w:tc>
        <w:tc>
          <w:tcPr>
            <w:tcW w:w="1071" w:type="dxa"/>
            <w:tcBorders>
              <w:top w:val="single" w:sz="2" w:space="0" w:color="auto"/>
              <w:left w:val="single" w:sz="2" w:space="0" w:color="auto"/>
              <w:bottom w:val="single" w:sz="2" w:space="0" w:color="auto"/>
              <w:right w:val="single" w:sz="2" w:space="0" w:color="auto"/>
            </w:tcBorders>
            <w:vAlign w:val="center"/>
          </w:tcPr>
          <w:p w14:paraId="70927C4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977" w:type="dxa"/>
            <w:tcBorders>
              <w:top w:val="single" w:sz="2" w:space="0" w:color="auto"/>
              <w:left w:val="single" w:sz="2" w:space="0" w:color="auto"/>
              <w:bottom w:val="single" w:sz="2" w:space="0" w:color="auto"/>
              <w:right w:val="single" w:sz="2" w:space="0" w:color="auto"/>
            </w:tcBorders>
            <w:vAlign w:val="center"/>
          </w:tcPr>
          <w:p w14:paraId="3EB72363"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1.66%</w:t>
            </w:r>
          </w:p>
        </w:tc>
        <w:tc>
          <w:tcPr>
            <w:tcW w:w="1165" w:type="dxa"/>
            <w:tcBorders>
              <w:top w:val="single" w:sz="2" w:space="0" w:color="auto"/>
              <w:left w:val="single" w:sz="2" w:space="0" w:color="auto"/>
              <w:bottom w:val="single" w:sz="2" w:space="0" w:color="auto"/>
              <w:right w:val="single" w:sz="2" w:space="0" w:color="auto"/>
            </w:tcBorders>
            <w:vAlign w:val="center"/>
          </w:tcPr>
          <w:p w14:paraId="12D5543A"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17,960,000</w:t>
            </w:r>
          </w:p>
        </w:tc>
        <w:tc>
          <w:tcPr>
            <w:tcW w:w="1245" w:type="dxa"/>
            <w:tcBorders>
              <w:top w:val="single" w:sz="2" w:space="0" w:color="auto"/>
              <w:left w:val="single" w:sz="2" w:space="0" w:color="auto"/>
              <w:bottom w:val="single" w:sz="2" w:space="0" w:color="auto"/>
              <w:right w:val="single" w:sz="2" w:space="0" w:color="auto"/>
            </w:tcBorders>
            <w:vAlign w:val="center"/>
          </w:tcPr>
          <w:p w14:paraId="1D0CDE95"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-10,610,000</w:t>
            </w:r>
          </w:p>
        </w:tc>
        <w:tc>
          <w:tcPr>
            <w:tcW w:w="897" w:type="dxa"/>
            <w:tcBorders>
              <w:top w:val="single" w:sz="2" w:space="0" w:color="auto"/>
              <w:left w:val="single" w:sz="2" w:space="0" w:color="auto"/>
              <w:bottom w:val="single" w:sz="2" w:space="0" w:color="auto"/>
              <w:right w:val="single" w:sz="2" w:space="0" w:color="auto"/>
            </w:tcBorders>
            <w:vAlign w:val="center"/>
          </w:tcPr>
          <w:p w14:paraId="11C3C5BC"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229" w:type="dxa"/>
            <w:tcBorders>
              <w:top w:val="single" w:sz="2" w:space="0" w:color="auto"/>
              <w:left w:val="single" w:sz="2" w:space="0" w:color="auto"/>
              <w:bottom w:val="single" w:sz="2" w:space="0" w:color="auto"/>
              <w:right w:val="single" w:sz="2" w:space="0" w:color="auto"/>
            </w:tcBorders>
            <w:vAlign w:val="center"/>
          </w:tcPr>
          <w:p w14:paraId="1E857B57" w14:textId="77777777" w:rsidR="001D26E7" w:rsidRPr="00F614F9" w:rsidRDefault="00000000" w:rsidP="00A3396D">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17,960,000</w:t>
            </w:r>
          </w:p>
        </w:tc>
        <w:tc>
          <w:tcPr>
            <w:tcW w:w="850" w:type="dxa"/>
            <w:tcBorders>
              <w:top w:val="single" w:sz="2" w:space="0" w:color="auto"/>
              <w:left w:val="single" w:sz="2" w:space="0" w:color="auto"/>
              <w:bottom w:val="single" w:sz="2" w:space="0" w:color="auto"/>
              <w:right w:val="single" w:sz="2" w:space="0" w:color="auto"/>
            </w:tcBorders>
            <w:vAlign w:val="center"/>
          </w:tcPr>
          <w:p w14:paraId="01D97B5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0F5E98E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r>
      <w:tr w:rsidR="001D26E7" w:rsidRPr="00F614F9" w14:paraId="7A38BDF1" w14:textId="7777777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DFBC06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战略投资者或一般法人因配售新股成为前</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名股东的情况（如有）（参见注</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w:t>
            </w:r>
          </w:p>
        </w:tc>
        <w:tc>
          <w:tcPr>
            <w:tcW w:w="7497" w:type="dxa"/>
            <w:gridSpan w:val="7"/>
            <w:tcBorders>
              <w:top w:val="single" w:sz="2" w:space="0" w:color="auto"/>
              <w:left w:val="single" w:sz="2" w:space="0" w:color="auto"/>
              <w:bottom w:val="single" w:sz="2" w:space="0" w:color="auto"/>
              <w:right w:val="single" w:sz="2" w:space="0" w:color="auto"/>
            </w:tcBorders>
            <w:vAlign w:val="center"/>
          </w:tcPr>
          <w:p w14:paraId="6E10166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无</w:t>
            </w:r>
          </w:p>
        </w:tc>
      </w:tr>
      <w:tr w:rsidR="001D26E7" w:rsidRPr="00F614F9" w14:paraId="5AD1BAE8" w14:textId="7777777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DDBB3D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上述股东关联关系或一致行动的说明</w:t>
            </w:r>
          </w:p>
        </w:tc>
        <w:tc>
          <w:tcPr>
            <w:tcW w:w="7497" w:type="dxa"/>
            <w:gridSpan w:val="7"/>
            <w:tcBorders>
              <w:top w:val="single" w:sz="2" w:space="0" w:color="auto"/>
              <w:left w:val="single" w:sz="2" w:space="0" w:color="auto"/>
              <w:bottom w:val="single" w:sz="2" w:space="0" w:color="auto"/>
              <w:right w:val="single" w:sz="2" w:space="0" w:color="auto"/>
            </w:tcBorders>
            <w:vAlign w:val="center"/>
          </w:tcPr>
          <w:p w14:paraId="20904C7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公司未知前</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股东之间是否存在关联关系，也未知是否属于一致行动人。</w:t>
            </w:r>
          </w:p>
        </w:tc>
      </w:tr>
      <w:tr w:rsidR="001D26E7" w:rsidRPr="00F614F9" w14:paraId="5539FCD4" w14:textId="7777777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AFC3C0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上述股东涉及委托</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受托表决权、放弃表决权情况的说明</w:t>
            </w:r>
          </w:p>
        </w:tc>
        <w:tc>
          <w:tcPr>
            <w:tcW w:w="7497" w:type="dxa"/>
            <w:gridSpan w:val="7"/>
            <w:tcBorders>
              <w:top w:val="single" w:sz="2" w:space="0" w:color="auto"/>
              <w:left w:val="single" w:sz="2" w:space="0" w:color="auto"/>
              <w:bottom w:val="single" w:sz="2" w:space="0" w:color="auto"/>
              <w:right w:val="single" w:sz="2" w:space="0" w:color="auto"/>
            </w:tcBorders>
            <w:vAlign w:val="center"/>
          </w:tcPr>
          <w:p w14:paraId="7997F25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无</w:t>
            </w:r>
          </w:p>
        </w:tc>
      </w:tr>
      <w:tr w:rsidR="001D26E7" w:rsidRPr="00F614F9" w14:paraId="37C0D3D4" w14:textId="7777777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CA5347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前</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名股东中存在回购专户的特别说明（如有）（参见注</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w:t>
            </w:r>
          </w:p>
        </w:tc>
        <w:tc>
          <w:tcPr>
            <w:tcW w:w="7497" w:type="dxa"/>
            <w:gridSpan w:val="7"/>
            <w:tcBorders>
              <w:top w:val="single" w:sz="2" w:space="0" w:color="auto"/>
              <w:left w:val="single" w:sz="2" w:space="0" w:color="auto"/>
              <w:bottom w:val="single" w:sz="2" w:space="0" w:color="auto"/>
              <w:right w:val="single" w:sz="2" w:space="0" w:color="auto"/>
            </w:tcBorders>
            <w:vAlign w:val="center"/>
          </w:tcPr>
          <w:p w14:paraId="58D9D4A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前</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名股东中，山东龙大美食股份有限公司回购专用证券账户持有</w:t>
            </w:r>
            <w:r w:rsidRPr="00F614F9">
              <w:rPr>
                <w:rFonts w:ascii="Times New Roman" w:eastAsia="宋体" w:hAnsi="Times New Roman" w:cs="宋体"/>
                <w:sz w:val="18"/>
                <w:szCs w:val="18"/>
              </w:rPr>
              <w:t>41</w:t>
            </w:r>
            <w:r w:rsidR="0084625D" w:rsidRPr="00F614F9">
              <w:rPr>
                <w:rFonts w:ascii="Times New Roman" w:eastAsia="宋体" w:hAnsi="Times New Roman" w:cs="宋体" w:hint="eastAsia"/>
                <w:sz w:val="18"/>
                <w:szCs w:val="18"/>
              </w:rPr>
              <w:t>,</w:t>
            </w:r>
            <w:r w:rsidRPr="00F614F9">
              <w:rPr>
                <w:rFonts w:ascii="Times New Roman" w:eastAsia="宋体" w:hAnsi="Times New Roman" w:cs="宋体"/>
                <w:sz w:val="18"/>
                <w:szCs w:val="18"/>
              </w:rPr>
              <w:t>417</w:t>
            </w:r>
            <w:r w:rsidR="0084625D" w:rsidRPr="00F614F9">
              <w:rPr>
                <w:rFonts w:ascii="Times New Roman" w:eastAsia="宋体" w:hAnsi="Times New Roman" w:cs="宋体" w:hint="eastAsia"/>
                <w:sz w:val="18"/>
                <w:szCs w:val="18"/>
              </w:rPr>
              <w:t>,</w:t>
            </w:r>
            <w:r w:rsidRPr="00F614F9">
              <w:rPr>
                <w:rFonts w:ascii="Times New Roman" w:eastAsia="宋体" w:hAnsi="Times New Roman" w:cs="宋体"/>
                <w:sz w:val="18"/>
                <w:szCs w:val="18"/>
              </w:rPr>
              <w:t>183</w:t>
            </w:r>
            <w:r w:rsidRPr="00F614F9">
              <w:rPr>
                <w:rFonts w:ascii="Times New Roman" w:eastAsia="宋体" w:hAnsi="Times New Roman" w:cs="宋体"/>
                <w:sz w:val="18"/>
                <w:szCs w:val="18"/>
              </w:rPr>
              <w:t>股，持有比例为</w:t>
            </w:r>
            <w:r w:rsidRPr="00F614F9">
              <w:rPr>
                <w:rFonts w:ascii="Times New Roman" w:eastAsia="宋体" w:hAnsi="Times New Roman" w:cs="宋体"/>
                <w:sz w:val="18"/>
                <w:szCs w:val="18"/>
              </w:rPr>
              <w:t>3.84%</w:t>
            </w:r>
            <w:r w:rsidRPr="00F614F9">
              <w:rPr>
                <w:rFonts w:ascii="Times New Roman" w:eastAsia="宋体" w:hAnsi="Times New Roman" w:cs="宋体"/>
                <w:sz w:val="18"/>
                <w:szCs w:val="18"/>
              </w:rPr>
              <w:t>。</w:t>
            </w:r>
          </w:p>
        </w:tc>
      </w:tr>
      <w:tr w:rsidR="001D26E7" w:rsidRPr="00F614F9" w14:paraId="28B617B9" w14:textId="77777777">
        <w:trPr>
          <w:trHeight w:val="240"/>
        </w:trPr>
        <w:tc>
          <w:tcPr>
            <w:tcW w:w="9639"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14:paraId="7B8B43D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前</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名无限</w:t>
            </w:r>
            <w:proofErr w:type="gramStart"/>
            <w:r w:rsidRPr="00F614F9">
              <w:rPr>
                <w:rFonts w:ascii="Times New Roman" w:eastAsia="宋体" w:hAnsi="Times New Roman" w:cs="宋体"/>
                <w:sz w:val="18"/>
                <w:szCs w:val="18"/>
              </w:rPr>
              <w:t>售条件</w:t>
            </w:r>
            <w:proofErr w:type="gramEnd"/>
            <w:r w:rsidRPr="00F614F9">
              <w:rPr>
                <w:rFonts w:ascii="Times New Roman" w:eastAsia="宋体" w:hAnsi="Times New Roman" w:cs="宋体"/>
                <w:sz w:val="18"/>
                <w:szCs w:val="18"/>
              </w:rPr>
              <w:t>股东持股情况</w:t>
            </w:r>
          </w:p>
        </w:tc>
      </w:tr>
      <w:tr w:rsidR="001D26E7" w:rsidRPr="00F614F9" w14:paraId="7AFB7638" w14:textId="77777777" w:rsidTr="00A3396D">
        <w:trPr>
          <w:trHeight w:val="240"/>
        </w:trPr>
        <w:tc>
          <w:tcPr>
            <w:tcW w:w="214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CB8E9D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股东名称</w:t>
            </w:r>
          </w:p>
        </w:tc>
        <w:tc>
          <w:tcPr>
            <w:tcW w:w="5513" w:type="dxa"/>
            <w:gridSpan w:val="5"/>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CF01B4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报告期末持有无限</w:t>
            </w:r>
            <w:proofErr w:type="gramStart"/>
            <w:r w:rsidRPr="00F614F9">
              <w:rPr>
                <w:rFonts w:ascii="Times New Roman" w:eastAsia="宋体" w:hAnsi="Times New Roman" w:cs="宋体"/>
                <w:sz w:val="18"/>
                <w:szCs w:val="18"/>
              </w:rPr>
              <w:t>售条件</w:t>
            </w:r>
            <w:proofErr w:type="gramEnd"/>
            <w:r w:rsidRPr="00F614F9">
              <w:rPr>
                <w:rFonts w:ascii="Times New Roman" w:eastAsia="宋体" w:hAnsi="Times New Roman" w:cs="宋体"/>
                <w:sz w:val="18"/>
                <w:szCs w:val="18"/>
              </w:rPr>
              <w:t>股份数量</w:t>
            </w:r>
          </w:p>
        </w:tc>
        <w:tc>
          <w:tcPr>
            <w:tcW w:w="198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253269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股份种类</w:t>
            </w:r>
          </w:p>
        </w:tc>
      </w:tr>
      <w:tr w:rsidR="001D26E7" w:rsidRPr="00F614F9" w14:paraId="3FC3D48B" w14:textId="77777777" w:rsidTr="0084625D">
        <w:trPr>
          <w:trHeight w:val="240"/>
        </w:trPr>
        <w:tc>
          <w:tcPr>
            <w:tcW w:w="2142"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1BF331C4" w14:textId="77777777" w:rsidR="001D26E7" w:rsidRPr="00F614F9" w:rsidRDefault="001D26E7">
            <w:pPr>
              <w:rPr>
                <w:rFonts w:ascii="Times New Roman" w:hAnsi="Times New Roman"/>
              </w:rPr>
            </w:pPr>
          </w:p>
        </w:tc>
        <w:tc>
          <w:tcPr>
            <w:tcW w:w="5513" w:type="dxa"/>
            <w:gridSpan w:val="5"/>
            <w:vMerge/>
            <w:tcBorders>
              <w:top w:val="single" w:sz="2" w:space="0" w:color="auto"/>
              <w:left w:val="single" w:sz="2" w:space="0" w:color="auto"/>
              <w:bottom w:val="single" w:sz="2" w:space="0" w:color="auto"/>
              <w:right w:val="single" w:sz="2" w:space="0" w:color="auto"/>
            </w:tcBorders>
            <w:shd w:val="clear" w:color="auto" w:fill="D3D3D3"/>
            <w:vAlign w:val="center"/>
          </w:tcPr>
          <w:p w14:paraId="5BC8E393" w14:textId="77777777" w:rsidR="001D26E7" w:rsidRPr="00F614F9" w:rsidRDefault="001D26E7">
            <w:pPr>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44CF612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股份种类</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2CF24C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数量</w:t>
            </w:r>
          </w:p>
        </w:tc>
      </w:tr>
      <w:tr w:rsidR="001D26E7" w:rsidRPr="00F614F9" w14:paraId="6C76EE57" w14:textId="77777777" w:rsidTr="0084625D">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14:paraId="56BDACF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5513" w:type="dxa"/>
            <w:gridSpan w:val="5"/>
            <w:tcBorders>
              <w:top w:val="single" w:sz="2" w:space="0" w:color="auto"/>
              <w:left w:val="single" w:sz="2" w:space="0" w:color="auto"/>
              <w:bottom w:val="single" w:sz="2" w:space="0" w:color="auto"/>
              <w:right w:val="single" w:sz="2" w:space="0" w:color="auto"/>
            </w:tcBorders>
            <w:vAlign w:val="center"/>
          </w:tcPr>
          <w:p w14:paraId="45A0683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293,885,800</w:t>
            </w:r>
          </w:p>
        </w:tc>
        <w:tc>
          <w:tcPr>
            <w:tcW w:w="850" w:type="dxa"/>
            <w:tcBorders>
              <w:top w:val="single" w:sz="2" w:space="0" w:color="auto"/>
              <w:left w:val="single" w:sz="2" w:space="0" w:color="auto"/>
              <w:bottom w:val="single" w:sz="2" w:space="0" w:color="auto"/>
              <w:right w:val="single" w:sz="2" w:space="0" w:color="auto"/>
            </w:tcBorders>
            <w:vAlign w:val="center"/>
          </w:tcPr>
          <w:p w14:paraId="35CB484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52A058A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293,885,800</w:t>
            </w:r>
          </w:p>
        </w:tc>
      </w:tr>
      <w:tr w:rsidR="001D26E7" w:rsidRPr="00F614F9" w14:paraId="2B9A96D8" w14:textId="77777777" w:rsidTr="0084625D">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14:paraId="29A2655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莱阳银龙投资有限公司</w:t>
            </w:r>
          </w:p>
        </w:tc>
        <w:tc>
          <w:tcPr>
            <w:tcW w:w="5513" w:type="dxa"/>
            <w:gridSpan w:val="5"/>
            <w:tcBorders>
              <w:top w:val="single" w:sz="2" w:space="0" w:color="auto"/>
              <w:left w:val="single" w:sz="2" w:space="0" w:color="auto"/>
              <w:bottom w:val="single" w:sz="2" w:space="0" w:color="auto"/>
              <w:right w:val="single" w:sz="2" w:space="0" w:color="auto"/>
            </w:tcBorders>
            <w:vAlign w:val="center"/>
          </w:tcPr>
          <w:p w14:paraId="561747A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78,676,000</w:t>
            </w:r>
          </w:p>
        </w:tc>
        <w:tc>
          <w:tcPr>
            <w:tcW w:w="850" w:type="dxa"/>
            <w:tcBorders>
              <w:top w:val="single" w:sz="2" w:space="0" w:color="auto"/>
              <w:left w:val="single" w:sz="2" w:space="0" w:color="auto"/>
              <w:bottom w:val="single" w:sz="2" w:space="0" w:color="auto"/>
              <w:right w:val="single" w:sz="2" w:space="0" w:color="auto"/>
            </w:tcBorders>
            <w:vAlign w:val="center"/>
          </w:tcPr>
          <w:p w14:paraId="562575B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7622AED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78,676,000</w:t>
            </w:r>
          </w:p>
        </w:tc>
      </w:tr>
      <w:tr w:rsidR="001D26E7" w:rsidRPr="00F614F9" w14:paraId="2D265C79" w14:textId="77777777" w:rsidTr="0084625D">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14:paraId="6499B86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w:t>
            </w:r>
            <w:proofErr w:type="gramStart"/>
            <w:r w:rsidRPr="00F614F9">
              <w:rPr>
                <w:rFonts w:ascii="Times New Roman" w:eastAsia="宋体" w:hAnsi="Times New Roman" w:cs="宋体"/>
                <w:sz w:val="18"/>
                <w:szCs w:val="18"/>
              </w:rPr>
              <w:t>洪亨亚</w:t>
            </w:r>
            <w:proofErr w:type="gramEnd"/>
            <w:r w:rsidRPr="00F614F9">
              <w:rPr>
                <w:rFonts w:ascii="Times New Roman" w:eastAsia="宋体" w:hAnsi="Times New Roman" w:cs="宋体"/>
                <w:sz w:val="18"/>
                <w:szCs w:val="18"/>
              </w:rPr>
              <w:t>和实业有限公司</w:t>
            </w:r>
          </w:p>
        </w:tc>
        <w:tc>
          <w:tcPr>
            <w:tcW w:w="5513" w:type="dxa"/>
            <w:gridSpan w:val="5"/>
            <w:tcBorders>
              <w:top w:val="single" w:sz="2" w:space="0" w:color="auto"/>
              <w:left w:val="single" w:sz="2" w:space="0" w:color="auto"/>
              <w:bottom w:val="single" w:sz="2" w:space="0" w:color="auto"/>
              <w:right w:val="single" w:sz="2" w:space="0" w:color="auto"/>
            </w:tcBorders>
            <w:vAlign w:val="center"/>
          </w:tcPr>
          <w:p w14:paraId="784442B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59,714,200</w:t>
            </w:r>
          </w:p>
        </w:tc>
        <w:tc>
          <w:tcPr>
            <w:tcW w:w="850" w:type="dxa"/>
            <w:tcBorders>
              <w:top w:val="single" w:sz="2" w:space="0" w:color="auto"/>
              <w:left w:val="single" w:sz="2" w:space="0" w:color="auto"/>
              <w:bottom w:val="single" w:sz="2" w:space="0" w:color="auto"/>
              <w:right w:val="single" w:sz="2" w:space="0" w:color="auto"/>
            </w:tcBorders>
            <w:vAlign w:val="center"/>
          </w:tcPr>
          <w:p w14:paraId="6DC198D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371148E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59,714,200</w:t>
            </w:r>
          </w:p>
        </w:tc>
      </w:tr>
      <w:tr w:rsidR="001D26E7" w:rsidRPr="00F614F9" w14:paraId="689B615D" w14:textId="77777777" w:rsidTr="0084625D">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14:paraId="33B65B49"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付小铜</w:t>
            </w:r>
            <w:proofErr w:type="gramEnd"/>
          </w:p>
        </w:tc>
        <w:tc>
          <w:tcPr>
            <w:tcW w:w="5513" w:type="dxa"/>
            <w:gridSpan w:val="5"/>
            <w:tcBorders>
              <w:top w:val="single" w:sz="2" w:space="0" w:color="auto"/>
              <w:left w:val="single" w:sz="2" w:space="0" w:color="auto"/>
              <w:bottom w:val="single" w:sz="2" w:space="0" w:color="auto"/>
              <w:right w:val="single" w:sz="2" w:space="0" w:color="auto"/>
            </w:tcBorders>
            <w:vAlign w:val="center"/>
          </w:tcPr>
          <w:p w14:paraId="75D8C46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44,871,342</w:t>
            </w:r>
          </w:p>
        </w:tc>
        <w:tc>
          <w:tcPr>
            <w:tcW w:w="850" w:type="dxa"/>
            <w:tcBorders>
              <w:top w:val="single" w:sz="2" w:space="0" w:color="auto"/>
              <w:left w:val="single" w:sz="2" w:space="0" w:color="auto"/>
              <w:bottom w:val="single" w:sz="2" w:space="0" w:color="auto"/>
              <w:right w:val="single" w:sz="2" w:space="0" w:color="auto"/>
            </w:tcBorders>
            <w:vAlign w:val="center"/>
          </w:tcPr>
          <w:p w14:paraId="17F2944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503050D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44,871,342</w:t>
            </w:r>
          </w:p>
        </w:tc>
      </w:tr>
      <w:tr w:rsidR="001D26E7" w:rsidRPr="00F614F9" w14:paraId="085B4034" w14:textId="77777777" w:rsidTr="0084625D">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14:paraId="2BF30B4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银河德</w:t>
            </w:r>
            <w:proofErr w:type="gramStart"/>
            <w:r w:rsidRPr="00F614F9">
              <w:rPr>
                <w:rFonts w:ascii="Times New Roman" w:eastAsia="宋体" w:hAnsi="Times New Roman" w:cs="宋体"/>
                <w:sz w:val="18"/>
                <w:szCs w:val="18"/>
              </w:rPr>
              <w:t>睿</w:t>
            </w:r>
            <w:proofErr w:type="gramEnd"/>
            <w:r w:rsidRPr="00F614F9">
              <w:rPr>
                <w:rFonts w:ascii="Times New Roman" w:eastAsia="宋体" w:hAnsi="Times New Roman" w:cs="宋体"/>
                <w:sz w:val="18"/>
                <w:szCs w:val="18"/>
              </w:rPr>
              <w:t>资本管理有限公司</w:t>
            </w:r>
          </w:p>
        </w:tc>
        <w:tc>
          <w:tcPr>
            <w:tcW w:w="5513" w:type="dxa"/>
            <w:gridSpan w:val="5"/>
            <w:tcBorders>
              <w:top w:val="single" w:sz="2" w:space="0" w:color="auto"/>
              <w:left w:val="single" w:sz="2" w:space="0" w:color="auto"/>
              <w:bottom w:val="single" w:sz="2" w:space="0" w:color="auto"/>
              <w:right w:val="single" w:sz="2" w:space="0" w:color="auto"/>
            </w:tcBorders>
            <w:vAlign w:val="center"/>
          </w:tcPr>
          <w:p w14:paraId="260431C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36,813,305</w:t>
            </w:r>
          </w:p>
        </w:tc>
        <w:tc>
          <w:tcPr>
            <w:tcW w:w="850" w:type="dxa"/>
            <w:tcBorders>
              <w:top w:val="single" w:sz="2" w:space="0" w:color="auto"/>
              <w:left w:val="single" w:sz="2" w:space="0" w:color="auto"/>
              <w:bottom w:val="single" w:sz="2" w:space="0" w:color="auto"/>
              <w:right w:val="single" w:sz="2" w:space="0" w:color="auto"/>
            </w:tcBorders>
            <w:vAlign w:val="center"/>
          </w:tcPr>
          <w:p w14:paraId="09F685B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5174C94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36,813,305</w:t>
            </w:r>
          </w:p>
        </w:tc>
      </w:tr>
      <w:tr w:rsidR="001D26E7" w:rsidRPr="00F614F9" w14:paraId="7FD31646" w14:textId="77777777" w:rsidTr="0084625D">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14:paraId="2FBACB55"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晟弘资产</w:t>
            </w:r>
            <w:proofErr w:type="gramEnd"/>
            <w:r w:rsidRPr="00F614F9">
              <w:rPr>
                <w:rFonts w:ascii="Times New Roman" w:eastAsia="宋体" w:hAnsi="Times New Roman" w:cs="宋体"/>
                <w:sz w:val="18"/>
                <w:szCs w:val="18"/>
              </w:rPr>
              <w:t>管理（珠海）</w:t>
            </w:r>
            <w:r w:rsidRPr="00F614F9">
              <w:rPr>
                <w:rFonts w:ascii="Times New Roman" w:eastAsia="宋体" w:hAnsi="Times New Roman" w:cs="宋体"/>
                <w:sz w:val="18"/>
                <w:szCs w:val="18"/>
              </w:rPr>
              <w:lastRenderedPageBreak/>
              <w:t>有限公司</w:t>
            </w:r>
          </w:p>
        </w:tc>
        <w:tc>
          <w:tcPr>
            <w:tcW w:w="5513" w:type="dxa"/>
            <w:gridSpan w:val="5"/>
            <w:tcBorders>
              <w:top w:val="single" w:sz="2" w:space="0" w:color="auto"/>
              <w:left w:val="single" w:sz="2" w:space="0" w:color="auto"/>
              <w:bottom w:val="single" w:sz="2" w:space="0" w:color="auto"/>
              <w:right w:val="single" w:sz="2" w:space="0" w:color="auto"/>
            </w:tcBorders>
            <w:vAlign w:val="center"/>
          </w:tcPr>
          <w:p w14:paraId="2C17377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lastRenderedPageBreak/>
              <w:t>29,376,135</w:t>
            </w:r>
          </w:p>
        </w:tc>
        <w:tc>
          <w:tcPr>
            <w:tcW w:w="850" w:type="dxa"/>
            <w:tcBorders>
              <w:top w:val="single" w:sz="2" w:space="0" w:color="auto"/>
              <w:left w:val="single" w:sz="2" w:space="0" w:color="auto"/>
              <w:bottom w:val="single" w:sz="2" w:space="0" w:color="auto"/>
              <w:right w:val="single" w:sz="2" w:space="0" w:color="auto"/>
            </w:tcBorders>
            <w:vAlign w:val="center"/>
          </w:tcPr>
          <w:p w14:paraId="11B6F9C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人民币</w:t>
            </w:r>
            <w:r w:rsidRPr="00F614F9">
              <w:rPr>
                <w:rFonts w:ascii="Times New Roman" w:eastAsia="宋体" w:hAnsi="Times New Roman" w:cs="宋体"/>
                <w:sz w:val="18"/>
                <w:szCs w:val="18"/>
              </w:rPr>
              <w:lastRenderedPageBreak/>
              <w:t>普通股</w:t>
            </w:r>
          </w:p>
        </w:tc>
        <w:tc>
          <w:tcPr>
            <w:tcW w:w="1134" w:type="dxa"/>
            <w:tcBorders>
              <w:top w:val="single" w:sz="2" w:space="0" w:color="auto"/>
              <w:left w:val="single" w:sz="2" w:space="0" w:color="auto"/>
              <w:bottom w:val="single" w:sz="2" w:space="0" w:color="auto"/>
              <w:right w:val="single" w:sz="2" w:space="0" w:color="auto"/>
            </w:tcBorders>
            <w:vAlign w:val="center"/>
          </w:tcPr>
          <w:p w14:paraId="3398968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lastRenderedPageBreak/>
              <w:t>29,376,135</w:t>
            </w:r>
          </w:p>
        </w:tc>
      </w:tr>
      <w:tr w:rsidR="001D26E7" w:rsidRPr="00F614F9" w14:paraId="7EB49705" w14:textId="77777777" w:rsidTr="0084625D">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14:paraId="600A70D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伊藤忠（中国）集团有限公司</w:t>
            </w:r>
          </w:p>
        </w:tc>
        <w:tc>
          <w:tcPr>
            <w:tcW w:w="5513" w:type="dxa"/>
            <w:gridSpan w:val="5"/>
            <w:tcBorders>
              <w:top w:val="single" w:sz="2" w:space="0" w:color="auto"/>
              <w:left w:val="single" w:sz="2" w:space="0" w:color="auto"/>
              <w:bottom w:val="single" w:sz="2" w:space="0" w:color="auto"/>
              <w:right w:val="single" w:sz="2" w:space="0" w:color="auto"/>
            </w:tcBorders>
            <w:vAlign w:val="center"/>
          </w:tcPr>
          <w:p w14:paraId="0B97DA3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27,716,500</w:t>
            </w:r>
          </w:p>
        </w:tc>
        <w:tc>
          <w:tcPr>
            <w:tcW w:w="850" w:type="dxa"/>
            <w:tcBorders>
              <w:top w:val="single" w:sz="2" w:space="0" w:color="auto"/>
              <w:left w:val="single" w:sz="2" w:space="0" w:color="auto"/>
              <w:bottom w:val="single" w:sz="2" w:space="0" w:color="auto"/>
              <w:right w:val="single" w:sz="2" w:space="0" w:color="auto"/>
            </w:tcBorders>
            <w:vAlign w:val="center"/>
          </w:tcPr>
          <w:p w14:paraId="5B9B88A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78D7827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27,716,500</w:t>
            </w:r>
          </w:p>
        </w:tc>
      </w:tr>
      <w:tr w:rsidR="001D26E7" w:rsidRPr="00F614F9" w14:paraId="466A5E28" w14:textId="77777777" w:rsidTr="0084625D">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14:paraId="711296D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上海鼎译智能科技有限公司</w:t>
            </w:r>
          </w:p>
        </w:tc>
        <w:tc>
          <w:tcPr>
            <w:tcW w:w="5513" w:type="dxa"/>
            <w:gridSpan w:val="5"/>
            <w:tcBorders>
              <w:top w:val="single" w:sz="2" w:space="0" w:color="auto"/>
              <w:left w:val="single" w:sz="2" w:space="0" w:color="auto"/>
              <w:bottom w:val="single" w:sz="2" w:space="0" w:color="auto"/>
              <w:right w:val="single" w:sz="2" w:space="0" w:color="auto"/>
            </w:tcBorders>
            <w:vAlign w:val="center"/>
          </w:tcPr>
          <w:p w14:paraId="7130E7C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21,116,171</w:t>
            </w:r>
          </w:p>
        </w:tc>
        <w:tc>
          <w:tcPr>
            <w:tcW w:w="850" w:type="dxa"/>
            <w:tcBorders>
              <w:top w:val="single" w:sz="2" w:space="0" w:color="auto"/>
              <w:left w:val="single" w:sz="2" w:space="0" w:color="auto"/>
              <w:bottom w:val="single" w:sz="2" w:space="0" w:color="auto"/>
              <w:right w:val="single" w:sz="2" w:space="0" w:color="auto"/>
            </w:tcBorders>
            <w:vAlign w:val="center"/>
          </w:tcPr>
          <w:p w14:paraId="7C39AAD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4B5CE92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21,116,171</w:t>
            </w:r>
          </w:p>
        </w:tc>
      </w:tr>
      <w:tr w:rsidR="001D26E7" w:rsidRPr="00F614F9" w14:paraId="374F432B" w14:textId="77777777" w:rsidTr="0084625D">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14:paraId="79AAF33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上海芬隆实业有限公司</w:t>
            </w:r>
          </w:p>
        </w:tc>
        <w:tc>
          <w:tcPr>
            <w:tcW w:w="5513" w:type="dxa"/>
            <w:gridSpan w:val="5"/>
            <w:tcBorders>
              <w:top w:val="single" w:sz="2" w:space="0" w:color="auto"/>
              <w:left w:val="single" w:sz="2" w:space="0" w:color="auto"/>
              <w:bottom w:val="single" w:sz="2" w:space="0" w:color="auto"/>
              <w:right w:val="single" w:sz="2" w:space="0" w:color="auto"/>
            </w:tcBorders>
            <w:vAlign w:val="center"/>
          </w:tcPr>
          <w:p w14:paraId="2E41077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18,325,963</w:t>
            </w:r>
          </w:p>
        </w:tc>
        <w:tc>
          <w:tcPr>
            <w:tcW w:w="850" w:type="dxa"/>
            <w:tcBorders>
              <w:top w:val="single" w:sz="2" w:space="0" w:color="auto"/>
              <w:left w:val="single" w:sz="2" w:space="0" w:color="auto"/>
              <w:bottom w:val="single" w:sz="2" w:space="0" w:color="auto"/>
              <w:right w:val="single" w:sz="2" w:space="0" w:color="auto"/>
            </w:tcBorders>
            <w:vAlign w:val="center"/>
          </w:tcPr>
          <w:p w14:paraId="0FC7C6D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7E239D1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18,325,963</w:t>
            </w:r>
          </w:p>
        </w:tc>
      </w:tr>
      <w:tr w:rsidR="001D26E7" w:rsidRPr="00F614F9" w14:paraId="4949464D" w14:textId="77777777" w:rsidTr="0084625D">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14:paraId="76D0962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成都正骐投资管理有限公司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正</w:t>
            </w:r>
            <w:proofErr w:type="gramStart"/>
            <w:r w:rsidRPr="00F614F9">
              <w:rPr>
                <w:rFonts w:ascii="Times New Roman" w:eastAsia="宋体" w:hAnsi="Times New Roman" w:cs="宋体"/>
                <w:sz w:val="18"/>
                <w:szCs w:val="18"/>
              </w:rPr>
              <w:t>骐</w:t>
            </w:r>
            <w:proofErr w:type="gramEnd"/>
            <w:r w:rsidRPr="00F614F9">
              <w:rPr>
                <w:rFonts w:ascii="Times New Roman" w:eastAsia="宋体" w:hAnsi="Times New Roman" w:cs="宋体"/>
                <w:sz w:val="18"/>
                <w:szCs w:val="18"/>
              </w:rPr>
              <w:t>消费一号私募证券投资基金</w:t>
            </w:r>
          </w:p>
        </w:tc>
        <w:tc>
          <w:tcPr>
            <w:tcW w:w="5513" w:type="dxa"/>
            <w:gridSpan w:val="5"/>
            <w:tcBorders>
              <w:top w:val="single" w:sz="2" w:space="0" w:color="auto"/>
              <w:left w:val="single" w:sz="2" w:space="0" w:color="auto"/>
              <w:bottom w:val="single" w:sz="2" w:space="0" w:color="auto"/>
              <w:right w:val="single" w:sz="2" w:space="0" w:color="auto"/>
            </w:tcBorders>
            <w:vAlign w:val="center"/>
          </w:tcPr>
          <w:p w14:paraId="3B1DEFC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17,960,000</w:t>
            </w:r>
          </w:p>
        </w:tc>
        <w:tc>
          <w:tcPr>
            <w:tcW w:w="850" w:type="dxa"/>
            <w:tcBorders>
              <w:top w:val="single" w:sz="2" w:space="0" w:color="auto"/>
              <w:left w:val="single" w:sz="2" w:space="0" w:color="auto"/>
              <w:bottom w:val="single" w:sz="2" w:space="0" w:color="auto"/>
              <w:right w:val="single" w:sz="2" w:space="0" w:color="auto"/>
            </w:tcBorders>
            <w:vAlign w:val="center"/>
          </w:tcPr>
          <w:p w14:paraId="0683639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7990F66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17,960,000</w:t>
            </w:r>
          </w:p>
        </w:tc>
      </w:tr>
      <w:tr w:rsidR="001D26E7" w:rsidRPr="00F614F9" w14:paraId="05381367" w14:textId="7777777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B1AC81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前</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名无限</w:t>
            </w:r>
            <w:proofErr w:type="gramStart"/>
            <w:r w:rsidRPr="00F614F9">
              <w:rPr>
                <w:rFonts w:ascii="Times New Roman" w:eastAsia="宋体" w:hAnsi="Times New Roman" w:cs="宋体"/>
                <w:sz w:val="18"/>
                <w:szCs w:val="18"/>
              </w:rPr>
              <w:t>售流通</w:t>
            </w:r>
            <w:proofErr w:type="gramEnd"/>
            <w:r w:rsidRPr="00F614F9">
              <w:rPr>
                <w:rFonts w:ascii="Times New Roman" w:eastAsia="宋体" w:hAnsi="Times New Roman" w:cs="宋体"/>
                <w:sz w:val="18"/>
                <w:szCs w:val="18"/>
              </w:rPr>
              <w:t>股股东之间，以及前</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名无限</w:t>
            </w:r>
            <w:proofErr w:type="gramStart"/>
            <w:r w:rsidRPr="00F614F9">
              <w:rPr>
                <w:rFonts w:ascii="Times New Roman" w:eastAsia="宋体" w:hAnsi="Times New Roman" w:cs="宋体"/>
                <w:sz w:val="18"/>
                <w:szCs w:val="18"/>
              </w:rPr>
              <w:t>售流通</w:t>
            </w:r>
            <w:proofErr w:type="gramEnd"/>
            <w:r w:rsidRPr="00F614F9">
              <w:rPr>
                <w:rFonts w:ascii="Times New Roman" w:eastAsia="宋体" w:hAnsi="Times New Roman" w:cs="宋体"/>
                <w:sz w:val="18"/>
                <w:szCs w:val="18"/>
              </w:rPr>
              <w:t>股股东和前</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名股东之间关联关系或一致行动的说明</w:t>
            </w:r>
          </w:p>
        </w:tc>
        <w:tc>
          <w:tcPr>
            <w:tcW w:w="7497" w:type="dxa"/>
            <w:gridSpan w:val="7"/>
            <w:tcBorders>
              <w:top w:val="single" w:sz="2" w:space="0" w:color="auto"/>
              <w:left w:val="single" w:sz="2" w:space="0" w:color="auto"/>
              <w:bottom w:val="single" w:sz="2" w:space="0" w:color="auto"/>
              <w:right w:val="single" w:sz="2" w:space="0" w:color="auto"/>
            </w:tcBorders>
            <w:vAlign w:val="center"/>
          </w:tcPr>
          <w:p w14:paraId="6D7A3B0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公司未知前</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股东之间是否存在关联关系，也未知是否属于一致行动人。</w:t>
            </w:r>
          </w:p>
        </w:tc>
      </w:tr>
      <w:tr w:rsidR="001D26E7" w:rsidRPr="00F614F9" w14:paraId="3CFD629F" w14:textId="7777777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34D1A6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前</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名普通股股东参与融资融券业务情况说明（如有）（参见注</w:t>
            </w:r>
            <w:r w:rsidRPr="00F614F9">
              <w:rPr>
                <w:rFonts w:ascii="Times New Roman" w:eastAsia="宋体" w:hAnsi="Times New Roman" w:cs="宋体"/>
                <w:sz w:val="18"/>
                <w:szCs w:val="18"/>
              </w:rPr>
              <w:t>4</w:t>
            </w:r>
            <w:r w:rsidRPr="00F614F9">
              <w:rPr>
                <w:rFonts w:ascii="Times New Roman" w:eastAsia="宋体" w:hAnsi="Times New Roman" w:cs="宋体"/>
                <w:sz w:val="18"/>
                <w:szCs w:val="18"/>
              </w:rPr>
              <w:t>）</w:t>
            </w:r>
          </w:p>
        </w:tc>
        <w:tc>
          <w:tcPr>
            <w:tcW w:w="7497" w:type="dxa"/>
            <w:gridSpan w:val="7"/>
            <w:tcBorders>
              <w:top w:val="single" w:sz="2" w:space="0" w:color="auto"/>
              <w:left w:val="single" w:sz="2" w:space="0" w:color="auto"/>
              <w:bottom w:val="single" w:sz="2" w:space="0" w:color="auto"/>
              <w:right w:val="single" w:sz="2" w:space="0" w:color="auto"/>
            </w:tcBorders>
            <w:vAlign w:val="center"/>
          </w:tcPr>
          <w:p w14:paraId="4FF9CB6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股东蓝润发展控股集团有限公司通过东海证券股份有限公司客户信用交易担保证券账户持有</w:t>
            </w:r>
            <w:r w:rsidRPr="00F614F9">
              <w:rPr>
                <w:rFonts w:ascii="Times New Roman" w:eastAsia="宋体" w:hAnsi="Times New Roman" w:cs="宋体"/>
                <w:sz w:val="18"/>
                <w:szCs w:val="18"/>
              </w:rPr>
              <w:t>34,000,000</w:t>
            </w:r>
            <w:r w:rsidRPr="00F614F9">
              <w:rPr>
                <w:rFonts w:ascii="Times New Roman" w:eastAsia="宋体" w:hAnsi="Times New Roman" w:cs="宋体"/>
                <w:sz w:val="18"/>
                <w:szCs w:val="18"/>
              </w:rPr>
              <w:t>股；股东</w:t>
            </w:r>
            <w:proofErr w:type="gramStart"/>
            <w:r w:rsidRPr="00F614F9">
              <w:rPr>
                <w:rFonts w:ascii="Times New Roman" w:eastAsia="宋体" w:hAnsi="Times New Roman" w:cs="宋体"/>
                <w:sz w:val="18"/>
                <w:szCs w:val="18"/>
              </w:rPr>
              <w:t>晟弘资产</w:t>
            </w:r>
            <w:proofErr w:type="gramEnd"/>
            <w:r w:rsidRPr="00F614F9">
              <w:rPr>
                <w:rFonts w:ascii="Times New Roman" w:eastAsia="宋体" w:hAnsi="Times New Roman" w:cs="宋体"/>
                <w:sz w:val="18"/>
                <w:szCs w:val="18"/>
              </w:rPr>
              <w:t>管理（珠海）有限公司通过广发证券股份有限公司客户信用交易担保证券账户持有</w:t>
            </w:r>
            <w:r w:rsidRPr="00F614F9">
              <w:rPr>
                <w:rFonts w:ascii="Times New Roman" w:eastAsia="宋体" w:hAnsi="Times New Roman" w:cs="宋体"/>
                <w:sz w:val="18"/>
                <w:szCs w:val="18"/>
              </w:rPr>
              <w:t>29,376,135</w:t>
            </w:r>
            <w:r w:rsidRPr="00F614F9">
              <w:rPr>
                <w:rFonts w:ascii="Times New Roman" w:eastAsia="宋体" w:hAnsi="Times New Roman" w:cs="宋体"/>
                <w:sz w:val="18"/>
                <w:szCs w:val="18"/>
              </w:rPr>
              <w:t>股；股东上海鼎译智能科技有限公司通过长城证券股份有限公司客户信用交易担保证券账户持有</w:t>
            </w:r>
            <w:r w:rsidRPr="00F614F9">
              <w:rPr>
                <w:rFonts w:ascii="Times New Roman" w:eastAsia="宋体" w:hAnsi="Times New Roman" w:cs="宋体"/>
                <w:sz w:val="18"/>
                <w:szCs w:val="18"/>
              </w:rPr>
              <w:t>21,116,171</w:t>
            </w:r>
            <w:r w:rsidRPr="00F614F9">
              <w:rPr>
                <w:rFonts w:ascii="Times New Roman" w:eastAsia="宋体" w:hAnsi="Times New Roman" w:cs="宋体"/>
                <w:sz w:val="18"/>
                <w:szCs w:val="18"/>
              </w:rPr>
              <w:t>股；股东上海芬隆实业有限公司通过信</w:t>
            </w:r>
            <w:proofErr w:type="gramStart"/>
            <w:r w:rsidRPr="00F614F9">
              <w:rPr>
                <w:rFonts w:ascii="Times New Roman" w:eastAsia="宋体" w:hAnsi="Times New Roman" w:cs="宋体"/>
                <w:sz w:val="18"/>
                <w:szCs w:val="18"/>
              </w:rPr>
              <w:t>达证券</w:t>
            </w:r>
            <w:proofErr w:type="gramEnd"/>
            <w:r w:rsidRPr="00F614F9">
              <w:rPr>
                <w:rFonts w:ascii="Times New Roman" w:eastAsia="宋体" w:hAnsi="Times New Roman" w:cs="宋体"/>
                <w:sz w:val="18"/>
                <w:szCs w:val="18"/>
              </w:rPr>
              <w:t>股份有限公司客户信用交易担保证券账户持有</w:t>
            </w:r>
            <w:r w:rsidRPr="00F614F9">
              <w:rPr>
                <w:rFonts w:ascii="Times New Roman" w:eastAsia="宋体" w:hAnsi="Times New Roman" w:cs="宋体"/>
                <w:sz w:val="18"/>
                <w:szCs w:val="18"/>
              </w:rPr>
              <w:t>18,325,963</w:t>
            </w:r>
            <w:r w:rsidRPr="00F614F9">
              <w:rPr>
                <w:rFonts w:ascii="Times New Roman" w:eastAsia="宋体" w:hAnsi="Times New Roman" w:cs="宋体"/>
                <w:sz w:val="18"/>
                <w:szCs w:val="18"/>
              </w:rPr>
              <w:t>股；成都正骐投资管理有限公司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正</w:t>
            </w:r>
            <w:proofErr w:type="gramStart"/>
            <w:r w:rsidRPr="00F614F9">
              <w:rPr>
                <w:rFonts w:ascii="Times New Roman" w:eastAsia="宋体" w:hAnsi="Times New Roman" w:cs="宋体"/>
                <w:sz w:val="18"/>
                <w:szCs w:val="18"/>
              </w:rPr>
              <w:t>骐</w:t>
            </w:r>
            <w:proofErr w:type="gramEnd"/>
            <w:r w:rsidRPr="00F614F9">
              <w:rPr>
                <w:rFonts w:ascii="Times New Roman" w:eastAsia="宋体" w:hAnsi="Times New Roman" w:cs="宋体"/>
                <w:sz w:val="18"/>
                <w:szCs w:val="18"/>
              </w:rPr>
              <w:t>消费一号私募证券投资基金通过国泰君安证券股份有限公司客户信用交易担保证券账户持有</w:t>
            </w:r>
            <w:r w:rsidRPr="00F614F9">
              <w:rPr>
                <w:rFonts w:ascii="Times New Roman" w:eastAsia="宋体" w:hAnsi="Times New Roman" w:cs="宋体"/>
                <w:sz w:val="18"/>
                <w:szCs w:val="18"/>
              </w:rPr>
              <w:t>17,960,000</w:t>
            </w:r>
            <w:r w:rsidRPr="00F614F9">
              <w:rPr>
                <w:rFonts w:ascii="Times New Roman" w:eastAsia="宋体" w:hAnsi="Times New Roman" w:cs="宋体"/>
                <w:sz w:val="18"/>
                <w:szCs w:val="18"/>
              </w:rPr>
              <w:t>股。</w:t>
            </w:r>
          </w:p>
        </w:tc>
      </w:tr>
    </w:tbl>
    <w:p w14:paraId="5FBD41AE"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前十名股东参与转融通业务出借股份情况</w:t>
      </w:r>
    </w:p>
    <w:p w14:paraId="7A8D9AD5" w14:textId="77777777" w:rsidR="001D26E7" w:rsidRPr="00F614F9" w:rsidRDefault="00000000">
      <w:pPr>
        <w:spacing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2579C96D"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前十名股东较上期发生变化</w:t>
      </w:r>
    </w:p>
    <w:p w14:paraId="4C3131B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164E0305"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6"/>
        <w:gridCol w:w="1608"/>
      </w:tblGrid>
      <w:tr w:rsidR="001D26E7" w:rsidRPr="00F614F9" w14:paraId="45AF7A7D" w14:textId="7777777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49D684B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前十名股东较上期末发生变化情况</w:t>
            </w:r>
          </w:p>
        </w:tc>
      </w:tr>
      <w:tr w:rsidR="001D26E7" w:rsidRPr="00F614F9" w14:paraId="17AAA1CB" w14:textId="77777777">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7FAE4D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股东名称（全称）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F2A580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本报告期新增</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退出</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68121C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期末转融通出借股份且尚未归还数量</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2F9792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期末股东普通账户、信用账户持股及转融通出借股份且尚未归还的股份数量</w:t>
            </w:r>
          </w:p>
        </w:tc>
      </w:tr>
      <w:tr w:rsidR="001D26E7" w:rsidRPr="00F614F9" w14:paraId="56593424" w14:textId="77777777">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80DB88C" w14:textId="77777777" w:rsidR="001D26E7" w:rsidRPr="00F614F9" w:rsidRDefault="001D26E7">
            <w:pPr>
              <w:rPr>
                <w:rFonts w:ascii="Times New Roman" w:hAnsi="Times New Roman"/>
              </w:rPr>
            </w:pP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16D977F" w14:textId="77777777" w:rsidR="001D26E7" w:rsidRPr="00F614F9" w:rsidRDefault="001D26E7">
            <w:pPr>
              <w:rPr>
                <w:rFonts w:ascii="Times New Roman" w:hAnsi="Times New Roman"/>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459A54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数量合计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E273D5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占总股本的比例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269C9B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数量合计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F6C3C7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占总股本的比例</w:t>
            </w:r>
          </w:p>
        </w:tc>
      </w:tr>
      <w:tr w:rsidR="001D26E7" w:rsidRPr="00F614F9" w14:paraId="616B43F2"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73233C7"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晟弘资产</w:t>
            </w:r>
            <w:proofErr w:type="gramEnd"/>
            <w:r w:rsidRPr="00F614F9">
              <w:rPr>
                <w:rFonts w:ascii="Times New Roman" w:eastAsia="宋体" w:hAnsi="Times New Roman" w:cs="宋体"/>
                <w:sz w:val="18"/>
                <w:szCs w:val="18"/>
              </w:rPr>
              <w:t>管理（珠海）有限公司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1BF925F2" w14:textId="77777777" w:rsidR="001D26E7" w:rsidRPr="00F614F9" w:rsidRDefault="00000000" w:rsidP="0084625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新增</w:t>
            </w:r>
          </w:p>
        </w:tc>
        <w:tc>
          <w:tcPr>
            <w:tcW w:w="1606" w:type="dxa"/>
            <w:tcBorders>
              <w:top w:val="single" w:sz="2" w:space="0" w:color="auto"/>
              <w:left w:val="single" w:sz="2" w:space="0" w:color="auto"/>
              <w:bottom w:val="single" w:sz="2" w:space="0" w:color="auto"/>
              <w:right w:val="single" w:sz="2" w:space="0" w:color="auto"/>
            </w:tcBorders>
            <w:vAlign w:val="center"/>
          </w:tcPr>
          <w:p w14:paraId="403187C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14:paraId="4732FFD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14:paraId="0A8CA79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14:paraId="5105AA8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3897A7D5"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B1A8B6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成都正骐投资管理有限公司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正</w:t>
            </w:r>
            <w:proofErr w:type="gramStart"/>
            <w:r w:rsidRPr="00F614F9">
              <w:rPr>
                <w:rFonts w:ascii="Times New Roman" w:eastAsia="宋体" w:hAnsi="Times New Roman" w:cs="宋体"/>
                <w:sz w:val="18"/>
                <w:szCs w:val="18"/>
              </w:rPr>
              <w:t>骐</w:t>
            </w:r>
            <w:proofErr w:type="gramEnd"/>
            <w:r w:rsidRPr="00F614F9">
              <w:rPr>
                <w:rFonts w:ascii="Times New Roman" w:eastAsia="宋体" w:hAnsi="Times New Roman" w:cs="宋体"/>
                <w:sz w:val="18"/>
                <w:szCs w:val="18"/>
              </w:rPr>
              <w:t>消费三号私募证券投资基金</w:t>
            </w:r>
          </w:p>
        </w:tc>
        <w:tc>
          <w:tcPr>
            <w:tcW w:w="1606" w:type="dxa"/>
            <w:tcBorders>
              <w:top w:val="single" w:sz="2" w:space="0" w:color="auto"/>
              <w:left w:val="single" w:sz="2" w:space="0" w:color="auto"/>
              <w:bottom w:val="single" w:sz="2" w:space="0" w:color="auto"/>
              <w:right w:val="single" w:sz="2" w:space="0" w:color="auto"/>
            </w:tcBorders>
            <w:vAlign w:val="center"/>
          </w:tcPr>
          <w:p w14:paraId="7461FABA" w14:textId="77777777" w:rsidR="001D26E7" w:rsidRPr="00F614F9" w:rsidRDefault="00000000" w:rsidP="0084625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退出</w:t>
            </w:r>
          </w:p>
        </w:tc>
        <w:tc>
          <w:tcPr>
            <w:tcW w:w="1606" w:type="dxa"/>
            <w:tcBorders>
              <w:top w:val="single" w:sz="2" w:space="0" w:color="auto"/>
              <w:left w:val="single" w:sz="2" w:space="0" w:color="auto"/>
              <w:bottom w:val="single" w:sz="2" w:space="0" w:color="auto"/>
              <w:right w:val="single" w:sz="2" w:space="0" w:color="auto"/>
            </w:tcBorders>
            <w:vAlign w:val="center"/>
          </w:tcPr>
          <w:p w14:paraId="6DDCA06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14:paraId="4401E8A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14:paraId="184838A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14:paraId="25B1FF3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bl>
    <w:p w14:paraId="2D0E769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公司前</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名普通股股东、前</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名无限</w:t>
      </w:r>
      <w:proofErr w:type="gramStart"/>
      <w:r w:rsidRPr="00F614F9">
        <w:rPr>
          <w:rFonts w:ascii="Times New Roman" w:eastAsia="宋体" w:hAnsi="Times New Roman" w:cs="宋体"/>
          <w:sz w:val="18"/>
          <w:szCs w:val="18"/>
        </w:rPr>
        <w:t>售条件</w:t>
      </w:r>
      <w:proofErr w:type="gramEnd"/>
      <w:r w:rsidRPr="00F614F9">
        <w:rPr>
          <w:rFonts w:ascii="Times New Roman" w:eastAsia="宋体" w:hAnsi="Times New Roman" w:cs="宋体"/>
          <w:sz w:val="18"/>
          <w:szCs w:val="18"/>
        </w:rPr>
        <w:t>普通股股东在报告期内是否进行约定购回交易</w:t>
      </w:r>
    </w:p>
    <w:p w14:paraId="1EE83B06"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否</w:t>
      </w:r>
    </w:p>
    <w:p w14:paraId="4E2D298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公司前</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名普通股股东、前</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名无限</w:t>
      </w:r>
      <w:proofErr w:type="gramStart"/>
      <w:r w:rsidRPr="00F614F9">
        <w:rPr>
          <w:rFonts w:ascii="Times New Roman" w:eastAsia="宋体" w:hAnsi="Times New Roman" w:cs="宋体"/>
          <w:sz w:val="18"/>
          <w:szCs w:val="18"/>
        </w:rPr>
        <w:t>售条件</w:t>
      </w:r>
      <w:proofErr w:type="gramEnd"/>
      <w:r w:rsidRPr="00F614F9">
        <w:rPr>
          <w:rFonts w:ascii="Times New Roman" w:eastAsia="宋体" w:hAnsi="Times New Roman" w:cs="宋体"/>
          <w:sz w:val="18"/>
          <w:szCs w:val="18"/>
        </w:rPr>
        <w:t>普通股股东在报告期内未进行约定购回交易。</w:t>
      </w:r>
    </w:p>
    <w:p w14:paraId="359FCDEE" w14:textId="77777777" w:rsidR="001D26E7" w:rsidRPr="00F614F9" w:rsidRDefault="00000000">
      <w:pPr>
        <w:pStyle w:val="3"/>
        <w:spacing w:line="280" w:lineRule="exact"/>
        <w:jc w:val="left"/>
        <w:rPr>
          <w:rFonts w:ascii="Times New Roman" w:hAnsi="Times New Roman" w:cs="宋体"/>
          <w:b/>
          <w:bCs/>
        </w:rPr>
      </w:pPr>
      <w:bookmarkStart w:id="201" w:name="_Toc989030"/>
      <w:r w:rsidRPr="00F614F9">
        <w:rPr>
          <w:rFonts w:ascii="Times New Roman" w:hAnsi="Times New Roman" w:cs="宋体"/>
          <w:b/>
          <w:bCs/>
        </w:rPr>
        <w:t>2</w:t>
      </w:r>
      <w:r w:rsidRPr="00F614F9">
        <w:rPr>
          <w:rFonts w:ascii="Times New Roman" w:hAnsi="Times New Roman" w:cs="宋体"/>
          <w:b/>
          <w:bCs/>
        </w:rPr>
        <w:t>、公司控股股东情况</w:t>
      </w:r>
      <w:bookmarkEnd w:id="201"/>
    </w:p>
    <w:p w14:paraId="4EABF6C8"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控股股东性质：自然人控股</w:t>
      </w:r>
    </w:p>
    <w:p w14:paraId="36272FE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控股股东类型：法人</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1275"/>
        <w:gridCol w:w="1134"/>
        <w:gridCol w:w="1843"/>
        <w:gridCol w:w="4394"/>
      </w:tblGrid>
      <w:tr w:rsidR="001D26E7" w:rsidRPr="00F614F9" w14:paraId="5C1ABFA0" w14:textId="77777777" w:rsidTr="0084625D">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18654AD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控股股东名称</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14:paraId="00F5147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法定代表人</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单位负责人</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51EE47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成立日期</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1D2F446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组织机构代码</w:t>
            </w:r>
          </w:p>
        </w:tc>
        <w:tc>
          <w:tcPr>
            <w:tcW w:w="4394" w:type="dxa"/>
            <w:tcBorders>
              <w:top w:val="single" w:sz="2" w:space="0" w:color="auto"/>
              <w:left w:val="single" w:sz="2" w:space="0" w:color="auto"/>
              <w:bottom w:val="single" w:sz="2" w:space="0" w:color="auto"/>
              <w:right w:val="single" w:sz="2" w:space="0" w:color="auto"/>
            </w:tcBorders>
            <w:shd w:val="clear" w:color="auto" w:fill="D3D3D3"/>
            <w:vAlign w:val="center"/>
          </w:tcPr>
          <w:p w14:paraId="396112C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主要经营业务</w:t>
            </w:r>
          </w:p>
        </w:tc>
      </w:tr>
      <w:tr w:rsidR="001D26E7" w:rsidRPr="00F614F9" w14:paraId="6D7FF913" w14:textId="77777777" w:rsidTr="0084625D">
        <w:trPr>
          <w:trHeight w:val="240"/>
        </w:trPr>
        <w:tc>
          <w:tcPr>
            <w:tcW w:w="993" w:type="dxa"/>
            <w:tcBorders>
              <w:top w:val="single" w:sz="2" w:space="0" w:color="auto"/>
              <w:left w:val="single" w:sz="2" w:space="0" w:color="auto"/>
              <w:bottom w:val="single" w:sz="2" w:space="0" w:color="auto"/>
              <w:right w:val="single" w:sz="2" w:space="0" w:color="auto"/>
            </w:tcBorders>
            <w:vAlign w:val="center"/>
          </w:tcPr>
          <w:p w14:paraId="09363AB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w:t>
            </w:r>
            <w:r w:rsidRPr="00F614F9">
              <w:rPr>
                <w:rFonts w:ascii="Times New Roman" w:eastAsia="宋体" w:hAnsi="Times New Roman" w:cs="宋体"/>
                <w:sz w:val="18"/>
                <w:szCs w:val="18"/>
              </w:rPr>
              <w:lastRenderedPageBreak/>
              <w:t>控股集团有限公司</w:t>
            </w:r>
          </w:p>
        </w:tc>
        <w:tc>
          <w:tcPr>
            <w:tcW w:w="1275" w:type="dxa"/>
            <w:tcBorders>
              <w:top w:val="single" w:sz="2" w:space="0" w:color="auto"/>
              <w:left w:val="single" w:sz="2" w:space="0" w:color="auto"/>
              <w:bottom w:val="single" w:sz="2" w:space="0" w:color="auto"/>
              <w:right w:val="single" w:sz="2" w:space="0" w:color="auto"/>
            </w:tcBorders>
            <w:vAlign w:val="center"/>
          </w:tcPr>
          <w:p w14:paraId="00772CF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张力</w:t>
            </w:r>
          </w:p>
        </w:tc>
        <w:tc>
          <w:tcPr>
            <w:tcW w:w="1134" w:type="dxa"/>
            <w:tcBorders>
              <w:top w:val="single" w:sz="2" w:space="0" w:color="auto"/>
              <w:left w:val="single" w:sz="2" w:space="0" w:color="auto"/>
              <w:bottom w:val="single" w:sz="2" w:space="0" w:color="auto"/>
              <w:right w:val="single" w:sz="2" w:space="0" w:color="auto"/>
            </w:tcBorders>
            <w:vAlign w:val="center"/>
          </w:tcPr>
          <w:p w14:paraId="7703BE5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2015</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lastRenderedPageBreak/>
              <w:t>月</w:t>
            </w:r>
            <w:r w:rsidRPr="00F614F9">
              <w:rPr>
                <w:rFonts w:ascii="Times New Roman" w:eastAsia="宋体" w:hAnsi="Times New Roman" w:cs="宋体"/>
                <w:sz w:val="18"/>
                <w:szCs w:val="18"/>
              </w:rPr>
              <w:t>14</w:t>
            </w:r>
            <w:r w:rsidRPr="00F614F9">
              <w:rPr>
                <w:rFonts w:ascii="Times New Roman" w:eastAsia="宋体" w:hAnsi="Times New Roman" w:cs="宋体"/>
                <w:sz w:val="18"/>
                <w:szCs w:val="18"/>
              </w:rPr>
              <w:t>日</w:t>
            </w:r>
          </w:p>
        </w:tc>
        <w:tc>
          <w:tcPr>
            <w:tcW w:w="1843" w:type="dxa"/>
            <w:tcBorders>
              <w:top w:val="single" w:sz="2" w:space="0" w:color="auto"/>
              <w:left w:val="single" w:sz="2" w:space="0" w:color="auto"/>
              <w:bottom w:val="single" w:sz="2" w:space="0" w:color="auto"/>
              <w:right w:val="single" w:sz="2" w:space="0" w:color="auto"/>
            </w:tcBorders>
            <w:vAlign w:val="center"/>
          </w:tcPr>
          <w:p w14:paraId="65A9F09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914403003595139881</w:t>
            </w:r>
          </w:p>
        </w:tc>
        <w:tc>
          <w:tcPr>
            <w:tcW w:w="4394" w:type="dxa"/>
            <w:tcBorders>
              <w:top w:val="single" w:sz="2" w:space="0" w:color="auto"/>
              <w:left w:val="single" w:sz="2" w:space="0" w:color="auto"/>
              <w:bottom w:val="single" w:sz="2" w:space="0" w:color="auto"/>
              <w:right w:val="single" w:sz="2" w:space="0" w:color="auto"/>
            </w:tcBorders>
            <w:vAlign w:val="center"/>
          </w:tcPr>
          <w:p w14:paraId="437EAB5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一般经营项目是：投资兴办实业（具体项目另行申</w:t>
            </w:r>
            <w:r w:rsidRPr="00F614F9">
              <w:rPr>
                <w:rFonts w:ascii="Times New Roman" w:eastAsia="宋体" w:hAnsi="Times New Roman" w:cs="宋体"/>
                <w:sz w:val="18"/>
                <w:szCs w:val="18"/>
              </w:rPr>
              <w:lastRenderedPageBreak/>
              <w:t>报）；受托资产管理、投资管理（不得从事信托、金融资产管理、证券资产管理及其他限制项目）；投资咨询、财务顾问、经济信息咨询、企业管理咨询（以上均不含限制项目）；企业营销策划；接受金融机构委托从事金融外包服务（根据法律、行政法规、国务院决定等规定需要审批的，依法取得相关审批文件后方可经营）；计算机软件的技术开发；受托管理股权投资基金</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不得从事证券投资活动；不得以公开方式募集资金开展投资活动；不得从事公开募集基金管理业务</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对未上市企业进行股权投资；开展股权投资和企业上市咨询业务；国内贸易、经营进出口业务；（不含专营、专控、专卖商品）；农牧技术咨询。（以上各项涉及法律、行政法规、国务院决定禁止的项目除外，限制的项目须取得许可后方可经营），许可经营项目是：家畜、饲料、肉制品、家禽销售；仓储服务。</w:t>
            </w:r>
          </w:p>
        </w:tc>
      </w:tr>
      <w:tr w:rsidR="001D26E7" w:rsidRPr="00F614F9" w14:paraId="3B4C0E5A" w14:textId="77777777" w:rsidTr="0084625D">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6183514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控股股东报告期内控股和参股的其他境内外上市公司的股权情况</w:t>
            </w:r>
          </w:p>
        </w:tc>
        <w:tc>
          <w:tcPr>
            <w:tcW w:w="8646" w:type="dxa"/>
            <w:gridSpan w:val="4"/>
            <w:tcBorders>
              <w:top w:val="single" w:sz="2" w:space="0" w:color="auto"/>
              <w:left w:val="single" w:sz="2" w:space="0" w:color="auto"/>
              <w:bottom w:val="single" w:sz="2" w:space="0" w:color="auto"/>
              <w:right w:val="single" w:sz="2" w:space="0" w:color="auto"/>
            </w:tcBorders>
            <w:vAlign w:val="center"/>
          </w:tcPr>
          <w:p w14:paraId="05D0EE2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无</w:t>
            </w:r>
          </w:p>
        </w:tc>
      </w:tr>
    </w:tbl>
    <w:p w14:paraId="6FCF6C88"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控股股东报告期内变更</w:t>
      </w:r>
    </w:p>
    <w:p w14:paraId="03839572"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6A08E99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公司报告期控股股东未发生变更。</w:t>
      </w:r>
    </w:p>
    <w:p w14:paraId="72F62204" w14:textId="77777777" w:rsidR="001D26E7" w:rsidRPr="00F614F9" w:rsidRDefault="00000000">
      <w:pPr>
        <w:pStyle w:val="3"/>
        <w:spacing w:line="280" w:lineRule="exact"/>
        <w:jc w:val="left"/>
        <w:rPr>
          <w:rFonts w:ascii="Times New Roman" w:hAnsi="Times New Roman" w:cs="宋体"/>
          <w:b/>
          <w:bCs/>
        </w:rPr>
      </w:pPr>
      <w:bookmarkStart w:id="202" w:name="_Toc989031"/>
      <w:r w:rsidRPr="00F614F9">
        <w:rPr>
          <w:rFonts w:ascii="Times New Roman" w:hAnsi="Times New Roman" w:cs="宋体"/>
          <w:b/>
          <w:bCs/>
        </w:rPr>
        <w:t>3</w:t>
      </w:r>
      <w:r w:rsidRPr="00F614F9">
        <w:rPr>
          <w:rFonts w:ascii="Times New Roman" w:hAnsi="Times New Roman" w:cs="宋体"/>
          <w:b/>
          <w:bCs/>
        </w:rPr>
        <w:t>、公司实际控制人及其一致行动人</w:t>
      </w:r>
      <w:bookmarkEnd w:id="202"/>
    </w:p>
    <w:p w14:paraId="6783DD53"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实际控制人性质：境内自然人</w:t>
      </w:r>
    </w:p>
    <w:p w14:paraId="48CEAC51"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实际控制人类型：自然人</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1D26E7" w:rsidRPr="00F614F9" w14:paraId="7634E88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BB5803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实际控制人姓名</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D054B5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与实际控制人关系</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F286F1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国籍</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D3ADCC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是否取得其他国家或地区居留权</w:t>
            </w:r>
          </w:p>
        </w:tc>
      </w:tr>
      <w:tr w:rsidR="001D26E7" w:rsidRPr="00F614F9" w14:paraId="6CCC834B"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6C97741" w14:textId="77777777" w:rsidR="001D26E7" w:rsidRPr="00F614F9" w:rsidRDefault="00000000" w:rsidP="0084625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戴学斌</w:t>
            </w:r>
          </w:p>
        </w:tc>
        <w:tc>
          <w:tcPr>
            <w:tcW w:w="2410" w:type="dxa"/>
            <w:tcBorders>
              <w:top w:val="single" w:sz="2" w:space="0" w:color="auto"/>
              <w:left w:val="single" w:sz="2" w:space="0" w:color="auto"/>
              <w:bottom w:val="single" w:sz="2" w:space="0" w:color="auto"/>
              <w:right w:val="single" w:sz="2" w:space="0" w:color="auto"/>
            </w:tcBorders>
            <w:vAlign w:val="center"/>
          </w:tcPr>
          <w:p w14:paraId="59F0EE53" w14:textId="77777777" w:rsidR="001D26E7" w:rsidRPr="00F614F9" w:rsidRDefault="00000000" w:rsidP="0084625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本人</w:t>
            </w:r>
          </w:p>
        </w:tc>
        <w:tc>
          <w:tcPr>
            <w:tcW w:w="2410" w:type="dxa"/>
            <w:tcBorders>
              <w:top w:val="single" w:sz="2" w:space="0" w:color="auto"/>
              <w:left w:val="single" w:sz="2" w:space="0" w:color="auto"/>
              <w:bottom w:val="single" w:sz="2" w:space="0" w:color="auto"/>
              <w:right w:val="single" w:sz="2" w:space="0" w:color="auto"/>
            </w:tcBorders>
            <w:vAlign w:val="center"/>
          </w:tcPr>
          <w:p w14:paraId="0AF3CDB5" w14:textId="77777777" w:rsidR="001D26E7" w:rsidRPr="00F614F9" w:rsidRDefault="00000000" w:rsidP="0084625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中国</w:t>
            </w:r>
          </w:p>
        </w:tc>
        <w:tc>
          <w:tcPr>
            <w:tcW w:w="2410" w:type="dxa"/>
            <w:tcBorders>
              <w:top w:val="single" w:sz="2" w:space="0" w:color="auto"/>
              <w:left w:val="single" w:sz="2" w:space="0" w:color="auto"/>
              <w:bottom w:val="single" w:sz="2" w:space="0" w:color="auto"/>
              <w:right w:val="single" w:sz="2" w:space="0" w:color="auto"/>
            </w:tcBorders>
            <w:vAlign w:val="center"/>
          </w:tcPr>
          <w:p w14:paraId="46274D47" w14:textId="77777777" w:rsidR="001D26E7" w:rsidRPr="00F614F9" w:rsidRDefault="00000000" w:rsidP="0084625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3EF5A643"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CD5C0AA" w14:textId="77777777" w:rsidR="001D26E7" w:rsidRPr="00F614F9" w:rsidRDefault="00000000" w:rsidP="0084625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董翔</w:t>
            </w:r>
          </w:p>
        </w:tc>
        <w:tc>
          <w:tcPr>
            <w:tcW w:w="2410" w:type="dxa"/>
            <w:tcBorders>
              <w:top w:val="single" w:sz="2" w:space="0" w:color="auto"/>
              <w:left w:val="single" w:sz="2" w:space="0" w:color="auto"/>
              <w:bottom w:val="single" w:sz="2" w:space="0" w:color="auto"/>
              <w:right w:val="single" w:sz="2" w:space="0" w:color="auto"/>
            </w:tcBorders>
            <w:vAlign w:val="center"/>
          </w:tcPr>
          <w:p w14:paraId="2F4D33AB" w14:textId="77777777" w:rsidR="001D26E7" w:rsidRPr="00F614F9" w:rsidRDefault="00000000" w:rsidP="0084625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本人</w:t>
            </w:r>
          </w:p>
        </w:tc>
        <w:tc>
          <w:tcPr>
            <w:tcW w:w="2410" w:type="dxa"/>
            <w:tcBorders>
              <w:top w:val="single" w:sz="2" w:space="0" w:color="auto"/>
              <w:left w:val="single" w:sz="2" w:space="0" w:color="auto"/>
              <w:bottom w:val="single" w:sz="2" w:space="0" w:color="auto"/>
              <w:right w:val="single" w:sz="2" w:space="0" w:color="auto"/>
            </w:tcBorders>
            <w:vAlign w:val="center"/>
          </w:tcPr>
          <w:p w14:paraId="3FC3EEFA" w14:textId="77777777" w:rsidR="001D26E7" w:rsidRPr="00F614F9" w:rsidRDefault="00000000" w:rsidP="0084625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中国</w:t>
            </w:r>
          </w:p>
        </w:tc>
        <w:tc>
          <w:tcPr>
            <w:tcW w:w="2410" w:type="dxa"/>
            <w:tcBorders>
              <w:top w:val="single" w:sz="2" w:space="0" w:color="auto"/>
              <w:left w:val="single" w:sz="2" w:space="0" w:color="auto"/>
              <w:bottom w:val="single" w:sz="2" w:space="0" w:color="auto"/>
              <w:right w:val="single" w:sz="2" w:space="0" w:color="auto"/>
            </w:tcBorders>
            <w:vAlign w:val="center"/>
          </w:tcPr>
          <w:p w14:paraId="5AB3CE13" w14:textId="77777777" w:rsidR="001D26E7" w:rsidRPr="00F614F9" w:rsidRDefault="00000000" w:rsidP="0084625D">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13DAC74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0F83FB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主要职业及职务</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7EB228F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戴学斌：第十四届全国人大代表、</w:t>
            </w:r>
            <w:proofErr w:type="gramStart"/>
            <w:r w:rsidRPr="00F614F9">
              <w:rPr>
                <w:rFonts w:ascii="Times New Roman" w:eastAsia="宋体" w:hAnsi="Times New Roman" w:cs="宋体"/>
                <w:sz w:val="18"/>
                <w:szCs w:val="18"/>
              </w:rPr>
              <w:t>怡</w:t>
            </w:r>
            <w:proofErr w:type="gramEnd"/>
            <w:r w:rsidRPr="00F614F9">
              <w:rPr>
                <w:rFonts w:ascii="Times New Roman" w:eastAsia="宋体" w:hAnsi="Times New Roman" w:cs="宋体"/>
                <w:sz w:val="18"/>
                <w:szCs w:val="18"/>
              </w:rPr>
              <w:t>君控股有限公司经理、执行董事，蓝润集团有限公司执行董事兼总经理，蓝润发展控股集团有限公司董事长。董翔现任</w:t>
            </w:r>
            <w:proofErr w:type="gramStart"/>
            <w:r w:rsidRPr="00F614F9">
              <w:rPr>
                <w:rFonts w:ascii="Times New Roman" w:eastAsia="宋体" w:hAnsi="Times New Roman" w:cs="宋体"/>
                <w:sz w:val="18"/>
                <w:szCs w:val="18"/>
              </w:rPr>
              <w:t>怡</w:t>
            </w:r>
            <w:proofErr w:type="gramEnd"/>
            <w:r w:rsidRPr="00F614F9">
              <w:rPr>
                <w:rFonts w:ascii="Times New Roman" w:eastAsia="宋体" w:hAnsi="Times New Roman" w:cs="宋体"/>
                <w:sz w:val="18"/>
                <w:szCs w:val="18"/>
              </w:rPr>
              <w:t>君控股有限公司副总裁、蓝润集团有限公司副总裁、蓝润发展监事。</w:t>
            </w:r>
          </w:p>
        </w:tc>
      </w:tr>
      <w:tr w:rsidR="001D26E7" w:rsidRPr="00F614F9" w14:paraId="232039C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B1BBB2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过去</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年曾控股的境内外上市公司情况</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01E757C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戴学斌曾为运盛（上海）医疗科技股份有限公司实际控制人之一。</w:t>
            </w:r>
          </w:p>
        </w:tc>
      </w:tr>
    </w:tbl>
    <w:p w14:paraId="26545245"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实际控制人报告期内变更</w:t>
      </w:r>
    </w:p>
    <w:p w14:paraId="0BE4F18B"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6913181E"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公司报告期实际控制人未发生变更。</w:t>
      </w:r>
    </w:p>
    <w:p w14:paraId="1C9120B3"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公司与实际控制人之间的产权及控制关系的方框图</w:t>
      </w:r>
    </w:p>
    <w:p w14:paraId="06A038CA" w14:textId="77777777" w:rsidR="001D26E7" w:rsidRPr="00F614F9" w:rsidRDefault="00000000">
      <w:pPr>
        <w:spacing w:before="40" w:after="40" w:line="0" w:lineRule="atLeast"/>
        <w:jc w:val="center"/>
        <w:rPr>
          <w:rFonts w:ascii="Times New Roman" w:eastAsia="宋体" w:hAnsi="Times New Roman" w:cs="Times New Roman"/>
        </w:rPr>
      </w:pPr>
      <w:r w:rsidRPr="00F614F9">
        <w:rPr>
          <w:rFonts w:ascii="Times New Roman" w:eastAsia="宋体" w:hAnsi="Times New Roman" w:cs="Times New Roman"/>
          <w:noProof/>
        </w:rPr>
        <w:lastRenderedPageBreak/>
        <w:drawing>
          <wp:inline distT="0" distB="0" distL="0" distR="0" wp14:anchorId="0F0D8946" wp14:editId="155801F9">
            <wp:extent cx="1880870" cy="39523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8" cstate="print"/>
                    <a:stretch>
                      <a:fillRect/>
                    </a:stretch>
                  </pic:blipFill>
                  <pic:spPr>
                    <a:xfrm>
                      <a:off x="0" y="0"/>
                      <a:ext cx="1886160" cy="3963429"/>
                    </a:xfrm>
                    <a:prstGeom prst="rect">
                      <a:avLst/>
                    </a:prstGeom>
                  </pic:spPr>
                </pic:pic>
              </a:graphicData>
            </a:graphic>
          </wp:inline>
        </w:drawing>
      </w:r>
    </w:p>
    <w:p w14:paraId="4BAF54F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实际控制人通过信托或其他资产管理方式控制公司</w:t>
      </w:r>
    </w:p>
    <w:p w14:paraId="205BF27C"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02723599" w14:textId="77777777" w:rsidR="001D26E7" w:rsidRPr="00F614F9" w:rsidRDefault="00000000">
      <w:pPr>
        <w:pStyle w:val="3"/>
        <w:spacing w:line="280" w:lineRule="exact"/>
        <w:jc w:val="left"/>
        <w:rPr>
          <w:rFonts w:ascii="Times New Roman" w:hAnsi="Times New Roman" w:cs="宋体"/>
          <w:b/>
          <w:bCs/>
        </w:rPr>
      </w:pPr>
      <w:bookmarkStart w:id="203" w:name="_Toc989032"/>
      <w:r w:rsidRPr="00F614F9">
        <w:rPr>
          <w:rFonts w:ascii="Times New Roman" w:hAnsi="Times New Roman" w:cs="宋体"/>
          <w:b/>
          <w:bCs/>
        </w:rPr>
        <w:t>4</w:t>
      </w:r>
      <w:r w:rsidRPr="00F614F9">
        <w:rPr>
          <w:rFonts w:ascii="Times New Roman" w:hAnsi="Times New Roman" w:cs="宋体"/>
          <w:b/>
          <w:bCs/>
        </w:rPr>
        <w:t>、公司控股股东或第一大股东及其一致行动人累计质押股份数量占其所持公司股份数量比例达到</w:t>
      </w:r>
      <w:r w:rsidRPr="00F614F9">
        <w:rPr>
          <w:rFonts w:ascii="Times New Roman" w:hAnsi="Times New Roman" w:cs="宋体"/>
          <w:b/>
          <w:bCs/>
        </w:rPr>
        <w:t>80%</w:t>
      </w:r>
      <w:bookmarkEnd w:id="203"/>
    </w:p>
    <w:p w14:paraId="727EEB0C"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0A0C1B9C" w14:textId="77777777" w:rsidR="001D26E7" w:rsidRPr="00F614F9" w:rsidRDefault="00000000">
      <w:pPr>
        <w:pStyle w:val="3"/>
        <w:spacing w:line="280" w:lineRule="exact"/>
        <w:jc w:val="left"/>
        <w:rPr>
          <w:rFonts w:ascii="Times New Roman" w:hAnsi="Times New Roman" w:cs="宋体"/>
          <w:b/>
          <w:bCs/>
        </w:rPr>
      </w:pPr>
      <w:bookmarkStart w:id="204" w:name="_Toc989033"/>
      <w:r w:rsidRPr="00F614F9">
        <w:rPr>
          <w:rFonts w:ascii="Times New Roman" w:hAnsi="Times New Roman" w:cs="宋体"/>
          <w:b/>
          <w:bCs/>
        </w:rPr>
        <w:t>5</w:t>
      </w:r>
      <w:r w:rsidRPr="00F614F9">
        <w:rPr>
          <w:rFonts w:ascii="Times New Roman" w:hAnsi="Times New Roman" w:cs="宋体"/>
          <w:b/>
          <w:bCs/>
        </w:rPr>
        <w:t>、其他持股在</w:t>
      </w:r>
      <w:r w:rsidRPr="00F614F9">
        <w:rPr>
          <w:rFonts w:ascii="Times New Roman" w:hAnsi="Times New Roman" w:cs="宋体"/>
          <w:b/>
          <w:bCs/>
        </w:rPr>
        <w:t>10%</w:t>
      </w:r>
      <w:r w:rsidRPr="00F614F9">
        <w:rPr>
          <w:rFonts w:ascii="Times New Roman" w:hAnsi="Times New Roman" w:cs="宋体"/>
          <w:b/>
          <w:bCs/>
        </w:rPr>
        <w:t>以上的法人股东</w:t>
      </w:r>
      <w:bookmarkEnd w:id="204"/>
    </w:p>
    <w:p w14:paraId="0D8BD79D"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8DB4E64" w14:textId="77777777" w:rsidR="001D26E7" w:rsidRPr="00F614F9" w:rsidRDefault="00000000">
      <w:pPr>
        <w:pStyle w:val="3"/>
        <w:spacing w:line="280" w:lineRule="exact"/>
        <w:jc w:val="left"/>
        <w:rPr>
          <w:rFonts w:ascii="Times New Roman" w:hAnsi="Times New Roman" w:cs="宋体"/>
          <w:b/>
          <w:bCs/>
        </w:rPr>
      </w:pPr>
      <w:bookmarkStart w:id="205" w:name="_Toc989034"/>
      <w:r w:rsidRPr="00F614F9">
        <w:rPr>
          <w:rFonts w:ascii="Times New Roman" w:hAnsi="Times New Roman" w:cs="宋体"/>
          <w:b/>
          <w:bCs/>
        </w:rPr>
        <w:t>6</w:t>
      </w:r>
      <w:r w:rsidRPr="00F614F9">
        <w:rPr>
          <w:rFonts w:ascii="Times New Roman" w:hAnsi="Times New Roman" w:cs="宋体"/>
          <w:b/>
          <w:bCs/>
        </w:rPr>
        <w:t>、控股股东、实际控制人、重组方及其他承诺主体股份限制减持情况</w:t>
      </w:r>
      <w:bookmarkEnd w:id="205"/>
    </w:p>
    <w:p w14:paraId="205B408D"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67C81C1D"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206" w:name="_Toc989035"/>
      <w:bookmarkStart w:id="207" w:name="_Toc164024810"/>
      <w:r w:rsidRPr="00F614F9">
        <w:rPr>
          <w:rFonts w:ascii="Times New Roman" w:eastAsia="宋体" w:hAnsi="Times New Roman" w:cs="宋体"/>
          <w:b/>
          <w:bCs/>
          <w:sz w:val="24"/>
          <w:szCs w:val="24"/>
        </w:rPr>
        <w:t>四、股份回购在报告期的具体实施情况</w:t>
      </w:r>
      <w:bookmarkEnd w:id="206"/>
      <w:bookmarkEnd w:id="207"/>
    </w:p>
    <w:p w14:paraId="02EB7BE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股份回购的实施进展情况</w:t>
      </w:r>
    </w:p>
    <w:p w14:paraId="1EFCE798"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205"/>
        <w:gridCol w:w="1205"/>
        <w:gridCol w:w="1205"/>
        <w:gridCol w:w="1205"/>
        <w:gridCol w:w="1205"/>
        <w:gridCol w:w="1205"/>
        <w:gridCol w:w="1205"/>
      </w:tblGrid>
      <w:tr w:rsidR="001D26E7" w:rsidRPr="00F614F9" w14:paraId="7B957C05"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674D7F2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方案披露时间</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23149A5F" w14:textId="77777777" w:rsidR="001D26E7" w:rsidRPr="00F614F9" w:rsidRDefault="00000000">
            <w:pPr>
              <w:spacing w:before="40" w:after="40" w:line="240" w:lineRule="exact"/>
              <w:jc w:val="center"/>
              <w:rPr>
                <w:rFonts w:ascii="Times New Roman" w:eastAsia="宋体" w:hAnsi="Times New Roman" w:cs="宋体"/>
                <w:sz w:val="18"/>
                <w:szCs w:val="18"/>
              </w:rPr>
            </w:pPr>
            <w:proofErr w:type="gramStart"/>
            <w:r w:rsidRPr="00F614F9">
              <w:rPr>
                <w:rFonts w:ascii="Times New Roman" w:eastAsia="宋体" w:hAnsi="Times New Roman" w:cs="宋体"/>
                <w:sz w:val="18"/>
                <w:szCs w:val="18"/>
              </w:rPr>
              <w:t>拟回购股</w:t>
            </w:r>
            <w:proofErr w:type="gramEnd"/>
            <w:r w:rsidRPr="00F614F9">
              <w:rPr>
                <w:rFonts w:ascii="Times New Roman" w:eastAsia="宋体" w:hAnsi="Times New Roman" w:cs="宋体"/>
                <w:sz w:val="18"/>
                <w:szCs w:val="18"/>
              </w:rPr>
              <w:t>份数量（股）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6872EAC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占总股本的比例</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BA4C97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拟回购金额（万元）</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BD12AB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拟回购期间</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260F54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回购用途</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CAE076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已回购数量（股）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5B5F8C4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已回购数量占股权激励计划所涉及的标的股票的比例（如有）</w:t>
            </w:r>
          </w:p>
        </w:tc>
      </w:tr>
      <w:tr w:rsidR="001D26E7" w:rsidRPr="00F614F9" w14:paraId="6EE093E9"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30C3D22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15</w:t>
            </w:r>
            <w:r w:rsidRPr="00F614F9">
              <w:rPr>
                <w:rFonts w:ascii="Times New Roman" w:eastAsia="宋体" w:hAnsi="Times New Roman" w:cs="宋体"/>
                <w:sz w:val="18"/>
                <w:szCs w:val="18"/>
              </w:rPr>
              <w:t>日</w:t>
            </w:r>
          </w:p>
        </w:tc>
        <w:tc>
          <w:tcPr>
            <w:tcW w:w="1205" w:type="dxa"/>
            <w:tcBorders>
              <w:top w:val="single" w:sz="2" w:space="0" w:color="auto"/>
              <w:left w:val="single" w:sz="2" w:space="0" w:color="auto"/>
              <w:bottom w:val="single" w:sz="2" w:space="0" w:color="auto"/>
              <w:right w:val="single" w:sz="2" w:space="0" w:color="auto"/>
            </w:tcBorders>
            <w:vAlign w:val="center"/>
          </w:tcPr>
          <w:p w14:paraId="636262F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20,818,875-34,698,126</w:t>
            </w:r>
          </w:p>
        </w:tc>
        <w:tc>
          <w:tcPr>
            <w:tcW w:w="1205" w:type="dxa"/>
            <w:tcBorders>
              <w:top w:val="single" w:sz="2" w:space="0" w:color="auto"/>
              <w:left w:val="single" w:sz="2" w:space="0" w:color="auto"/>
              <w:bottom w:val="single" w:sz="2" w:space="0" w:color="auto"/>
              <w:right w:val="single" w:sz="2" w:space="0" w:color="auto"/>
            </w:tcBorders>
            <w:vAlign w:val="center"/>
          </w:tcPr>
          <w:p w14:paraId="507B38B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1.93%--3.22%</w:t>
            </w:r>
          </w:p>
        </w:tc>
        <w:tc>
          <w:tcPr>
            <w:tcW w:w="1205" w:type="dxa"/>
            <w:tcBorders>
              <w:top w:val="single" w:sz="2" w:space="0" w:color="auto"/>
              <w:left w:val="single" w:sz="2" w:space="0" w:color="auto"/>
              <w:bottom w:val="single" w:sz="2" w:space="0" w:color="auto"/>
              <w:right w:val="single" w:sz="2" w:space="0" w:color="auto"/>
            </w:tcBorders>
            <w:vAlign w:val="center"/>
          </w:tcPr>
          <w:p w14:paraId="223B3A3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30,000-50,000</w:t>
            </w:r>
          </w:p>
        </w:tc>
        <w:tc>
          <w:tcPr>
            <w:tcW w:w="1205" w:type="dxa"/>
            <w:tcBorders>
              <w:top w:val="single" w:sz="2" w:space="0" w:color="auto"/>
              <w:left w:val="single" w:sz="2" w:space="0" w:color="auto"/>
              <w:bottom w:val="single" w:sz="2" w:space="0" w:color="auto"/>
              <w:right w:val="single" w:sz="2" w:space="0" w:color="auto"/>
            </w:tcBorders>
            <w:vAlign w:val="center"/>
          </w:tcPr>
          <w:p w14:paraId="55352E3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自公司董事会审议通过</w:t>
            </w:r>
            <w:r w:rsidRPr="00F614F9">
              <w:rPr>
                <w:rFonts w:ascii="Times New Roman" w:eastAsia="宋体" w:hAnsi="Times New Roman" w:cs="宋体"/>
                <w:sz w:val="18"/>
                <w:szCs w:val="18"/>
              </w:rPr>
              <w:lastRenderedPageBreak/>
              <w:t>本次回购股</w:t>
            </w:r>
            <w:proofErr w:type="gramStart"/>
            <w:r w:rsidRPr="00F614F9">
              <w:rPr>
                <w:rFonts w:ascii="Times New Roman" w:eastAsia="宋体" w:hAnsi="Times New Roman" w:cs="宋体"/>
                <w:sz w:val="18"/>
                <w:szCs w:val="18"/>
              </w:rPr>
              <w:t>份方案</w:t>
            </w:r>
            <w:proofErr w:type="gramEnd"/>
            <w:r w:rsidRPr="00F614F9">
              <w:rPr>
                <w:rFonts w:ascii="Times New Roman" w:eastAsia="宋体" w:hAnsi="Times New Roman" w:cs="宋体"/>
                <w:sz w:val="18"/>
                <w:szCs w:val="18"/>
              </w:rPr>
              <w:t>之日起</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个月内</w:t>
            </w:r>
          </w:p>
        </w:tc>
        <w:tc>
          <w:tcPr>
            <w:tcW w:w="1205" w:type="dxa"/>
            <w:tcBorders>
              <w:top w:val="single" w:sz="2" w:space="0" w:color="auto"/>
              <w:left w:val="single" w:sz="2" w:space="0" w:color="auto"/>
              <w:bottom w:val="single" w:sz="2" w:space="0" w:color="auto"/>
              <w:right w:val="single" w:sz="2" w:space="0" w:color="auto"/>
            </w:tcBorders>
            <w:vAlign w:val="center"/>
          </w:tcPr>
          <w:p w14:paraId="743BC75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实施员工持股计划或股</w:t>
            </w:r>
            <w:r w:rsidRPr="00F614F9">
              <w:rPr>
                <w:rFonts w:ascii="Times New Roman" w:eastAsia="宋体" w:hAnsi="Times New Roman" w:cs="宋体"/>
                <w:sz w:val="18"/>
                <w:szCs w:val="18"/>
              </w:rPr>
              <w:lastRenderedPageBreak/>
              <w:t>权激励计划</w:t>
            </w:r>
          </w:p>
        </w:tc>
        <w:tc>
          <w:tcPr>
            <w:tcW w:w="1205" w:type="dxa"/>
            <w:tcBorders>
              <w:top w:val="single" w:sz="2" w:space="0" w:color="auto"/>
              <w:left w:val="single" w:sz="2" w:space="0" w:color="auto"/>
              <w:bottom w:val="single" w:sz="2" w:space="0" w:color="auto"/>
              <w:right w:val="single" w:sz="2" w:space="0" w:color="auto"/>
            </w:tcBorders>
            <w:vAlign w:val="center"/>
          </w:tcPr>
          <w:p w14:paraId="345AD44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lastRenderedPageBreak/>
              <w:t>41,417,183</w:t>
            </w:r>
          </w:p>
        </w:tc>
        <w:tc>
          <w:tcPr>
            <w:tcW w:w="1205" w:type="dxa"/>
            <w:tcBorders>
              <w:top w:val="single" w:sz="2" w:space="0" w:color="auto"/>
              <w:left w:val="single" w:sz="2" w:space="0" w:color="auto"/>
              <w:bottom w:val="single" w:sz="2" w:space="0" w:color="auto"/>
              <w:right w:val="single" w:sz="2" w:space="0" w:color="auto"/>
            </w:tcBorders>
            <w:vAlign w:val="center"/>
          </w:tcPr>
          <w:p w14:paraId="1B8F98AB" w14:textId="77777777" w:rsidR="001D26E7" w:rsidRPr="00F614F9" w:rsidRDefault="001D26E7">
            <w:pPr>
              <w:spacing w:line="240" w:lineRule="exact"/>
              <w:jc w:val="right"/>
              <w:rPr>
                <w:rFonts w:ascii="Times New Roman" w:eastAsia="宋体" w:hAnsi="Times New Roman" w:cs="宋体"/>
                <w:sz w:val="18"/>
                <w:szCs w:val="18"/>
              </w:rPr>
            </w:pPr>
          </w:p>
        </w:tc>
      </w:tr>
    </w:tbl>
    <w:p w14:paraId="38974FE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采用集中竞价交易方式减持回购股份的实施进展情况</w:t>
      </w:r>
    </w:p>
    <w:p w14:paraId="1FE106F2"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16D423F8" w14:textId="77777777" w:rsidR="001D26E7" w:rsidRPr="00F614F9" w:rsidRDefault="00000000">
      <w:pPr>
        <w:rPr>
          <w:rFonts w:ascii="Times New Roman" w:hAnsi="Times New Roman"/>
        </w:rPr>
      </w:pPr>
      <w:r w:rsidRPr="00F614F9">
        <w:rPr>
          <w:rFonts w:ascii="Times New Roman" w:hAnsi="Times New Roman"/>
        </w:rPr>
        <w:br w:type="page"/>
      </w:r>
    </w:p>
    <w:p w14:paraId="6374A175" w14:textId="77777777" w:rsidR="001D26E7" w:rsidRPr="00F614F9" w:rsidRDefault="00000000">
      <w:pPr>
        <w:pStyle w:val="headingh1"/>
        <w:spacing w:before="340" w:after="330" w:line="773" w:lineRule="exact"/>
        <w:jc w:val="center"/>
        <w:rPr>
          <w:rFonts w:ascii="Times New Roman" w:eastAsia="宋体" w:hAnsi="Times New Roman" w:cs="宋体"/>
          <w:b/>
          <w:bCs/>
          <w:sz w:val="32"/>
          <w:szCs w:val="32"/>
        </w:rPr>
      </w:pPr>
      <w:bookmarkStart w:id="208" w:name="_Toc164024811"/>
      <w:r w:rsidRPr="00F614F9">
        <w:rPr>
          <w:rFonts w:ascii="Times New Roman" w:eastAsia="宋体" w:hAnsi="Times New Roman" w:cs="宋体"/>
          <w:b/>
          <w:bCs/>
          <w:sz w:val="32"/>
          <w:szCs w:val="32"/>
        </w:rPr>
        <w:lastRenderedPageBreak/>
        <w:t>第八节</w:t>
      </w:r>
      <w:r w:rsidRPr="00F614F9">
        <w:rPr>
          <w:rFonts w:ascii="Times New Roman" w:eastAsia="宋体" w:hAnsi="Times New Roman" w:cs="宋体"/>
          <w:b/>
          <w:bCs/>
          <w:sz w:val="32"/>
          <w:szCs w:val="32"/>
        </w:rPr>
        <w:t xml:space="preserve"> </w:t>
      </w:r>
      <w:r w:rsidRPr="00F614F9">
        <w:rPr>
          <w:rFonts w:ascii="Times New Roman" w:eastAsia="宋体" w:hAnsi="Times New Roman" w:cs="宋体"/>
          <w:b/>
          <w:bCs/>
          <w:sz w:val="32"/>
          <w:szCs w:val="32"/>
        </w:rPr>
        <w:t>优先股相关情况</w:t>
      </w:r>
      <w:bookmarkEnd w:id="208"/>
    </w:p>
    <w:p w14:paraId="0C62E078"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84A22B3"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报告期公司不存在优先股。</w:t>
      </w:r>
    </w:p>
    <w:p w14:paraId="5F221553" w14:textId="77777777" w:rsidR="001D26E7" w:rsidRPr="00F614F9" w:rsidRDefault="00000000">
      <w:pPr>
        <w:rPr>
          <w:rFonts w:ascii="Times New Roman" w:hAnsi="Times New Roman"/>
        </w:rPr>
      </w:pPr>
      <w:r w:rsidRPr="00F614F9">
        <w:rPr>
          <w:rFonts w:ascii="Times New Roman" w:hAnsi="Times New Roman"/>
        </w:rPr>
        <w:br w:type="page"/>
      </w:r>
    </w:p>
    <w:p w14:paraId="39990B5C" w14:textId="77777777" w:rsidR="001D26E7" w:rsidRPr="00F614F9" w:rsidRDefault="00000000">
      <w:pPr>
        <w:pStyle w:val="headingh1"/>
        <w:spacing w:before="340" w:after="330" w:line="773" w:lineRule="exact"/>
        <w:jc w:val="center"/>
        <w:rPr>
          <w:rFonts w:ascii="Times New Roman" w:eastAsia="宋体" w:hAnsi="Times New Roman" w:cs="宋体"/>
          <w:b/>
          <w:bCs/>
          <w:sz w:val="32"/>
          <w:szCs w:val="32"/>
        </w:rPr>
      </w:pPr>
      <w:bookmarkStart w:id="209" w:name="_Toc164024812"/>
      <w:r w:rsidRPr="00F614F9">
        <w:rPr>
          <w:rFonts w:ascii="Times New Roman" w:eastAsia="宋体" w:hAnsi="Times New Roman" w:cs="宋体"/>
          <w:b/>
          <w:bCs/>
          <w:sz w:val="32"/>
          <w:szCs w:val="32"/>
        </w:rPr>
        <w:lastRenderedPageBreak/>
        <w:t>第九节</w:t>
      </w:r>
      <w:r w:rsidRPr="00F614F9">
        <w:rPr>
          <w:rFonts w:ascii="Times New Roman" w:eastAsia="宋体" w:hAnsi="Times New Roman" w:cs="宋体"/>
          <w:b/>
          <w:bCs/>
          <w:sz w:val="32"/>
          <w:szCs w:val="32"/>
        </w:rPr>
        <w:t xml:space="preserve"> </w:t>
      </w:r>
      <w:r w:rsidRPr="00F614F9">
        <w:rPr>
          <w:rFonts w:ascii="Times New Roman" w:eastAsia="宋体" w:hAnsi="Times New Roman" w:cs="宋体"/>
          <w:b/>
          <w:bCs/>
          <w:sz w:val="32"/>
          <w:szCs w:val="32"/>
        </w:rPr>
        <w:t>债券相关情况</w:t>
      </w:r>
      <w:bookmarkEnd w:id="209"/>
    </w:p>
    <w:p w14:paraId="3F55AC14"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54B74512"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210" w:name="_Toc989038"/>
      <w:bookmarkStart w:id="211" w:name="_Toc164024813"/>
      <w:r w:rsidRPr="00F614F9">
        <w:rPr>
          <w:rFonts w:ascii="Times New Roman" w:eastAsia="宋体" w:hAnsi="Times New Roman" w:cs="宋体"/>
          <w:b/>
          <w:bCs/>
          <w:sz w:val="24"/>
          <w:szCs w:val="24"/>
        </w:rPr>
        <w:t>一、企业债券</w:t>
      </w:r>
      <w:bookmarkEnd w:id="210"/>
      <w:bookmarkEnd w:id="211"/>
    </w:p>
    <w:p w14:paraId="15E19A29" w14:textId="77777777" w:rsidR="001D26E7" w:rsidRPr="00F614F9" w:rsidRDefault="00000000">
      <w:pPr>
        <w:spacing w:before="40" w:after="4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0AE3C97A"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报告期公司不存在企业债券。</w:t>
      </w:r>
    </w:p>
    <w:p w14:paraId="5FB4F1BC"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212" w:name="_Toc989039"/>
      <w:bookmarkStart w:id="213" w:name="_Toc164024814"/>
      <w:r w:rsidRPr="00F614F9">
        <w:rPr>
          <w:rFonts w:ascii="Times New Roman" w:eastAsia="宋体" w:hAnsi="Times New Roman" w:cs="宋体"/>
          <w:b/>
          <w:bCs/>
          <w:sz w:val="24"/>
          <w:szCs w:val="24"/>
        </w:rPr>
        <w:t>二、公司债券</w:t>
      </w:r>
      <w:bookmarkEnd w:id="212"/>
      <w:bookmarkEnd w:id="213"/>
    </w:p>
    <w:p w14:paraId="3BAA9DC7"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1B73A50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报告期公司不存在公司债券。</w:t>
      </w:r>
    </w:p>
    <w:p w14:paraId="3E8EA6D4"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214" w:name="_Toc989040"/>
      <w:bookmarkStart w:id="215" w:name="_Toc164024815"/>
      <w:r w:rsidRPr="00F614F9">
        <w:rPr>
          <w:rFonts w:ascii="Times New Roman" w:eastAsia="宋体" w:hAnsi="Times New Roman" w:cs="宋体"/>
          <w:b/>
          <w:bCs/>
          <w:sz w:val="24"/>
          <w:szCs w:val="24"/>
        </w:rPr>
        <w:t>三、非金融企业债务融资工具</w:t>
      </w:r>
      <w:bookmarkEnd w:id="214"/>
      <w:bookmarkEnd w:id="215"/>
    </w:p>
    <w:p w14:paraId="01A2F015"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62E0F9A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报告期公司不存在非金融企业债务融资工具。</w:t>
      </w:r>
    </w:p>
    <w:p w14:paraId="6BD6FD1F"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216" w:name="_Toc989041"/>
      <w:bookmarkStart w:id="217" w:name="_Toc164024816"/>
      <w:r w:rsidRPr="00F614F9">
        <w:rPr>
          <w:rFonts w:ascii="Times New Roman" w:eastAsia="宋体" w:hAnsi="Times New Roman" w:cs="宋体"/>
          <w:b/>
          <w:bCs/>
          <w:sz w:val="24"/>
          <w:szCs w:val="24"/>
        </w:rPr>
        <w:t>四、可转换公司债</w:t>
      </w:r>
      <w:proofErr w:type="gramStart"/>
      <w:r w:rsidRPr="00F614F9">
        <w:rPr>
          <w:rFonts w:ascii="Times New Roman" w:eastAsia="宋体" w:hAnsi="Times New Roman" w:cs="宋体"/>
          <w:b/>
          <w:bCs/>
          <w:sz w:val="24"/>
          <w:szCs w:val="24"/>
        </w:rPr>
        <w:t>券</w:t>
      </w:r>
      <w:bookmarkEnd w:id="216"/>
      <w:bookmarkEnd w:id="217"/>
      <w:proofErr w:type="gramEnd"/>
    </w:p>
    <w:p w14:paraId="31B97810"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333FC392" w14:textId="77777777" w:rsidR="001D26E7" w:rsidRPr="00F614F9" w:rsidRDefault="00000000">
      <w:pPr>
        <w:pStyle w:val="3"/>
        <w:spacing w:line="280" w:lineRule="exact"/>
        <w:jc w:val="left"/>
        <w:rPr>
          <w:rFonts w:ascii="Times New Roman" w:hAnsi="Times New Roman" w:cs="宋体"/>
          <w:b/>
          <w:bCs/>
        </w:rPr>
      </w:pPr>
      <w:bookmarkStart w:id="218" w:name="_Toc989042"/>
      <w:r w:rsidRPr="00F614F9">
        <w:rPr>
          <w:rFonts w:ascii="Times New Roman" w:hAnsi="Times New Roman" w:cs="宋体"/>
          <w:b/>
          <w:bCs/>
        </w:rPr>
        <w:t>1</w:t>
      </w:r>
      <w:r w:rsidRPr="00F614F9">
        <w:rPr>
          <w:rFonts w:ascii="Times New Roman" w:hAnsi="Times New Roman" w:cs="宋体"/>
          <w:b/>
          <w:bCs/>
        </w:rPr>
        <w:t>、转股价格历次调整情况</w:t>
      </w:r>
      <w:bookmarkEnd w:id="218"/>
    </w:p>
    <w:p w14:paraId="303E9600" w14:textId="77777777" w:rsidR="0084625D" w:rsidRPr="00F614F9" w:rsidRDefault="00000000" w:rsidP="0084625D">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 xml:space="preserve">  </w:t>
      </w:r>
      <w:r w:rsidRPr="00F614F9">
        <w:rPr>
          <w:rFonts w:ascii="Times New Roman" w:eastAsia="宋体" w:hAnsi="Times New Roman" w:hint="eastAsia"/>
          <w:sz w:val="18"/>
          <w:szCs w:val="18"/>
        </w:rPr>
        <w:t>经中国证券监督管理委员会“证监许可</w:t>
      </w:r>
      <w:r w:rsidRPr="00F614F9">
        <w:rPr>
          <w:rFonts w:ascii="Times New Roman" w:eastAsia="宋体" w:hAnsi="Times New Roman" w:hint="eastAsia"/>
          <w:sz w:val="18"/>
          <w:szCs w:val="18"/>
        </w:rPr>
        <w:t>[2020]1077</w:t>
      </w:r>
      <w:r w:rsidRPr="00F614F9">
        <w:rPr>
          <w:rFonts w:ascii="Times New Roman" w:eastAsia="宋体" w:hAnsi="Times New Roman" w:hint="eastAsia"/>
          <w:sz w:val="18"/>
          <w:szCs w:val="18"/>
        </w:rPr>
        <w:t>号”核准，公司于</w:t>
      </w:r>
      <w:r w:rsidRPr="00F614F9">
        <w:rPr>
          <w:rFonts w:ascii="Times New Roman" w:eastAsia="宋体" w:hAnsi="Times New Roman" w:hint="eastAsia"/>
          <w:sz w:val="18"/>
          <w:szCs w:val="18"/>
        </w:rPr>
        <w:t>2020</w:t>
      </w:r>
      <w:r w:rsidRPr="00F614F9">
        <w:rPr>
          <w:rFonts w:ascii="Times New Roman" w:eastAsia="宋体" w:hAnsi="Times New Roman" w:hint="eastAsia"/>
          <w:sz w:val="18"/>
          <w:szCs w:val="18"/>
        </w:rPr>
        <w:t>年</w:t>
      </w:r>
      <w:r w:rsidRPr="00F614F9">
        <w:rPr>
          <w:rFonts w:ascii="Times New Roman" w:eastAsia="宋体" w:hAnsi="Times New Roman" w:hint="eastAsia"/>
          <w:sz w:val="18"/>
          <w:szCs w:val="18"/>
        </w:rPr>
        <w:t>7</w:t>
      </w:r>
      <w:r w:rsidRPr="00F614F9">
        <w:rPr>
          <w:rFonts w:ascii="Times New Roman" w:eastAsia="宋体" w:hAnsi="Times New Roman" w:hint="eastAsia"/>
          <w:sz w:val="18"/>
          <w:szCs w:val="18"/>
        </w:rPr>
        <w:t>月</w:t>
      </w:r>
      <w:r w:rsidRPr="00F614F9">
        <w:rPr>
          <w:rFonts w:ascii="Times New Roman" w:eastAsia="宋体" w:hAnsi="Times New Roman" w:hint="eastAsia"/>
          <w:sz w:val="18"/>
          <w:szCs w:val="18"/>
        </w:rPr>
        <w:t>13</w:t>
      </w:r>
      <w:r w:rsidRPr="00F614F9">
        <w:rPr>
          <w:rFonts w:ascii="Times New Roman" w:eastAsia="宋体" w:hAnsi="Times New Roman" w:hint="eastAsia"/>
          <w:sz w:val="18"/>
          <w:szCs w:val="18"/>
        </w:rPr>
        <w:t>日公开发行了</w:t>
      </w:r>
      <w:r w:rsidRPr="00F614F9">
        <w:rPr>
          <w:rFonts w:ascii="Times New Roman" w:eastAsia="宋体" w:hAnsi="Times New Roman" w:hint="eastAsia"/>
          <w:sz w:val="18"/>
          <w:szCs w:val="18"/>
        </w:rPr>
        <w:t>950</w:t>
      </w:r>
      <w:r w:rsidRPr="00F614F9">
        <w:rPr>
          <w:rFonts w:ascii="Times New Roman" w:eastAsia="宋体" w:hAnsi="Times New Roman" w:hint="eastAsia"/>
          <w:sz w:val="18"/>
          <w:szCs w:val="18"/>
        </w:rPr>
        <w:t>万张可转换公司债</w:t>
      </w:r>
      <w:proofErr w:type="gramStart"/>
      <w:r w:rsidRPr="00F614F9">
        <w:rPr>
          <w:rFonts w:ascii="Times New Roman" w:eastAsia="宋体" w:hAnsi="Times New Roman" w:hint="eastAsia"/>
          <w:sz w:val="18"/>
          <w:szCs w:val="18"/>
        </w:rPr>
        <w:t>券</w:t>
      </w:r>
      <w:proofErr w:type="gramEnd"/>
      <w:r w:rsidRPr="00F614F9">
        <w:rPr>
          <w:rFonts w:ascii="Times New Roman" w:eastAsia="宋体" w:hAnsi="Times New Roman" w:hint="eastAsia"/>
          <w:sz w:val="18"/>
          <w:szCs w:val="18"/>
        </w:rPr>
        <w:t>，每张面值</w:t>
      </w:r>
      <w:r w:rsidRPr="00F614F9">
        <w:rPr>
          <w:rFonts w:ascii="Times New Roman" w:eastAsia="宋体" w:hAnsi="Times New Roman" w:hint="eastAsia"/>
          <w:sz w:val="18"/>
          <w:szCs w:val="18"/>
        </w:rPr>
        <w:t>100</w:t>
      </w:r>
      <w:r w:rsidRPr="00F614F9">
        <w:rPr>
          <w:rFonts w:ascii="Times New Roman" w:eastAsia="宋体" w:hAnsi="Times New Roman" w:hint="eastAsia"/>
          <w:sz w:val="18"/>
          <w:szCs w:val="18"/>
        </w:rPr>
        <w:t>元，发行总额</w:t>
      </w:r>
      <w:r w:rsidRPr="00F614F9">
        <w:rPr>
          <w:rFonts w:ascii="Times New Roman" w:eastAsia="宋体" w:hAnsi="Times New Roman" w:hint="eastAsia"/>
          <w:sz w:val="18"/>
          <w:szCs w:val="18"/>
        </w:rPr>
        <w:t>95,000.00</w:t>
      </w:r>
      <w:r w:rsidRPr="00F614F9">
        <w:rPr>
          <w:rFonts w:ascii="Times New Roman" w:eastAsia="宋体" w:hAnsi="Times New Roman" w:hint="eastAsia"/>
          <w:sz w:val="18"/>
          <w:szCs w:val="18"/>
        </w:rPr>
        <w:t>万元。经深交所“深证上</w:t>
      </w:r>
      <w:r w:rsidRPr="00F614F9">
        <w:rPr>
          <w:rFonts w:ascii="Times New Roman" w:eastAsia="宋体" w:hAnsi="Times New Roman" w:hint="eastAsia"/>
          <w:sz w:val="18"/>
          <w:szCs w:val="18"/>
        </w:rPr>
        <w:t>[2020]683</w:t>
      </w:r>
      <w:r w:rsidRPr="00F614F9">
        <w:rPr>
          <w:rFonts w:ascii="Times New Roman" w:eastAsia="宋体" w:hAnsi="Times New Roman" w:hint="eastAsia"/>
          <w:sz w:val="18"/>
          <w:szCs w:val="18"/>
        </w:rPr>
        <w:t>号”文同意，公司</w:t>
      </w:r>
      <w:r w:rsidRPr="00F614F9">
        <w:rPr>
          <w:rFonts w:ascii="Times New Roman" w:eastAsia="宋体" w:hAnsi="Times New Roman" w:hint="eastAsia"/>
          <w:sz w:val="18"/>
          <w:szCs w:val="18"/>
        </w:rPr>
        <w:t>95,000.00</w:t>
      </w:r>
      <w:r w:rsidRPr="00F614F9">
        <w:rPr>
          <w:rFonts w:ascii="Times New Roman" w:eastAsia="宋体" w:hAnsi="Times New Roman" w:hint="eastAsia"/>
          <w:sz w:val="18"/>
          <w:szCs w:val="18"/>
        </w:rPr>
        <w:t>万元可转换公司债</w:t>
      </w:r>
      <w:proofErr w:type="gramStart"/>
      <w:r w:rsidRPr="00F614F9">
        <w:rPr>
          <w:rFonts w:ascii="Times New Roman" w:eastAsia="宋体" w:hAnsi="Times New Roman" w:hint="eastAsia"/>
          <w:sz w:val="18"/>
          <w:szCs w:val="18"/>
        </w:rPr>
        <w:t>券</w:t>
      </w:r>
      <w:proofErr w:type="gramEnd"/>
      <w:r w:rsidRPr="00F614F9">
        <w:rPr>
          <w:rFonts w:ascii="Times New Roman" w:eastAsia="宋体" w:hAnsi="Times New Roman" w:hint="eastAsia"/>
          <w:sz w:val="18"/>
          <w:szCs w:val="18"/>
        </w:rPr>
        <w:t>于</w:t>
      </w:r>
      <w:r w:rsidRPr="00F614F9">
        <w:rPr>
          <w:rFonts w:ascii="Times New Roman" w:eastAsia="宋体" w:hAnsi="Times New Roman" w:hint="eastAsia"/>
          <w:sz w:val="18"/>
          <w:szCs w:val="18"/>
        </w:rPr>
        <w:t>2020</w:t>
      </w:r>
      <w:r w:rsidRPr="00F614F9">
        <w:rPr>
          <w:rFonts w:ascii="Times New Roman" w:eastAsia="宋体" w:hAnsi="Times New Roman" w:hint="eastAsia"/>
          <w:sz w:val="18"/>
          <w:szCs w:val="18"/>
        </w:rPr>
        <w:t>年</w:t>
      </w:r>
      <w:r w:rsidRPr="00F614F9">
        <w:rPr>
          <w:rFonts w:ascii="Times New Roman" w:eastAsia="宋体" w:hAnsi="Times New Roman" w:hint="eastAsia"/>
          <w:sz w:val="18"/>
          <w:szCs w:val="18"/>
        </w:rPr>
        <w:t>8</w:t>
      </w:r>
      <w:r w:rsidRPr="00F614F9">
        <w:rPr>
          <w:rFonts w:ascii="Times New Roman" w:eastAsia="宋体" w:hAnsi="Times New Roman" w:hint="eastAsia"/>
          <w:sz w:val="18"/>
          <w:szCs w:val="18"/>
        </w:rPr>
        <w:t>月</w:t>
      </w:r>
      <w:r w:rsidRPr="00F614F9">
        <w:rPr>
          <w:rFonts w:ascii="Times New Roman" w:eastAsia="宋体" w:hAnsi="Times New Roman" w:hint="eastAsia"/>
          <w:sz w:val="18"/>
          <w:szCs w:val="18"/>
        </w:rPr>
        <w:t>7</w:t>
      </w:r>
      <w:r w:rsidRPr="00F614F9">
        <w:rPr>
          <w:rFonts w:ascii="Times New Roman" w:eastAsia="宋体" w:hAnsi="Times New Roman" w:hint="eastAsia"/>
          <w:sz w:val="18"/>
          <w:szCs w:val="18"/>
        </w:rPr>
        <w:t>日起在深交所挂牌交易，债券简称“龙大转债”，债券代码“</w:t>
      </w:r>
      <w:r w:rsidRPr="00F614F9">
        <w:rPr>
          <w:rFonts w:ascii="Times New Roman" w:eastAsia="宋体" w:hAnsi="Times New Roman" w:hint="eastAsia"/>
          <w:sz w:val="18"/>
          <w:szCs w:val="18"/>
        </w:rPr>
        <w:t>128119.SZ</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br/>
        <w:t xml:space="preserve">  </w:t>
      </w:r>
      <w:r w:rsidRPr="00F614F9">
        <w:rPr>
          <w:rFonts w:ascii="Times New Roman" w:eastAsia="宋体" w:hAnsi="Times New Roman" w:hint="eastAsia"/>
          <w:sz w:val="18"/>
          <w:szCs w:val="18"/>
        </w:rPr>
        <w:t>因公司实施完成了</w:t>
      </w:r>
      <w:r w:rsidRPr="00F614F9">
        <w:rPr>
          <w:rFonts w:ascii="Times New Roman" w:eastAsia="宋体" w:hAnsi="Times New Roman" w:hint="eastAsia"/>
          <w:sz w:val="18"/>
          <w:szCs w:val="18"/>
        </w:rPr>
        <w:t>3</w:t>
      </w:r>
      <w:r w:rsidRPr="00F614F9">
        <w:rPr>
          <w:rFonts w:ascii="Times New Roman" w:eastAsia="宋体" w:hAnsi="Times New Roman" w:hint="eastAsia"/>
          <w:sz w:val="18"/>
          <w:szCs w:val="18"/>
        </w:rPr>
        <w:t>名股权激励对象限制性股票的回购注销事宜，公司总股本发生变化。根据公司可转换公司债</w:t>
      </w:r>
      <w:proofErr w:type="gramStart"/>
      <w:r w:rsidRPr="00F614F9">
        <w:rPr>
          <w:rFonts w:ascii="Times New Roman" w:eastAsia="宋体" w:hAnsi="Times New Roman" w:hint="eastAsia"/>
          <w:sz w:val="18"/>
          <w:szCs w:val="18"/>
        </w:rPr>
        <w:t>券</w:t>
      </w:r>
      <w:proofErr w:type="gramEnd"/>
      <w:r w:rsidRPr="00F614F9">
        <w:rPr>
          <w:rFonts w:ascii="Times New Roman" w:eastAsia="宋体" w:hAnsi="Times New Roman" w:hint="eastAsia"/>
          <w:sz w:val="18"/>
          <w:szCs w:val="18"/>
        </w:rPr>
        <w:t>转股价格调整的相关条款，“龙大转债”的转股价由</w:t>
      </w:r>
      <w:proofErr w:type="gramStart"/>
      <w:r w:rsidRPr="00F614F9">
        <w:rPr>
          <w:rFonts w:ascii="Times New Roman" w:eastAsia="宋体" w:hAnsi="Times New Roman" w:hint="eastAsia"/>
          <w:sz w:val="18"/>
          <w:szCs w:val="18"/>
        </w:rPr>
        <w:t>初始转</w:t>
      </w:r>
      <w:proofErr w:type="gramEnd"/>
      <w:r w:rsidRPr="00F614F9">
        <w:rPr>
          <w:rFonts w:ascii="Times New Roman" w:eastAsia="宋体" w:hAnsi="Times New Roman" w:hint="eastAsia"/>
          <w:sz w:val="18"/>
          <w:szCs w:val="18"/>
        </w:rPr>
        <w:t>股价格</w:t>
      </w:r>
      <w:r w:rsidRPr="00F614F9">
        <w:rPr>
          <w:rFonts w:ascii="Times New Roman" w:eastAsia="宋体" w:hAnsi="Times New Roman" w:hint="eastAsia"/>
          <w:sz w:val="18"/>
          <w:szCs w:val="18"/>
        </w:rPr>
        <w:t>9.56</w:t>
      </w:r>
      <w:r w:rsidRPr="00F614F9">
        <w:rPr>
          <w:rFonts w:ascii="Times New Roman" w:eastAsia="宋体" w:hAnsi="Times New Roman" w:hint="eastAsia"/>
          <w:sz w:val="18"/>
          <w:szCs w:val="18"/>
        </w:rPr>
        <w:t>元</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股调整为</w:t>
      </w:r>
      <w:r w:rsidRPr="00F614F9">
        <w:rPr>
          <w:rFonts w:ascii="Times New Roman" w:eastAsia="宋体" w:hAnsi="Times New Roman" w:hint="eastAsia"/>
          <w:sz w:val="18"/>
          <w:szCs w:val="18"/>
        </w:rPr>
        <w:t>9.57</w:t>
      </w:r>
      <w:r w:rsidRPr="00F614F9">
        <w:rPr>
          <w:rFonts w:ascii="Times New Roman" w:eastAsia="宋体" w:hAnsi="Times New Roman" w:hint="eastAsia"/>
          <w:sz w:val="18"/>
          <w:szCs w:val="18"/>
        </w:rPr>
        <w:t>元</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股。调整后的转股价格自</w:t>
      </w:r>
      <w:r w:rsidRPr="00F614F9">
        <w:rPr>
          <w:rFonts w:ascii="Times New Roman" w:eastAsia="宋体" w:hAnsi="Times New Roman" w:hint="eastAsia"/>
          <w:sz w:val="18"/>
          <w:szCs w:val="18"/>
        </w:rPr>
        <w:t>2020</w:t>
      </w:r>
      <w:r w:rsidRPr="00F614F9">
        <w:rPr>
          <w:rFonts w:ascii="Times New Roman" w:eastAsia="宋体" w:hAnsi="Times New Roman" w:hint="eastAsia"/>
          <w:sz w:val="18"/>
          <w:szCs w:val="18"/>
        </w:rPr>
        <w:t>年</w:t>
      </w:r>
      <w:r w:rsidRPr="00F614F9">
        <w:rPr>
          <w:rFonts w:ascii="Times New Roman" w:eastAsia="宋体" w:hAnsi="Times New Roman" w:hint="eastAsia"/>
          <w:sz w:val="18"/>
          <w:szCs w:val="18"/>
        </w:rPr>
        <w:t>12</w:t>
      </w:r>
      <w:r w:rsidRPr="00F614F9">
        <w:rPr>
          <w:rFonts w:ascii="Times New Roman" w:eastAsia="宋体" w:hAnsi="Times New Roman" w:hint="eastAsia"/>
          <w:sz w:val="18"/>
          <w:szCs w:val="18"/>
        </w:rPr>
        <w:t>月</w:t>
      </w:r>
      <w:r w:rsidRPr="00F614F9">
        <w:rPr>
          <w:rFonts w:ascii="Times New Roman" w:eastAsia="宋体" w:hAnsi="Times New Roman" w:hint="eastAsia"/>
          <w:sz w:val="18"/>
          <w:szCs w:val="18"/>
        </w:rPr>
        <w:t>14</w:t>
      </w:r>
      <w:r w:rsidRPr="00F614F9">
        <w:rPr>
          <w:rFonts w:ascii="Times New Roman" w:eastAsia="宋体" w:hAnsi="Times New Roman" w:hint="eastAsia"/>
          <w:sz w:val="18"/>
          <w:szCs w:val="18"/>
        </w:rPr>
        <w:t>日起生效。</w:t>
      </w:r>
    </w:p>
    <w:p w14:paraId="6C0D4F4B" w14:textId="77777777" w:rsidR="0084625D" w:rsidRPr="00F614F9" w:rsidRDefault="00000000" w:rsidP="0084625D">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  2021</w:t>
      </w:r>
      <w:r w:rsidRPr="00F614F9">
        <w:rPr>
          <w:rFonts w:ascii="Times New Roman" w:eastAsia="宋体" w:hAnsi="Times New Roman" w:hint="eastAsia"/>
          <w:sz w:val="18"/>
          <w:szCs w:val="18"/>
        </w:rPr>
        <w:t>年</w:t>
      </w:r>
      <w:r w:rsidRPr="00F614F9">
        <w:rPr>
          <w:rFonts w:ascii="Times New Roman" w:eastAsia="宋体" w:hAnsi="Times New Roman" w:hint="eastAsia"/>
          <w:sz w:val="18"/>
          <w:szCs w:val="18"/>
        </w:rPr>
        <w:t>4</w:t>
      </w:r>
      <w:r w:rsidRPr="00F614F9">
        <w:rPr>
          <w:rFonts w:ascii="Times New Roman" w:eastAsia="宋体" w:hAnsi="Times New Roman" w:hint="eastAsia"/>
          <w:sz w:val="18"/>
          <w:szCs w:val="18"/>
        </w:rPr>
        <w:t>月</w:t>
      </w:r>
      <w:r w:rsidRPr="00F614F9">
        <w:rPr>
          <w:rFonts w:ascii="Times New Roman" w:eastAsia="宋体" w:hAnsi="Times New Roman" w:hint="eastAsia"/>
          <w:sz w:val="18"/>
          <w:szCs w:val="18"/>
        </w:rPr>
        <w:t>30</w:t>
      </w:r>
      <w:r w:rsidRPr="00F614F9">
        <w:rPr>
          <w:rFonts w:ascii="Times New Roman" w:eastAsia="宋体" w:hAnsi="Times New Roman" w:hint="eastAsia"/>
          <w:sz w:val="18"/>
          <w:szCs w:val="18"/>
        </w:rPr>
        <w:t>日，公司实施完成了</w:t>
      </w:r>
      <w:r w:rsidRPr="00F614F9">
        <w:rPr>
          <w:rFonts w:ascii="Times New Roman" w:eastAsia="宋体" w:hAnsi="Times New Roman" w:hint="eastAsia"/>
          <w:sz w:val="18"/>
          <w:szCs w:val="18"/>
        </w:rPr>
        <w:t>2020</w:t>
      </w:r>
      <w:r w:rsidRPr="00F614F9">
        <w:rPr>
          <w:rFonts w:ascii="Times New Roman" w:eastAsia="宋体" w:hAnsi="Times New Roman" w:hint="eastAsia"/>
          <w:sz w:val="18"/>
          <w:szCs w:val="18"/>
        </w:rPr>
        <w:t>年度权益分派方案。根据公司可转换公司债</w:t>
      </w:r>
      <w:proofErr w:type="gramStart"/>
      <w:r w:rsidRPr="00F614F9">
        <w:rPr>
          <w:rFonts w:ascii="Times New Roman" w:eastAsia="宋体" w:hAnsi="Times New Roman" w:hint="eastAsia"/>
          <w:sz w:val="18"/>
          <w:szCs w:val="18"/>
        </w:rPr>
        <w:t>券</w:t>
      </w:r>
      <w:proofErr w:type="gramEnd"/>
      <w:r w:rsidRPr="00F614F9">
        <w:rPr>
          <w:rFonts w:ascii="Times New Roman" w:eastAsia="宋体" w:hAnsi="Times New Roman" w:hint="eastAsia"/>
          <w:sz w:val="18"/>
          <w:szCs w:val="18"/>
        </w:rPr>
        <w:t>转股价格调整的相关条款，“龙大转债”的转股价格由</w:t>
      </w:r>
      <w:r w:rsidRPr="00F614F9">
        <w:rPr>
          <w:rFonts w:ascii="Times New Roman" w:eastAsia="宋体" w:hAnsi="Times New Roman" w:hint="eastAsia"/>
          <w:sz w:val="18"/>
          <w:szCs w:val="18"/>
        </w:rPr>
        <w:t>9.57</w:t>
      </w:r>
      <w:r w:rsidRPr="00F614F9">
        <w:rPr>
          <w:rFonts w:ascii="Times New Roman" w:eastAsia="宋体" w:hAnsi="Times New Roman" w:hint="eastAsia"/>
          <w:sz w:val="18"/>
          <w:szCs w:val="18"/>
        </w:rPr>
        <w:t>元</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股调整为</w:t>
      </w:r>
      <w:r w:rsidRPr="00F614F9">
        <w:rPr>
          <w:rFonts w:ascii="Times New Roman" w:eastAsia="宋体" w:hAnsi="Times New Roman" w:hint="eastAsia"/>
          <w:sz w:val="18"/>
          <w:szCs w:val="18"/>
        </w:rPr>
        <w:t>9.38</w:t>
      </w:r>
      <w:r w:rsidRPr="00F614F9">
        <w:rPr>
          <w:rFonts w:ascii="Times New Roman" w:eastAsia="宋体" w:hAnsi="Times New Roman" w:hint="eastAsia"/>
          <w:sz w:val="18"/>
          <w:szCs w:val="18"/>
        </w:rPr>
        <w:t>元</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股。调整后的转股价格自</w:t>
      </w:r>
      <w:r w:rsidRPr="00F614F9">
        <w:rPr>
          <w:rFonts w:ascii="Times New Roman" w:eastAsia="宋体" w:hAnsi="Times New Roman" w:hint="eastAsia"/>
          <w:sz w:val="18"/>
          <w:szCs w:val="18"/>
        </w:rPr>
        <w:t>2021</w:t>
      </w:r>
      <w:r w:rsidRPr="00F614F9">
        <w:rPr>
          <w:rFonts w:ascii="Times New Roman" w:eastAsia="宋体" w:hAnsi="Times New Roman" w:hint="eastAsia"/>
          <w:sz w:val="18"/>
          <w:szCs w:val="18"/>
        </w:rPr>
        <w:t>年</w:t>
      </w:r>
      <w:r w:rsidRPr="00F614F9">
        <w:rPr>
          <w:rFonts w:ascii="Times New Roman" w:eastAsia="宋体" w:hAnsi="Times New Roman" w:hint="eastAsia"/>
          <w:sz w:val="18"/>
          <w:szCs w:val="18"/>
        </w:rPr>
        <w:t>4</w:t>
      </w:r>
      <w:r w:rsidRPr="00F614F9">
        <w:rPr>
          <w:rFonts w:ascii="Times New Roman" w:eastAsia="宋体" w:hAnsi="Times New Roman" w:hint="eastAsia"/>
          <w:sz w:val="18"/>
          <w:szCs w:val="18"/>
        </w:rPr>
        <w:t>月</w:t>
      </w:r>
      <w:r w:rsidRPr="00F614F9">
        <w:rPr>
          <w:rFonts w:ascii="Times New Roman" w:eastAsia="宋体" w:hAnsi="Times New Roman" w:hint="eastAsia"/>
          <w:sz w:val="18"/>
          <w:szCs w:val="18"/>
        </w:rPr>
        <w:t>30</w:t>
      </w:r>
      <w:r w:rsidRPr="00F614F9">
        <w:rPr>
          <w:rFonts w:ascii="Times New Roman" w:eastAsia="宋体" w:hAnsi="Times New Roman" w:hint="eastAsia"/>
          <w:sz w:val="18"/>
          <w:szCs w:val="18"/>
        </w:rPr>
        <w:t>日起生效。</w:t>
      </w:r>
      <w:r w:rsidRPr="00F614F9">
        <w:rPr>
          <w:rFonts w:ascii="Times New Roman" w:eastAsia="宋体" w:hAnsi="Times New Roman" w:hint="eastAsia"/>
          <w:sz w:val="18"/>
          <w:szCs w:val="18"/>
        </w:rPr>
        <w:br/>
        <w:t xml:space="preserve">  </w:t>
      </w:r>
      <w:r w:rsidRPr="00F614F9">
        <w:rPr>
          <w:rFonts w:ascii="Times New Roman" w:eastAsia="宋体" w:hAnsi="Times New Roman" w:hint="eastAsia"/>
          <w:sz w:val="18"/>
          <w:szCs w:val="18"/>
        </w:rPr>
        <w:t>自前次转股价格调整日</w:t>
      </w:r>
      <w:r w:rsidRPr="00F614F9">
        <w:rPr>
          <w:rFonts w:ascii="Times New Roman" w:eastAsia="宋体" w:hAnsi="Times New Roman" w:hint="eastAsia"/>
          <w:sz w:val="18"/>
          <w:szCs w:val="18"/>
        </w:rPr>
        <w:t>2021</w:t>
      </w:r>
      <w:r w:rsidRPr="00F614F9">
        <w:rPr>
          <w:rFonts w:ascii="Times New Roman" w:eastAsia="宋体" w:hAnsi="Times New Roman" w:hint="eastAsia"/>
          <w:sz w:val="18"/>
          <w:szCs w:val="18"/>
        </w:rPr>
        <w:t>年</w:t>
      </w:r>
      <w:r w:rsidRPr="00F614F9">
        <w:rPr>
          <w:rFonts w:ascii="Times New Roman" w:eastAsia="宋体" w:hAnsi="Times New Roman" w:hint="eastAsia"/>
          <w:sz w:val="18"/>
          <w:szCs w:val="18"/>
        </w:rPr>
        <w:t>4</w:t>
      </w:r>
      <w:r w:rsidRPr="00F614F9">
        <w:rPr>
          <w:rFonts w:ascii="Times New Roman" w:eastAsia="宋体" w:hAnsi="Times New Roman" w:hint="eastAsia"/>
          <w:sz w:val="18"/>
          <w:szCs w:val="18"/>
        </w:rPr>
        <w:t>月</w:t>
      </w:r>
      <w:r w:rsidRPr="00F614F9">
        <w:rPr>
          <w:rFonts w:ascii="Times New Roman" w:eastAsia="宋体" w:hAnsi="Times New Roman" w:hint="eastAsia"/>
          <w:sz w:val="18"/>
          <w:szCs w:val="18"/>
        </w:rPr>
        <w:t>30</w:t>
      </w:r>
      <w:r w:rsidRPr="00F614F9">
        <w:rPr>
          <w:rFonts w:ascii="Times New Roman" w:eastAsia="宋体" w:hAnsi="Times New Roman" w:hint="eastAsia"/>
          <w:sz w:val="18"/>
          <w:szCs w:val="18"/>
        </w:rPr>
        <w:t>日起至</w:t>
      </w:r>
      <w:r w:rsidRPr="00F614F9">
        <w:rPr>
          <w:rFonts w:ascii="Times New Roman" w:eastAsia="宋体" w:hAnsi="Times New Roman" w:hint="eastAsia"/>
          <w:sz w:val="18"/>
          <w:szCs w:val="18"/>
        </w:rPr>
        <w:t>2021</w:t>
      </w:r>
      <w:r w:rsidRPr="00F614F9">
        <w:rPr>
          <w:rFonts w:ascii="Times New Roman" w:eastAsia="宋体" w:hAnsi="Times New Roman" w:hint="eastAsia"/>
          <w:sz w:val="18"/>
          <w:szCs w:val="18"/>
        </w:rPr>
        <w:t>年</w:t>
      </w:r>
      <w:r w:rsidRPr="00F614F9">
        <w:rPr>
          <w:rFonts w:ascii="Times New Roman" w:eastAsia="宋体" w:hAnsi="Times New Roman" w:hint="eastAsia"/>
          <w:sz w:val="18"/>
          <w:szCs w:val="18"/>
        </w:rPr>
        <w:t>8</w:t>
      </w:r>
      <w:r w:rsidRPr="00F614F9">
        <w:rPr>
          <w:rFonts w:ascii="Times New Roman" w:eastAsia="宋体" w:hAnsi="Times New Roman" w:hint="eastAsia"/>
          <w:sz w:val="18"/>
          <w:szCs w:val="18"/>
        </w:rPr>
        <w:t>月</w:t>
      </w: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日，公司总股本因激励对象自主行权以及公司非公开发行股票上市成功发生变化，根据公司可转换公司债</w:t>
      </w:r>
      <w:proofErr w:type="gramStart"/>
      <w:r w:rsidRPr="00F614F9">
        <w:rPr>
          <w:rFonts w:ascii="Times New Roman" w:eastAsia="宋体" w:hAnsi="Times New Roman" w:hint="eastAsia"/>
          <w:sz w:val="18"/>
          <w:szCs w:val="18"/>
        </w:rPr>
        <w:t>券</w:t>
      </w:r>
      <w:proofErr w:type="gramEnd"/>
      <w:r w:rsidRPr="00F614F9">
        <w:rPr>
          <w:rFonts w:ascii="Times New Roman" w:eastAsia="宋体" w:hAnsi="Times New Roman" w:hint="eastAsia"/>
          <w:sz w:val="18"/>
          <w:szCs w:val="18"/>
        </w:rPr>
        <w:t>转股价格调整的相关条款，“龙大转债”的转股价由</w:t>
      </w:r>
      <w:r w:rsidRPr="00F614F9">
        <w:rPr>
          <w:rFonts w:ascii="Times New Roman" w:eastAsia="宋体" w:hAnsi="Times New Roman" w:hint="eastAsia"/>
          <w:sz w:val="18"/>
          <w:szCs w:val="18"/>
        </w:rPr>
        <w:t>9.38</w:t>
      </w:r>
      <w:r w:rsidRPr="00F614F9">
        <w:rPr>
          <w:rFonts w:ascii="Times New Roman" w:eastAsia="宋体" w:hAnsi="Times New Roman" w:hint="eastAsia"/>
          <w:sz w:val="18"/>
          <w:szCs w:val="18"/>
        </w:rPr>
        <w:t>元</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股调整为</w:t>
      </w:r>
      <w:r w:rsidRPr="00F614F9">
        <w:rPr>
          <w:rFonts w:ascii="Times New Roman" w:eastAsia="宋体" w:hAnsi="Times New Roman" w:hint="eastAsia"/>
          <w:sz w:val="18"/>
          <w:szCs w:val="18"/>
        </w:rPr>
        <w:t>9.29</w:t>
      </w:r>
      <w:r w:rsidRPr="00F614F9">
        <w:rPr>
          <w:rFonts w:ascii="Times New Roman" w:eastAsia="宋体" w:hAnsi="Times New Roman" w:hint="eastAsia"/>
          <w:sz w:val="18"/>
          <w:szCs w:val="18"/>
        </w:rPr>
        <w:t>元</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股。调整后的转股价格自</w:t>
      </w:r>
      <w:r w:rsidRPr="00F614F9">
        <w:rPr>
          <w:rFonts w:ascii="Times New Roman" w:eastAsia="宋体" w:hAnsi="Times New Roman" w:hint="eastAsia"/>
          <w:sz w:val="18"/>
          <w:szCs w:val="18"/>
        </w:rPr>
        <w:t>2021</w:t>
      </w:r>
      <w:r w:rsidRPr="00F614F9">
        <w:rPr>
          <w:rFonts w:ascii="Times New Roman" w:eastAsia="宋体" w:hAnsi="Times New Roman" w:hint="eastAsia"/>
          <w:sz w:val="18"/>
          <w:szCs w:val="18"/>
        </w:rPr>
        <w:t>年</w:t>
      </w:r>
      <w:r w:rsidRPr="00F614F9">
        <w:rPr>
          <w:rFonts w:ascii="Times New Roman" w:eastAsia="宋体" w:hAnsi="Times New Roman" w:hint="eastAsia"/>
          <w:sz w:val="18"/>
          <w:szCs w:val="18"/>
        </w:rPr>
        <w:t>8</w:t>
      </w:r>
      <w:r w:rsidRPr="00F614F9">
        <w:rPr>
          <w:rFonts w:ascii="Times New Roman" w:eastAsia="宋体" w:hAnsi="Times New Roman" w:hint="eastAsia"/>
          <w:sz w:val="18"/>
          <w:szCs w:val="18"/>
        </w:rPr>
        <w:t>月</w:t>
      </w:r>
      <w:r w:rsidRPr="00F614F9">
        <w:rPr>
          <w:rFonts w:ascii="Times New Roman" w:eastAsia="宋体" w:hAnsi="Times New Roman" w:hint="eastAsia"/>
          <w:sz w:val="18"/>
          <w:szCs w:val="18"/>
        </w:rPr>
        <w:t>12</w:t>
      </w:r>
      <w:r w:rsidRPr="00F614F9">
        <w:rPr>
          <w:rFonts w:ascii="Times New Roman" w:eastAsia="宋体" w:hAnsi="Times New Roman" w:hint="eastAsia"/>
          <w:sz w:val="18"/>
          <w:szCs w:val="18"/>
        </w:rPr>
        <w:t>日起生效。</w:t>
      </w:r>
      <w:r w:rsidRPr="00F614F9">
        <w:rPr>
          <w:rFonts w:ascii="Times New Roman" w:eastAsia="宋体" w:hAnsi="Times New Roman" w:hint="eastAsia"/>
          <w:sz w:val="18"/>
          <w:szCs w:val="18"/>
        </w:rPr>
        <w:br/>
        <w:t xml:space="preserve">  </w:t>
      </w:r>
      <w:r w:rsidRPr="00F614F9">
        <w:rPr>
          <w:rFonts w:ascii="Times New Roman" w:eastAsia="宋体" w:hAnsi="Times New Roman" w:hint="eastAsia"/>
          <w:sz w:val="18"/>
          <w:szCs w:val="18"/>
        </w:rPr>
        <w:t>自前次转股价格调整日至</w:t>
      </w:r>
      <w:r w:rsidRPr="00F614F9">
        <w:rPr>
          <w:rFonts w:ascii="Times New Roman" w:eastAsia="宋体" w:hAnsi="Times New Roman" w:hint="eastAsia"/>
          <w:sz w:val="18"/>
          <w:szCs w:val="18"/>
        </w:rPr>
        <w:t>2022</w:t>
      </w:r>
      <w:r w:rsidRPr="00F614F9">
        <w:rPr>
          <w:rFonts w:ascii="Times New Roman" w:eastAsia="宋体" w:hAnsi="Times New Roman" w:hint="eastAsia"/>
          <w:sz w:val="18"/>
          <w:szCs w:val="18"/>
        </w:rPr>
        <w:t>年</w:t>
      </w:r>
      <w:r w:rsidRPr="00F614F9">
        <w:rPr>
          <w:rFonts w:ascii="Times New Roman" w:eastAsia="宋体" w:hAnsi="Times New Roman" w:hint="eastAsia"/>
          <w:sz w:val="18"/>
          <w:szCs w:val="18"/>
        </w:rPr>
        <w:t>3</w:t>
      </w:r>
      <w:r w:rsidRPr="00F614F9">
        <w:rPr>
          <w:rFonts w:ascii="Times New Roman" w:eastAsia="宋体" w:hAnsi="Times New Roman" w:hint="eastAsia"/>
          <w:sz w:val="18"/>
          <w:szCs w:val="18"/>
        </w:rPr>
        <w:t>月</w:t>
      </w:r>
      <w:r w:rsidRPr="00F614F9">
        <w:rPr>
          <w:rFonts w:ascii="Times New Roman" w:eastAsia="宋体" w:hAnsi="Times New Roman" w:hint="eastAsia"/>
          <w:sz w:val="18"/>
          <w:szCs w:val="18"/>
        </w:rPr>
        <w:t>28</w:t>
      </w:r>
      <w:r w:rsidRPr="00F614F9">
        <w:rPr>
          <w:rFonts w:ascii="Times New Roman" w:eastAsia="宋体" w:hAnsi="Times New Roman" w:hint="eastAsia"/>
          <w:sz w:val="18"/>
          <w:szCs w:val="18"/>
        </w:rPr>
        <w:t>日，公司总股本因激励对象自主行权以及限制性股票回购注销而发生变化，根据公司可转换公司债</w:t>
      </w:r>
      <w:proofErr w:type="gramStart"/>
      <w:r w:rsidRPr="00F614F9">
        <w:rPr>
          <w:rFonts w:ascii="Times New Roman" w:eastAsia="宋体" w:hAnsi="Times New Roman" w:hint="eastAsia"/>
          <w:sz w:val="18"/>
          <w:szCs w:val="18"/>
        </w:rPr>
        <w:t>券</w:t>
      </w:r>
      <w:proofErr w:type="gramEnd"/>
      <w:r w:rsidRPr="00F614F9">
        <w:rPr>
          <w:rFonts w:ascii="Times New Roman" w:eastAsia="宋体" w:hAnsi="Times New Roman" w:hint="eastAsia"/>
          <w:sz w:val="18"/>
          <w:szCs w:val="18"/>
        </w:rPr>
        <w:t>转股价格调整的相关条款，“龙大转债”的转股价由</w:t>
      </w:r>
      <w:r w:rsidRPr="00F614F9">
        <w:rPr>
          <w:rFonts w:ascii="Times New Roman" w:eastAsia="宋体" w:hAnsi="Times New Roman" w:hint="eastAsia"/>
          <w:sz w:val="18"/>
          <w:szCs w:val="18"/>
        </w:rPr>
        <w:t>9.29</w:t>
      </w:r>
      <w:r w:rsidRPr="00F614F9">
        <w:rPr>
          <w:rFonts w:ascii="Times New Roman" w:eastAsia="宋体" w:hAnsi="Times New Roman" w:hint="eastAsia"/>
          <w:sz w:val="18"/>
          <w:szCs w:val="18"/>
        </w:rPr>
        <w:t>元</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股调整为</w:t>
      </w:r>
      <w:r w:rsidRPr="00F614F9">
        <w:rPr>
          <w:rFonts w:ascii="Times New Roman" w:eastAsia="宋体" w:hAnsi="Times New Roman" w:hint="eastAsia"/>
          <w:sz w:val="18"/>
          <w:szCs w:val="18"/>
        </w:rPr>
        <w:t>9.28</w:t>
      </w:r>
      <w:r w:rsidRPr="00F614F9">
        <w:rPr>
          <w:rFonts w:ascii="Times New Roman" w:eastAsia="宋体" w:hAnsi="Times New Roman" w:hint="eastAsia"/>
          <w:sz w:val="18"/>
          <w:szCs w:val="18"/>
        </w:rPr>
        <w:t>元</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股。调整后的转股价格自</w:t>
      </w:r>
      <w:r w:rsidRPr="00F614F9">
        <w:rPr>
          <w:rFonts w:ascii="Times New Roman" w:eastAsia="宋体" w:hAnsi="Times New Roman" w:hint="eastAsia"/>
          <w:sz w:val="18"/>
          <w:szCs w:val="18"/>
        </w:rPr>
        <w:t>2022</w:t>
      </w:r>
      <w:r w:rsidRPr="00F614F9">
        <w:rPr>
          <w:rFonts w:ascii="Times New Roman" w:eastAsia="宋体" w:hAnsi="Times New Roman" w:hint="eastAsia"/>
          <w:sz w:val="18"/>
          <w:szCs w:val="18"/>
        </w:rPr>
        <w:t>年</w:t>
      </w:r>
      <w:r w:rsidRPr="00F614F9">
        <w:rPr>
          <w:rFonts w:ascii="Times New Roman" w:eastAsia="宋体" w:hAnsi="Times New Roman" w:hint="eastAsia"/>
          <w:sz w:val="18"/>
          <w:szCs w:val="18"/>
        </w:rPr>
        <w:t>3</w:t>
      </w:r>
      <w:r w:rsidRPr="00F614F9">
        <w:rPr>
          <w:rFonts w:ascii="Times New Roman" w:eastAsia="宋体" w:hAnsi="Times New Roman" w:hint="eastAsia"/>
          <w:sz w:val="18"/>
          <w:szCs w:val="18"/>
        </w:rPr>
        <w:t>月</w:t>
      </w:r>
      <w:r w:rsidRPr="00F614F9">
        <w:rPr>
          <w:rFonts w:ascii="Times New Roman" w:eastAsia="宋体" w:hAnsi="Times New Roman" w:hint="eastAsia"/>
          <w:sz w:val="18"/>
          <w:szCs w:val="18"/>
        </w:rPr>
        <w:t>31</w:t>
      </w:r>
      <w:r w:rsidRPr="00F614F9">
        <w:rPr>
          <w:rFonts w:ascii="Times New Roman" w:eastAsia="宋体" w:hAnsi="Times New Roman" w:hint="eastAsia"/>
          <w:sz w:val="18"/>
          <w:szCs w:val="18"/>
        </w:rPr>
        <w:t>日起生效。</w:t>
      </w:r>
    </w:p>
    <w:p w14:paraId="55A7F385" w14:textId="77777777" w:rsidR="00872599" w:rsidRPr="00F614F9" w:rsidRDefault="00000000" w:rsidP="0084625D">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 xml:space="preserve">  </w:t>
      </w:r>
      <w:r w:rsidRPr="00F614F9">
        <w:rPr>
          <w:rFonts w:ascii="Times New Roman" w:eastAsia="宋体" w:hAnsi="Times New Roman" w:hint="eastAsia"/>
          <w:sz w:val="18"/>
          <w:szCs w:val="18"/>
        </w:rPr>
        <w:t>自前次转股价格调整日至</w:t>
      </w:r>
      <w:r w:rsidRPr="00F614F9">
        <w:rPr>
          <w:rFonts w:ascii="Times New Roman" w:eastAsia="宋体" w:hAnsi="Times New Roman" w:hint="eastAsia"/>
          <w:sz w:val="18"/>
          <w:szCs w:val="18"/>
        </w:rPr>
        <w:t>2022</w:t>
      </w:r>
      <w:r w:rsidRPr="00F614F9">
        <w:rPr>
          <w:rFonts w:ascii="Times New Roman" w:eastAsia="宋体" w:hAnsi="Times New Roman" w:hint="eastAsia"/>
          <w:sz w:val="18"/>
          <w:szCs w:val="18"/>
        </w:rPr>
        <w:t>年</w:t>
      </w:r>
      <w:r w:rsidRPr="00F614F9">
        <w:rPr>
          <w:rFonts w:ascii="Times New Roman" w:eastAsia="宋体" w:hAnsi="Times New Roman" w:hint="eastAsia"/>
          <w:sz w:val="18"/>
          <w:szCs w:val="18"/>
        </w:rPr>
        <w:t>8</w:t>
      </w:r>
      <w:r w:rsidRPr="00F614F9">
        <w:rPr>
          <w:rFonts w:ascii="Times New Roman" w:eastAsia="宋体" w:hAnsi="Times New Roman" w:hint="eastAsia"/>
          <w:sz w:val="18"/>
          <w:szCs w:val="18"/>
        </w:rPr>
        <w:t>月</w:t>
      </w:r>
      <w:r w:rsidRPr="00F614F9">
        <w:rPr>
          <w:rFonts w:ascii="Times New Roman" w:eastAsia="宋体" w:hAnsi="Times New Roman" w:hint="eastAsia"/>
          <w:sz w:val="18"/>
          <w:szCs w:val="18"/>
        </w:rPr>
        <w:t>17</w:t>
      </w:r>
      <w:r w:rsidRPr="00F614F9">
        <w:rPr>
          <w:rFonts w:ascii="Times New Roman" w:eastAsia="宋体" w:hAnsi="Times New Roman" w:hint="eastAsia"/>
          <w:sz w:val="18"/>
          <w:szCs w:val="18"/>
        </w:rPr>
        <w:t>日，公司总股本因激励对象自主行权以及限制性股票回购注销而发生变化，根据公司可转换公司债</w:t>
      </w:r>
      <w:proofErr w:type="gramStart"/>
      <w:r w:rsidRPr="00F614F9">
        <w:rPr>
          <w:rFonts w:ascii="Times New Roman" w:eastAsia="宋体" w:hAnsi="Times New Roman" w:hint="eastAsia"/>
          <w:sz w:val="18"/>
          <w:szCs w:val="18"/>
        </w:rPr>
        <w:t>券</w:t>
      </w:r>
      <w:proofErr w:type="gramEnd"/>
      <w:r w:rsidRPr="00F614F9">
        <w:rPr>
          <w:rFonts w:ascii="Times New Roman" w:eastAsia="宋体" w:hAnsi="Times New Roman" w:hint="eastAsia"/>
          <w:sz w:val="18"/>
          <w:szCs w:val="18"/>
        </w:rPr>
        <w:t>转股价格调整的相关条款，“龙大转债”的转股价由</w:t>
      </w:r>
      <w:r w:rsidRPr="00F614F9">
        <w:rPr>
          <w:rFonts w:ascii="Times New Roman" w:eastAsia="宋体" w:hAnsi="Times New Roman" w:hint="eastAsia"/>
          <w:sz w:val="18"/>
          <w:szCs w:val="18"/>
        </w:rPr>
        <w:t>9.28</w:t>
      </w:r>
      <w:r w:rsidRPr="00F614F9">
        <w:rPr>
          <w:rFonts w:ascii="Times New Roman" w:eastAsia="宋体" w:hAnsi="Times New Roman" w:hint="eastAsia"/>
          <w:sz w:val="18"/>
          <w:szCs w:val="18"/>
        </w:rPr>
        <w:t>元</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股调整为</w:t>
      </w:r>
      <w:r w:rsidRPr="00F614F9">
        <w:rPr>
          <w:rFonts w:ascii="Times New Roman" w:eastAsia="宋体" w:hAnsi="Times New Roman" w:hint="eastAsia"/>
          <w:sz w:val="18"/>
          <w:szCs w:val="18"/>
        </w:rPr>
        <w:t>9.30</w:t>
      </w:r>
      <w:r w:rsidRPr="00F614F9">
        <w:rPr>
          <w:rFonts w:ascii="Times New Roman" w:eastAsia="宋体" w:hAnsi="Times New Roman" w:hint="eastAsia"/>
          <w:sz w:val="18"/>
          <w:szCs w:val="18"/>
        </w:rPr>
        <w:t>元</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股。调整后的转股价格自</w:t>
      </w:r>
      <w:r w:rsidRPr="00F614F9">
        <w:rPr>
          <w:rFonts w:ascii="Times New Roman" w:eastAsia="宋体" w:hAnsi="Times New Roman" w:hint="eastAsia"/>
          <w:sz w:val="18"/>
          <w:szCs w:val="18"/>
        </w:rPr>
        <w:t>2022</w:t>
      </w:r>
      <w:r w:rsidRPr="00F614F9">
        <w:rPr>
          <w:rFonts w:ascii="Times New Roman" w:eastAsia="宋体" w:hAnsi="Times New Roman" w:hint="eastAsia"/>
          <w:sz w:val="18"/>
          <w:szCs w:val="18"/>
        </w:rPr>
        <w:t>年</w:t>
      </w:r>
      <w:r w:rsidRPr="00F614F9">
        <w:rPr>
          <w:rFonts w:ascii="Times New Roman" w:eastAsia="宋体" w:hAnsi="Times New Roman" w:hint="eastAsia"/>
          <w:sz w:val="18"/>
          <w:szCs w:val="18"/>
        </w:rPr>
        <w:t>8</w:t>
      </w:r>
      <w:r w:rsidRPr="00F614F9">
        <w:rPr>
          <w:rFonts w:ascii="Times New Roman" w:eastAsia="宋体" w:hAnsi="Times New Roman" w:hint="eastAsia"/>
          <w:sz w:val="18"/>
          <w:szCs w:val="18"/>
        </w:rPr>
        <w:t>月</w:t>
      </w:r>
      <w:r w:rsidRPr="00F614F9">
        <w:rPr>
          <w:rFonts w:ascii="Times New Roman" w:eastAsia="宋体" w:hAnsi="Times New Roman" w:hint="eastAsia"/>
          <w:sz w:val="18"/>
          <w:szCs w:val="18"/>
        </w:rPr>
        <w:t>19</w:t>
      </w:r>
      <w:r w:rsidRPr="00F614F9">
        <w:rPr>
          <w:rFonts w:ascii="Times New Roman" w:eastAsia="宋体" w:hAnsi="Times New Roman" w:hint="eastAsia"/>
          <w:sz w:val="18"/>
          <w:szCs w:val="18"/>
        </w:rPr>
        <w:t>日起生效。</w:t>
      </w:r>
    </w:p>
    <w:p w14:paraId="27361826" w14:textId="77777777" w:rsidR="001D26E7" w:rsidRPr="00F614F9" w:rsidRDefault="00000000">
      <w:pPr>
        <w:pStyle w:val="3"/>
        <w:spacing w:line="280" w:lineRule="exact"/>
        <w:jc w:val="left"/>
        <w:rPr>
          <w:rFonts w:ascii="Times New Roman" w:hAnsi="Times New Roman" w:cs="宋体"/>
          <w:b/>
          <w:bCs/>
        </w:rPr>
      </w:pPr>
      <w:bookmarkStart w:id="219" w:name="_Toc989043"/>
      <w:r w:rsidRPr="00F614F9">
        <w:rPr>
          <w:rFonts w:ascii="Times New Roman" w:hAnsi="Times New Roman" w:cs="宋体"/>
          <w:b/>
          <w:bCs/>
        </w:rPr>
        <w:lastRenderedPageBreak/>
        <w:t>2</w:t>
      </w:r>
      <w:r w:rsidRPr="00F614F9">
        <w:rPr>
          <w:rFonts w:ascii="Times New Roman" w:hAnsi="Times New Roman" w:cs="宋体"/>
          <w:b/>
          <w:bCs/>
        </w:rPr>
        <w:t>、累计转股情况</w:t>
      </w:r>
      <w:bookmarkEnd w:id="219"/>
    </w:p>
    <w:p w14:paraId="614933AF"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1D26E7" w:rsidRPr="00F614F9" w14:paraId="3C6B0418"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0509E2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转债简称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FD05FB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转股起止日期</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7F4BAA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发行总量（张）</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2A8B9C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发行总金额（元）</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DED15A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累计转股金额（元）</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B65D27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累计转股数（股）</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C47C45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转股</w:t>
            </w:r>
            <w:proofErr w:type="gramStart"/>
            <w:r w:rsidRPr="00F614F9">
              <w:rPr>
                <w:rFonts w:ascii="Times New Roman" w:eastAsia="宋体" w:hAnsi="Times New Roman" w:cs="宋体"/>
                <w:sz w:val="18"/>
                <w:szCs w:val="18"/>
              </w:rPr>
              <w:t>数量占转股</w:t>
            </w:r>
            <w:proofErr w:type="gramEnd"/>
            <w:r w:rsidRPr="00F614F9">
              <w:rPr>
                <w:rFonts w:ascii="Times New Roman" w:eastAsia="宋体" w:hAnsi="Times New Roman" w:cs="宋体"/>
                <w:sz w:val="18"/>
                <w:szCs w:val="18"/>
              </w:rPr>
              <w:t>开始日前公司已发行股份总额的比例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843545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尚未转股金额（元）</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A0712D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未转股金额占发行总金额的比例</w:t>
            </w:r>
          </w:p>
        </w:tc>
      </w:tr>
      <w:tr w:rsidR="001D26E7" w:rsidRPr="00F614F9" w14:paraId="1691C1ED"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7088F0D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龙大转债</w:t>
            </w:r>
          </w:p>
        </w:tc>
        <w:tc>
          <w:tcPr>
            <w:tcW w:w="1071" w:type="dxa"/>
            <w:tcBorders>
              <w:top w:val="single" w:sz="2" w:space="0" w:color="auto"/>
              <w:left w:val="single" w:sz="2" w:space="0" w:color="auto"/>
              <w:bottom w:val="single" w:sz="2" w:space="0" w:color="auto"/>
              <w:right w:val="single" w:sz="2" w:space="0" w:color="auto"/>
            </w:tcBorders>
            <w:vAlign w:val="center"/>
          </w:tcPr>
          <w:p w14:paraId="508B9BE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日至</w:t>
            </w:r>
            <w:r w:rsidRPr="00F614F9">
              <w:rPr>
                <w:rFonts w:ascii="Times New Roman" w:eastAsia="宋体" w:hAnsi="Times New Roman" w:cs="宋体"/>
                <w:sz w:val="18"/>
                <w:szCs w:val="18"/>
              </w:rPr>
              <w:t>2026</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日</w:t>
            </w:r>
          </w:p>
        </w:tc>
        <w:tc>
          <w:tcPr>
            <w:tcW w:w="1071" w:type="dxa"/>
            <w:tcBorders>
              <w:top w:val="single" w:sz="2" w:space="0" w:color="auto"/>
              <w:left w:val="single" w:sz="2" w:space="0" w:color="auto"/>
              <w:bottom w:val="single" w:sz="2" w:space="0" w:color="auto"/>
              <w:right w:val="single" w:sz="2" w:space="0" w:color="auto"/>
            </w:tcBorders>
            <w:vAlign w:val="center"/>
          </w:tcPr>
          <w:p w14:paraId="16E8D14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9,500,000</w:t>
            </w:r>
          </w:p>
        </w:tc>
        <w:tc>
          <w:tcPr>
            <w:tcW w:w="1071" w:type="dxa"/>
            <w:tcBorders>
              <w:top w:val="single" w:sz="2" w:space="0" w:color="auto"/>
              <w:left w:val="single" w:sz="2" w:space="0" w:color="auto"/>
              <w:bottom w:val="single" w:sz="2" w:space="0" w:color="auto"/>
              <w:right w:val="single" w:sz="2" w:space="0" w:color="auto"/>
            </w:tcBorders>
            <w:vAlign w:val="center"/>
          </w:tcPr>
          <w:p w14:paraId="7CB0400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950,000,000.00</w:t>
            </w:r>
          </w:p>
        </w:tc>
        <w:tc>
          <w:tcPr>
            <w:tcW w:w="1071" w:type="dxa"/>
            <w:tcBorders>
              <w:top w:val="single" w:sz="2" w:space="0" w:color="auto"/>
              <w:left w:val="single" w:sz="2" w:space="0" w:color="auto"/>
              <w:bottom w:val="single" w:sz="2" w:space="0" w:color="auto"/>
              <w:right w:val="single" w:sz="2" w:space="0" w:color="auto"/>
            </w:tcBorders>
            <w:vAlign w:val="center"/>
          </w:tcPr>
          <w:p w14:paraId="1095BDE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3,943,300.00</w:t>
            </w:r>
          </w:p>
        </w:tc>
        <w:tc>
          <w:tcPr>
            <w:tcW w:w="1071" w:type="dxa"/>
            <w:tcBorders>
              <w:top w:val="single" w:sz="2" w:space="0" w:color="auto"/>
              <w:left w:val="single" w:sz="2" w:space="0" w:color="auto"/>
              <w:bottom w:val="single" w:sz="2" w:space="0" w:color="auto"/>
              <w:right w:val="single" w:sz="2" w:space="0" w:color="auto"/>
            </w:tcBorders>
            <w:vAlign w:val="center"/>
          </w:tcPr>
          <w:p w14:paraId="5BA289D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418,065</w:t>
            </w:r>
          </w:p>
        </w:tc>
        <w:tc>
          <w:tcPr>
            <w:tcW w:w="1071" w:type="dxa"/>
            <w:tcBorders>
              <w:top w:val="single" w:sz="2" w:space="0" w:color="auto"/>
              <w:left w:val="single" w:sz="2" w:space="0" w:color="auto"/>
              <w:bottom w:val="single" w:sz="2" w:space="0" w:color="auto"/>
              <w:right w:val="single" w:sz="2" w:space="0" w:color="auto"/>
            </w:tcBorders>
            <w:vAlign w:val="center"/>
          </w:tcPr>
          <w:p w14:paraId="058F48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0.04%</w:t>
            </w:r>
          </w:p>
        </w:tc>
        <w:tc>
          <w:tcPr>
            <w:tcW w:w="1071" w:type="dxa"/>
            <w:tcBorders>
              <w:top w:val="single" w:sz="2" w:space="0" w:color="auto"/>
              <w:left w:val="single" w:sz="2" w:space="0" w:color="auto"/>
              <w:bottom w:val="single" w:sz="2" w:space="0" w:color="auto"/>
              <w:right w:val="single" w:sz="2" w:space="0" w:color="auto"/>
            </w:tcBorders>
            <w:vAlign w:val="center"/>
          </w:tcPr>
          <w:p w14:paraId="64E16F6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946,056,700.00</w:t>
            </w:r>
          </w:p>
        </w:tc>
        <w:tc>
          <w:tcPr>
            <w:tcW w:w="1071" w:type="dxa"/>
            <w:tcBorders>
              <w:top w:val="single" w:sz="2" w:space="0" w:color="auto"/>
              <w:left w:val="single" w:sz="2" w:space="0" w:color="auto"/>
              <w:bottom w:val="single" w:sz="2" w:space="0" w:color="auto"/>
              <w:right w:val="single" w:sz="2" w:space="0" w:color="auto"/>
            </w:tcBorders>
            <w:vAlign w:val="center"/>
          </w:tcPr>
          <w:p w14:paraId="377B770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99.58%</w:t>
            </w:r>
          </w:p>
        </w:tc>
      </w:tr>
    </w:tbl>
    <w:p w14:paraId="70C96308" w14:textId="77777777" w:rsidR="001D26E7" w:rsidRPr="00F614F9" w:rsidRDefault="00000000">
      <w:pPr>
        <w:pStyle w:val="3"/>
        <w:spacing w:line="280" w:lineRule="exact"/>
        <w:jc w:val="left"/>
        <w:rPr>
          <w:rFonts w:ascii="Times New Roman" w:hAnsi="Times New Roman" w:cs="宋体"/>
          <w:b/>
          <w:bCs/>
        </w:rPr>
      </w:pPr>
      <w:bookmarkStart w:id="220" w:name="_Toc989044"/>
      <w:r w:rsidRPr="00F614F9">
        <w:rPr>
          <w:rFonts w:ascii="Times New Roman" w:hAnsi="Times New Roman" w:cs="宋体"/>
          <w:b/>
          <w:bCs/>
        </w:rPr>
        <w:t>3</w:t>
      </w:r>
      <w:r w:rsidRPr="00F614F9">
        <w:rPr>
          <w:rFonts w:ascii="Times New Roman" w:hAnsi="Times New Roman" w:cs="宋体"/>
          <w:b/>
          <w:bCs/>
        </w:rPr>
        <w:t>、前十名可转债持有人情况</w:t>
      </w:r>
      <w:bookmarkEnd w:id="220"/>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2503"/>
        <w:gridCol w:w="1606"/>
        <w:gridCol w:w="1607"/>
        <w:gridCol w:w="1607"/>
        <w:gridCol w:w="1607"/>
      </w:tblGrid>
      <w:tr w:rsidR="001D26E7" w:rsidRPr="00F614F9" w14:paraId="75E5F2E5" w14:textId="77777777" w:rsidTr="0084625D">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78E9241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序号</w:t>
            </w:r>
          </w:p>
        </w:tc>
        <w:tc>
          <w:tcPr>
            <w:tcW w:w="2503" w:type="dxa"/>
            <w:tcBorders>
              <w:top w:val="single" w:sz="2" w:space="0" w:color="auto"/>
              <w:left w:val="single" w:sz="2" w:space="0" w:color="auto"/>
              <w:bottom w:val="single" w:sz="2" w:space="0" w:color="auto"/>
              <w:right w:val="single" w:sz="2" w:space="0" w:color="auto"/>
            </w:tcBorders>
            <w:shd w:val="clear" w:color="auto" w:fill="D3D3D3"/>
            <w:vAlign w:val="center"/>
          </w:tcPr>
          <w:p w14:paraId="231B504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可转债持有人名称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9E3118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可转债持有人性质</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472527B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报告期末持有可转债数量（张）</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7770602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报告期末持有可转债金额（元）</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2D24BFF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报告期末持有</w:t>
            </w:r>
            <w:proofErr w:type="gramStart"/>
            <w:r w:rsidRPr="00F614F9">
              <w:rPr>
                <w:rFonts w:ascii="Times New Roman" w:eastAsia="宋体" w:hAnsi="Times New Roman" w:cs="宋体"/>
                <w:sz w:val="18"/>
                <w:szCs w:val="18"/>
              </w:rPr>
              <w:t>可转债占比</w:t>
            </w:r>
            <w:proofErr w:type="gramEnd"/>
          </w:p>
        </w:tc>
      </w:tr>
      <w:tr w:rsidR="001D26E7" w:rsidRPr="00F614F9" w14:paraId="447A1C12" w14:textId="77777777" w:rsidTr="0084625D">
        <w:trPr>
          <w:trHeight w:val="240"/>
        </w:trPr>
        <w:tc>
          <w:tcPr>
            <w:tcW w:w="709" w:type="dxa"/>
            <w:tcBorders>
              <w:top w:val="single" w:sz="2" w:space="0" w:color="auto"/>
              <w:left w:val="single" w:sz="2" w:space="0" w:color="auto"/>
              <w:bottom w:val="single" w:sz="2" w:space="0" w:color="auto"/>
              <w:right w:val="single" w:sz="2" w:space="0" w:color="auto"/>
            </w:tcBorders>
            <w:vAlign w:val="center"/>
          </w:tcPr>
          <w:p w14:paraId="11A43EE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2503" w:type="dxa"/>
            <w:tcBorders>
              <w:top w:val="single" w:sz="2" w:space="0" w:color="auto"/>
              <w:left w:val="single" w:sz="2" w:space="0" w:color="auto"/>
              <w:bottom w:val="single" w:sz="2" w:space="0" w:color="auto"/>
              <w:right w:val="single" w:sz="2" w:space="0" w:color="auto"/>
            </w:tcBorders>
            <w:vAlign w:val="center"/>
          </w:tcPr>
          <w:p w14:paraId="650E7D6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中国银行股份有限公司－易方达稳健收益债券型证券投资基金</w:t>
            </w:r>
          </w:p>
        </w:tc>
        <w:tc>
          <w:tcPr>
            <w:tcW w:w="1606" w:type="dxa"/>
            <w:tcBorders>
              <w:top w:val="single" w:sz="2" w:space="0" w:color="auto"/>
              <w:left w:val="single" w:sz="2" w:space="0" w:color="auto"/>
              <w:bottom w:val="single" w:sz="2" w:space="0" w:color="auto"/>
              <w:right w:val="single" w:sz="2" w:space="0" w:color="auto"/>
            </w:tcBorders>
            <w:vAlign w:val="center"/>
          </w:tcPr>
          <w:p w14:paraId="77EEF0C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1607" w:type="dxa"/>
            <w:tcBorders>
              <w:top w:val="single" w:sz="2" w:space="0" w:color="auto"/>
              <w:left w:val="single" w:sz="2" w:space="0" w:color="auto"/>
              <w:bottom w:val="single" w:sz="2" w:space="0" w:color="auto"/>
              <w:right w:val="single" w:sz="2" w:space="0" w:color="auto"/>
            </w:tcBorders>
            <w:vAlign w:val="center"/>
          </w:tcPr>
          <w:p w14:paraId="2497D9E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550,366</w:t>
            </w:r>
          </w:p>
        </w:tc>
        <w:tc>
          <w:tcPr>
            <w:tcW w:w="1607" w:type="dxa"/>
            <w:tcBorders>
              <w:top w:val="single" w:sz="2" w:space="0" w:color="auto"/>
              <w:left w:val="single" w:sz="2" w:space="0" w:color="auto"/>
              <w:bottom w:val="single" w:sz="2" w:space="0" w:color="auto"/>
              <w:right w:val="single" w:sz="2" w:space="0" w:color="auto"/>
            </w:tcBorders>
            <w:vAlign w:val="center"/>
          </w:tcPr>
          <w:p w14:paraId="708E99F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55,036,600.00</w:t>
            </w:r>
          </w:p>
        </w:tc>
        <w:tc>
          <w:tcPr>
            <w:tcW w:w="1607" w:type="dxa"/>
            <w:tcBorders>
              <w:top w:val="single" w:sz="2" w:space="0" w:color="auto"/>
              <w:left w:val="single" w:sz="2" w:space="0" w:color="auto"/>
              <w:bottom w:val="single" w:sz="2" w:space="0" w:color="auto"/>
              <w:right w:val="single" w:sz="2" w:space="0" w:color="auto"/>
            </w:tcBorders>
            <w:vAlign w:val="center"/>
          </w:tcPr>
          <w:p w14:paraId="29B5F4B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5.82%</w:t>
            </w:r>
          </w:p>
        </w:tc>
      </w:tr>
      <w:tr w:rsidR="001D26E7" w:rsidRPr="00F614F9" w14:paraId="012EA2F8" w14:textId="77777777" w:rsidTr="0084625D">
        <w:trPr>
          <w:trHeight w:val="240"/>
        </w:trPr>
        <w:tc>
          <w:tcPr>
            <w:tcW w:w="709" w:type="dxa"/>
            <w:tcBorders>
              <w:top w:val="single" w:sz="2" w:space="0" w:color="auto"/>
              <w:left w:val="single" w:sz="2" w:space="0" w:color="auto"/>
              <w:bottom w:val="single" w:sz="2" w:space="0" w:color="auto"/>
              <w:right w:val="single" w:sz="2" w:space="0" w:color="auto"/>
            </w:tcBorders>
            <w:vAlign w:val="center"/>
          </w:tcPr>
          <w:p w14:paraId="1B93C79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w:t>
            </w:r>
          </w:p>
        </w:tc>
        <w:tc>
          <w:tcPr>
            <w:tcW w:w="2503" w:type="dxa"/>
            <w:tcBorders>
              <w:top w:val="single" w:sz="2" w:space="0" w:color="auto"/>
              <w:left w:val="single" w:sz="2" w:space="0" w:color="auto"/>
              <w:bottom w:val="single" w:sz="2" w:space="0" w:color="auto"/>
              <w:right w:val="single" w:sz="2" w:space="0" w:color="auto"/>
            </w:tcBorders>
            <w:vAlign w:val="center"/>
          </w:tcPr>
          <w:p w14:paraId="0F5CB8A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西北投资管理（香港）有限公司－西北飞龙基金有限公司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7324E5D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境外法人</w:t>
            </w:r>
          </w:p>
        </w:tc>
        <w:tc>
          <w:tcPr>
            <w:tcW w:w="1607" w:type="dxa"/>
            <w:tcBorders>
              <w:top w:val="single" w:sz="2" w:space="0" w:color="auto"/>
              <w:left w:val="single" w:sz="2" w:space="0" w:color="auto"/>
              <w:bottom w:val="single" w:sz="2" w:space="0" w:color="auto"/>
              <w:right w:val="single" w:sz="2" w:space="0" w:color="auto"/>
            </w:tcBorders>
            <w:vAlign w:val="center"/>
          </w:tcPr>
          <w:p w14:paraId="699236A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465,099</w:t>
            </w:r>
          </w:p>
        </w:tc>
        <w:tc>
          <w:tcPr>
            <w:tcW w:w="1607" w:type="dxa"/>
            <w:tcBorders>
              <w:top w:val="single" w:sz="2" w:space="0" w:color="auto"/>
              <w:left w:val="single" w:sz="2" w:space="0" w:color="auto"/>
              <w:bottom w:val="single" w:sz="2" w:space="0" w:color="auto"/>
              <w:right w:val="single" w:sz="2" w:space="0" w:color="auto"/>
            </w:tcBorders>
            <w:vAlign w:val="center"/>
          </w:tcPr>
          <w:p w14:paraId="2947A4D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46,509,900.00</w:t>
            </w:r>
          </w:p>
        </w:tc>
        <w:tc>
          <w:tcPr>
            <w:tcW w:w="1607" w:type="dxa"/>
            <w:tcBorders>
              <w:top w:val="single" w:sz="2" w:space="0" w:color="auto"/>
              <w:left w:val="single" w:sz="2" w:space="0" w:color="auto"/>
              <w:bottom w:val="single" w:sz="2" w:space="0" w:color="auto"/>
              <w:right w:val="single" w:sz="2" w:space="0" w:color="auto"/>
            </w:tcBorders>
            <w:vAlign w:val="center"/>
          </w:tcPr>
          <w:p w14:paraId="3C8CD0A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4.92%</w:t>
            </w:r>
          </w:p>
        </w:tc>
      </w:tr>
      <w:tr w:rsidR="001D26E7" w:rsidRPr="00F614F9" w14:paraId="4735A3C2" w14:textId="77777777" w:rsidTr="0084625D">
        <w:trPr>
          <w:trHeight w:val="240"/>
        </w:trPr>
        <w:tc>
          <w:tcPr>
            <w:tcW w:w="709" w:type="dxa"/>
            <w:tcBorders>
              <w:top w:val="single" w:sz="2" w:space="0" w:color="auto"/>
              <w:left w:val="single" w:sz="2" w:space="0" w:color="auto"/>
              <w:bottom w:val="single" w:sz="2" w:space="0" w:color="auto"/>
              <w:right w:val="single" w:sz="2" w:space="0" w:color="auto"/>
            </w:tcBorders>
            <w:vAlign w:val="center"/>
          </w:tcPr>
          <w:p w14:paraId="752EABF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w:t>
            </w:r>
          </w:p>
        </w:tc>
        <w:tc>
          <w:tcPr>
            <w:tcW w:w="2503" w:type="dxa"/>
            <w:tcBorders>
              <w:top w:val="single" w:sz="2" w:space="0" w:color="auto"/>
              <w:left w:val="single" w:sz="2" w:space="0" w:color="auto"/>
              <w:bottom w:val="single" w:sz="2" w:space="0" w:color="auto"/>
              <w:right w:val="single" w:sz="2" w:space="0" w:color="auto"/>
            </w:tcBorders>
            <w:vAlign w:val="center"/>
          </w:tcPr>
          <w:p w14:paraId="1A87A1C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兴业银行股份有限公司－</w:t>
            </w:r>
            <w:proofErr w:type="gramStart"/>
            <w:r w:rsidRPr="00F614F9">
              <w:rPr>
                <w:rFonts w:ascii="Times New Roman" w:eastAsia="宋体" w:hAnsi="Times New Roman" w:cs="宋体"/>
                <w:sz w:val="18"/>
                <w:szCs w:val="18"/>
              </w:rPr>
              <w:t>天弘多元</w:t>
            </w:r>
            <w:proofErr w:type="gramEnd"/>
            <w:r w:rsidRPr="00F614F9">
              <w:rPr>
                <w:rFonts w:ascii="Times New Roman" w:eastAsia="宋体" w:hAnsi="Times New Roman" w:cs="宋体"/>
                <w:sz w:val="18"/>
                <w:szCs w:val="18"/>
              </w:rPr>
              <w:t>收益债券型证券投资基金</w:t>
            </w:r>
          </w:p>
        </w:tc>
        <w:tc>
          <w:tcPr>
            <w:tcW w:w="1606" w:type="dxa"/>
            <w:tcBorders>
              <w:top w:val="single" w:sz="2" w:space="0" w:color="auto"/>
              <w:left w:val="single" w:sz="2" w:space="0" w:color="auto"/>
              <w:bottom w:val="single" w:sz="2" w:space="0" w:color="auto"/>
              <w:right w:val="single" w:sz="2" w:space="0" w:color="auto"/>
            </w:tcBorders>
            <w:vAlign w:val="center"/>
          </w:tcPr>
          <w:p w14:paraId="6055671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1607" w:type="dxa"/>
            <w:tcBorders>
              <w:top w:val="single" w:sz="2" w:space="0" w:color="auto"/>
              <w:left w:val="single" w:sz="2" w:space="0" w:color="auto"/>
              <w:bottom w:val="single" w:sz="2" w:space="0" w:color="auto"/>
              <w:right w:val="single" w:sz="2" w:space="0" w:color="auto"/>
            </w:tcBorders>
            <w:vAlign w:val="center"/>
          </w:tcPr>
          <w:p w14:paraId="475FDDF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450,001</w:t>
            </w:r>
          </w:p>
        </w:tc>
        <w:tc>
          <w:tcPr>
            <w:tcW w:w="1607" w:type="dxa"/>
            <w:tcBorders>
              <w:top w:val="single" w:sz="2" w:space="0" w:color="auto"/>
              <w:left w:val="single" w:sz="2" w:space="0" w:color="auto"/>
              <w:bottom w:val="single" w:sz="2" w:space="0" w:color="auto"/>
              <w:right w:val="single" w:sz="2" w:space="0" w:color="auto"/>
            </w:tcBorders>
            <w:vAlign w:val="center"/>
          </w:tcPr>
          <w:p w14:paraId="43D3A1C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45,000,100.00</w:t>
            </w:r>
          </w:p>
        </w:tc>
        <w:tc>
          <w:tcPr>
            <w:tcW w:w="1607" w:type="dxa"/>
            <w:tcBorders>
              <w:top w:val="single" w:sz="2" w:space="0" w:color="auto"/>
              <w:left w:val="single" w:sz="2" w:space="0" w:color="auto"/>
              <w:bottom w:val="single" w:sz="2" w:space="0" w:color="auto"/>
              <w:right w:val="single" w:sz="2" w:space="0" w:color="auto"/>
            </w:tcBorders>
            <w:vAlign w:val="center"/>
          </w:tcPr>
          <w:p w14:paraId="28F12C1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4.76%</w:t>
            </w:r>
          </w:p>
        </w:tc>
      </w:tr>
      <w:tr w:rsidR="001D26E7" w:rsidRPr="00F614F9" w14:paraId="6D97A2B0" w14:textId="77777777" w:rsidTr="0084625D">
        <w:trPr>
          <w:trHeight w:val="240"/>
        </w:trPr>
        <w:tc>
          <w:tcPr>
            <w:tcW w:w="709" w:type="dxa"/>
            <w:tcBorders>
              <w:top w:val="single" w:sz="2" w:space="0" w:color="auto"/>
              <w:left w:val="single" w:sz="2" w:space="0" w:color="auto"/>
              <w:bottom w:val="single" w:sz="2" w:space="0" w:color="auto"/>
              <w:right w:val="single" w:sz="2" w:space="0" w:color="auto"/>
            </w:tcBorders>
            <w:vAlign w:val="center"/>
          </w:tcPr>
          <w:p w14:paraId="6FD819C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w:t>
            </w:r>
          </w:p>
        </w:tc>
        <w:tc>
          <w:tcPr>
            <w:tcW w:w="2503" w:type="dxa"/>
            <w:tcBorders>
              <w:top w:val="single" w:sz="2" w:space="0" w:color="auto"/>
              <w:left w:val="single" w:sz="2" w:space="0" w:color="auto"/>
              <w:bottom w:val="single" w:sz="2" w:space="0" w:color="auto"/>
              <w:right w:val="single" w:sz="2" w:space="0" w:color="auto"/>
            </w:tcBorders>
            <w:vAlign w:val="center"/>
          </w:tcPr>
          <w:p w14:paraId="50629C8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中国农业银行股份有限公司－鹏华可转债债券型证券投资基金</w:t>
            </w:r>
          </w:p>
        </w:tc>
        <w:tc>
          <w:tcPr>
            <w:tcW w:w="1606" w:type="dxa"/>
            <w:tcBorders>
              <w:top w:val="single" w:sz="2" w:space="0" w:color="auto"/>
              <w:left w:val="single" w:sz="2" w:space="0" w:color="auto"/>
              <w:bottom w:val="single" w:sz="2" w:space="0" w:color="auto"/>
              <w:right w:val="single" w:sz="2" w:space="0" w:color="auto"/>
            </w:tcBorders>
            <w:vAlign w:val="center"/>
          </w:tcPr>
          <w:p w14:paraId="721B8C6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1607" w:type="dxa"/>
            <w:tcBorders>
              <w:top w:val="single" w:sz="2" w:space="0" w:color="auto"/>
              <w:left w:val="single" w:sz="2" w:space="0" w:color="auto"/>
              <w:bottom w:val="single" w:sz="2" w:space="0" w:color="auto"/>
              <w:right w:val="single" w:sz="2" w:space="0" w:color="auto"/>
            </w:tcBorders>
            <w:vAlign w:val="center"/>
          </w:tcPr>
          <w:p w14:paraId="25E74A4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301,375</w:t>
            </w:r>
          </w:p>
        </w:tc>
        <w:tc>
          <w:tcPr>
            <w:tcW w:w="1607" w:type="dxa"/>
            <w:tcBorders>
              <w:top w:val="single" w:sz="2" w:space="0" w:color="auto"/>
              <w:left w:val="single" w:sz="2" w:space="0" w:color="auto"/>
              <w:bottom w:val="single" w:sz="2" w:space="0" w:color="auto"/>
              <w:right w:val="single" w:sz="2" w:space="0" w:color="auto"/>
            </w:tcBorders>
            <w:vAlign w:val="center"/>
          </w:tcPr>
          <w:p w14:paraId="351A4D0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30,137,500.00</w:t>
            </w:r>
          </w:p>
        </w:tc>
        <w:tc>
          <w:tcPr>
            <w:tcW w:w="1607" w:type="dxa"/>
            <w:tcBorders>
              <w:top w:val="single" w:sz="2" w:space="0" w:color="auto"/>
              <w:left w:val="single" w:sz="2" w:space="0" w:color="auto"/>
              <w:bottom w:val="single" w:sz="2" w:space="0" w:color="auto"/>
              <w:right w:val="single" w:sz="2" w:space="0" w:color="auto"/>
            </w:tcBorders>
            <w:vAlign w:val="center"/>
          </w:tcPr>
          <w:p w14:paraId="4D0901D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3.19%</w:t>
            </w:r>
          </w:p>
        </w:tc>
      </w:tr>
      <w:tr w:rsidR="001D26E7" w:rsidRPr="00F614F9" w14:paraId="5A63703F" w14:textId="77777777" w:rsidTr="0084625D">
        <w:trPr>
          <w:trHeight w:val="240"/>
        </w:trPr>
        <w:tc>
          <w:tcPr>
            <w:tcW w:w="709" w:type="dxa"/>
            <w:tcBorders>
              <w:top w:val="single" w:sz="2" w:space="0" w:color="auto"/>
              <w:left w:val="single" w:sz="2" w:space="0" w:color="auto"/>
              <w:bottom w:val="single" w:sz="2" w:space="0" w:color="auto"/>
              <w:right w:val="single" w:sz="2" w:space="0" w:color="auto"/>
            </w:tcBorders>
            <w:vAlign w:val="center"/>
          </w:tcPr>
          <w:p w14:paraId="6D492C2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w:t>
            </w:r>
          </w:p>
        </w:tc>
        <w:tc>
          <w:tcPr>
            <w:tcW w:w="2503" w:type="dxa"/>
            <w:tcBorders>
              <w:top w:val="single" w:sz="2" w:space="0" w:color="auto"/>
              <w:left w:val="single" w:sz="2" w:space="0" w:color="auto"/>
              <w:bottom w:val="single" w:sz="2" w:space="0" w:color="auto"/>
              <w:right w:val="single" w:sz="2" w:space="0" w:color="auto"/>
            </w:tcBorders>
            <w:vAlign w:val="center"/>
          </w:tcPr>
          <w:p w14:paraId="2B2EC0E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中金宏泰可转</w:t>
            </w:r>
            <w:proofErr w:type="gramStart"/>
            <w:r w:rsidRPr="00F614F9">
              <w:rPr>
                <w:rFonts w:ascii="Times New Roman" w:eastAsia="宋体" w:hAnsi="Times New Roman" w:cs="宋体"/>
                <w:sz w:val="18"/>
                <w:szCs w:val="18"/>
              </w:rPr>
              <w:t>债固定</w:t>
            </w:r>
            <w:proofErr w:type="gramEnd"/>
            <w:r w:rsidRPr="00F614F9">
              <w:rPr>
                <w:rFonts w:ascii="Times New Roman" w:eastAsia="宋体" w:hAnsi="Times New Roman" w:cs="宋体"/>
                <w:sz w:val="18"/>
                <w:szCs w:val="18"/>
              </w:rPr>
              <w:t>收益型养老金产品－中国工商银行股份有限公司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3BAC6DA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1607" w:type="dxa"/>
            <w:tcBorders>
              <w:top w:val="single" w:sz="2" w:space="0" w:color="auto"/>
              <w:left w:val="single" w:sz="2" w:space="0" w:color="auto"/>
              <w:bottom w:val="single" w:sz="2" w:space="0" w:color="auto"/>
              <w:right w:val="single" w:sz="2" w:space="0" w:color="auto"/>
            </w:tcBorders>
            <w:vAlign w:val="center"/>
          </w:tcPr>
          <w:p w14:paraId="60F7C84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299,750</w:t>
            </w:r>
          </w:p>
        </w:tc>
        <w:tc>
          <w:tcPr>
            <w:tcW w:w="1607" w:type="dxa"/>
            <w:tcBorders>
              <w:top w:val="single" w:sz="2" w:space="0" w:color="auto"/>
              <w:left w:val="single" w:sz="2" w:space="0" w:color="auto"/>
              <w:bottom w:val="single" w:sz="2" w:space="0" w:color="auto"/>
              <w:right w:val="single" w:sz="2" w:space="0" w:color="auto"/>
            </w:tcBorders>
            <w:vAlign w:val="center"/>
          </w:tcPr>
          <w:p w14:paraId="1CCA59F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29,975,000.00</w:t>
            </w:r>
          </w:p>
        </w:tc>
        <w:tc>
          <w:tcPr>
            <w:tcW w:w="1607" w:type="dxa"/>
            <w:tcBorders>
              <w:top w:val="single" w:sz="2" w:space="0" w:color="auto"/>
              <w:left w:val="single" w:sz="2" w:space="0" w:color="auto"/>
              <w:bottom w:val="single" w:sz="2" w:space="0" w:color="auto"/>
              <w:right w:val="single" w:sz="2" w:space="0" w:color="auto"/>
            </w:tcBorders>
            <w:vAlign w:val="center"/>
          </w:tcPr>
          <w:p w14:paraId="19EAA90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3.17%</w:t>
            </w:r>
          </w:p>
        </w:tc>
      </w:tr>
      <w:tr w:rsidR="001D26E7" w:rsidRPr="00F614F9" w14:paraId="0D78F09D" w14:textId="77777777" w:rsidTr="0084625D">
        <w:trPr>
          <w:trHeight w:val="240"/>
        </w:trPr>
        <w:tc>
          <w:tcPr>
            <w:tcW w:w="709" w:type="dxa"/>
            <w:tcBorders>
              <w:top w:val="single" w:sz="2" w:space="0" w:color="auto"/>
              <w:left w:val="single" w:sz="2" w:space="0" w:color="auto"/>
              <w:bottom w:val="single" w:sz="2" w:space="0" w:color="auto"/>
              <w:right w:val="single" w:sz="2" w:space="0" w:color="auto"/>
            </w:tcBorders>
            <w:vAlign w:val="center"/>
          </w:tcPr>
          <w:p w14:paraId="33D600A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6</w:t>
            </w:r>
          </w:p>
        </w:tc>
        <w:tc>
          <w:tcPr>
            <w:tcW w:w="2503" w:type="dxa"/>
            <w:tcBorders>
              <w:top w:val="single" w:sz="2" w:space="0" w:color="auto"/>
              <w:left w:val="single" w:sz="2" w:space="0" w:color="auto"/>
              <w:bottom w:val="single" w:sz="2" w:space="0" w:color="auto"/>
              <w:right w:val="single" w:sz="2" w:space="0" w:color="auto"/>
            </w:tcBorders>
            <w:vAlign w:val="center"/>
          </w:tcPr>
          <w:p w14:paraId="33E3990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UBS AG</w:t>
            </w:r>
          </w:p>
        </w:tc>
        <w:tc>
          <w:tcPr>
            <w:tcW w:w="1606" w:type="dxa"/>
            <w:tcBorders>
              <w:top w:val="single" w:sz="2" w:space="0" w:color="auto"/>
              <w:left w:val="single" w:sz="2" w:space="0" w:color="auto"/>
              <w:bottom w:val="single" w:sz="2" w:space="0" w:color="auto"/>
              <w:right w:val="single" w:sz="2" w:space="0" w:color="auto"/>
            </w:tcBorders>
            <w:vAlign w:val="center"/>
          </w:tcPr>
          <w:p w14:paraId="3D72684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境外法人</w:t>
            </w:r>
          </w:p>
        </w:tc>
        <w:tc>
          <w:tcPr>
            <w:tcW w:w="1607" w:type="dxa"/>
            <w:tcBorders>
              <w:top w:val="single" w:sz="2" w:space="0" w:color="auto"/>
              <w:left w:val="single" w:sz="2" w:space="0" w:color="auto"/>
              <w:bottom w:val="single" w:sz="2" w:space="0" w:color="auto"/>
              <w:right w:val="single" w:sz="2" w:space="0" w:color="auto"/>
            </w:tcBorders>
            <w:vAlign w:val="center"/>
          </w:tcPr>
          <w:p w14:paraId="6917314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291,970</w:t>
            </w:r>
          </w:p>
        </w:tc>
        <w:tc>
          <w:tcPr>
            <w:tcW w:w="1607" w:type="dxa"/>
            <w:tcBorders>
              <w:top w:val="single" w:sz="2" w:space="0" w:color="auto"/>
              <w:left w:val="single" w:sz="2" w:space="0" w:color="auto"/>
              <w:bottom w:val="single" w:sz="2" w:space="0" w:color="auto"/>
              <w:right w:val="single" w:sz="2" w:space="0" w:color="auto"/>
            </w:tcBorders>
            <w:vAlign w:val="center"/>
          </w:tcPr>
          <w:p w14:paraId="39C94C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29,197,000.00</w:t>
            </w:r>
          </w:p>
        </w:tc>
        <w:tc>
          <w:tcPr>
            <w:tcW w:w="1607" w:type="dxa"/>
            <w:tcBorders>
              <w:top w:val="single" w:sz="2" w:space="0" w:color="auto"/>
              <w:left w:val="single" w:sz="2" w:space="0" w:color="auto"/>
              <w:bottom w:val="single" w:sz="2" w:space="0" w:color="auto"/>
              <w:right w:val="single" w:sz="2" w:space="0" w:color="auto"/>
            </w:tcBorders>
            <w:vAlign w:val="center"/>
          </w:tcPr>
          <w:p w14:paraId="7A9050C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3.09%</w:t>
            </w:r>
          </w:p>
        </w:tc>
      </w:tr>
      <w:tr w:rsidR="001D26E7" w:rsidRPr="00F614F9" w14:paraId="1B2ABD5A" w14:textId="77777777" w:rsidTr="0084625D">
        <w:trPr>
          <w:trHeight w:val="240"/>
        </w:trPr>
        <w:tc>
          <w:tcPr>
            <w:tcW w:w="709" w:type="dxa"/>
            <w:tcBorders>
              <w:top w:val="single" w:sz="2" w:space="0" w:color="auto"/>
              <w:left w:val="single" w:sz="2" w:space="0" w:color="auto"/>
              <w:bottom w:val="single" w:sz="2" w:space="0" w:color="auto"/>
              <w:right w:val="single" w:sz="2" w:space="0" w:color="auto"/>
            </w:tcBorders>
            <w:vAlign w:val="center"/>
          </w:tcPr>
          <w:p w14:paraId="73B3819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7</w:t>
            </w:r>
          </w:p>
        </w:tc>
        <w:tc>
          <w:tcPr>
            <w:tcW w:w="2503" w:type="dxa"/>
            <w:tcBorders>
              <w:top w:val="single" w:sz="2" w:space="0" w:color="auto"/>
              <w:left w:val="single" w:sz="2" w:space="0" w:color="auto"/>
              <w:bottom w:val="single" w:sz="2" w:space="0" w:color="auto"/>
              <w:right w:val="single" w:sz="2" w:space="0" w:color="auto"/>
            </w:tcBorders>
            <w:vAlign w:val="center"/>
          </w:tcPr>
          <w:p w14:paraId="487F4D6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中国工商银行－富国天利增长债券投资基金</w:t>
            </w:r>
          </w:p>
        </w:tc>
        <w:tc>
          <w:tcPr>
            <w:tcW w:w="1606" w:type="dxa"/>
            <w:tcBorders>
              <w:top w:val="single" w:sz="2" w:space="0" w:color="auto"/>
              <w:left w:val="single" w:sz="2" w:space="0" w:color="auto"/>
              <w:bottom w:val="single" w:sz="2" w:space="0" w:color="auto"/>
              <w:right w:val="single" w:sz="2" w:space="0" w:color="auto"/>
            </w:tcBorders>
            <w:vAlign w:val="center"/>
          </w:tcPr>
          <w:p w14:paraId="56CA4B3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1607" w:type="dxa"/>
            <w:tcBorders>
              <w:top w:val="single" w:sz="2" w:space="0" w:color="auto"/>
              <w:left w:val="single" w:sz="2" w:space="0" w:color="auto"/>
              <w:bottom w:val="single" w:sz="2" w:space="0" w:color="auto"/>
              <w:right w:val="single" w:sz="2" w:space="0" w:color="auto"/>
            </w:tcBorders>
            <w:vAlign w:val="center"/>
          </w:tcPr>
          <w:p w14:paraId="29B3E65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262,968</w:t>
            </w:r>
          </w:p>
        </w:tc>
        <w:tc>
          <w:tcPr>
            <w:tcW w:w="1607" w:type="dxa"/>
            <w:tcBorders>
              <w:top w:val="single" w:sz="2" w:space="0" w:color="auto"/>
              <w:left w:val="single" w:sz="2" w:space="0" w:color="auto"/>
              <w:bottom w:val="single" w:sz="2" w:space="0" w:color="auto"/>
              <w:right w:val="single" w:sz="2" w:space="0" w:color="auto"/>
            </w:tcBorders>
            <w:vAlign w:val="center"/>
          </w:tcPr>
          <w:p w14:paraId="7598EA1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26,296,800.00</w:t>
            </w:r>
          </w:p>
        </w:tc>
        <w:tc>
          <w:tcPr>
            <w:tcW w:w="1607" w:type="dxa"/>
            <w:tcBorders>
              <w:top w:val="single" w:sz="2" w:space="0" w:color="auto"/>
              <w:left w:val="single" w:sz="2" w:space="0" w:color="auto"/>
              <w:bottom w:val="single" w:sz="2" w:space="0" w:color="auto"/>
              <w:right w:val="single" w:sz="2" w:space="0" w:color="auto"/>
            </w:tcBorders>
            <w:vAlign w:val="center"/>
          </w:tcPr>
          <w:p w14:paraId="0658E3E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2.78%</w:t>
            </w:r>
          </w:p>
        </w:tc>
      </w:tr>
      <w:tr w:rsidR="001D26E7" w:rsidRPr="00F614F9" w14:paraId="78A35EBF" w14:textId="77777777" w:rsidTr="0084625D">
        <w:trPr>
          <w:trHeight w:val="240"/>
        </w:trPr>
        <w:tc>
          <w:tcPr>
            <w:tcW w:w="709" w:type="dxa"/>
            <w:tcBorders>
              <w:top w:val="single" w:sz="2" w:space="0" w:color="auto"/>
              <w:left w:val="single" w:sz="2" w:space="0" w:color="auto"/>
              <w:bottom w:val="single" w:sz="2" w:space="0" w:color="auto"/>
              <w:right w:val="single" w:sz="2" w:space="0" w:color="auto"/>
            </w:tcBorders>
            <w:vAlign w:val="center"/>
          </w:tcPr>
          <w:p w14:paraId="51AEE94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8</w:t>
            </w:r>
          </w:p>
        </w:tc>
        <w:tc>
          <w:tcPr>
            <w:tcW w:w="2503" w:type="dxa"/>
            <w:tcBorders>
              <w:top w:val="single" w:sz="2" w:space="0" w:color="auto"/>
              <w:left w:val="single" w:sz="2" w:space="0" w:color="auto"/>
              <w:bottom w:val="single" w:sz="2" w:space="0" w:color="auto"/>
              <w:right w:val="single" w:sz="2" w:space="0" w:color="auto"/>
            </w:tcBorders>
            <w:vAlign w:val="center"/>
          </w:tcPr>
          <w:p w14:paraId="3E3842D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交通银行股份有限公司－天弘</w:t>
            </w:r>
            <w:proofErr w:type="gramStart"/>
            <w:r w:rsidRPr="00F614F9">
              <w:rPr>
                <w:rFonts w:ascii="Times New Roman" w:eastAsia="宋体" w:hAnsi="Times New Roman" w:cs="宋体"/>
                <w:sz w:val="18"/>
                <w:szCs w:val="18"/>
              </w:rPr>
              <w:t>弘丰增强</w:t>
            </w:r>
            <w:proofErr w:type="gramEnd"/>
            <w:r w:rsidRPr="00F614F9">
              <w:rPr>
                <w:rFonts w:ascii="Times New Roman" w:eastAsia="宋体" w:hAnsi="Times New Roman" w:cs="宋体"/>
                <w:sz w:val="18"/>
                <w:szCs w:val="18"/>
              </w:rPr>
              <w:t>回报债券型证券投资基金</w:t>
            </w:r>
          </w:p>
        </w:tc>
        <w:tc>
          <w:tcPr>
            <w:tcW w:w="1606" w:type="dxa"/>
            <w:tcBorders>
              <w:top w:val="single" w:sz="2" w:space="0" w:color="auto"/>
              <w:left w:val="single" w:sz="2" w:space="0" w:color="auto"/>
              <w:bottom w:val="single" w:sz="2" w:space="0" w:color="auto"/>
              <w:right w:val="single" w:sz="2" w:space="0" w:color="auto"/>
            </w:tcBorders>
            <w:vAlign w:val="center"/>
          </w:tcPr>
          <w:p w14:paraId="0F697AE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1607" w:type="dxa"/>
            <w:tcBorders>
              <w:top w:val="single" w:sz="2" w:space="0" w:color="auto"/>
              <w:left w:val="single" w:sz="2" w:space="0" w:color="auto"/>
              <w:bottom w:val="single" w:sz="2" w:space="0" w:color="auto"/>
              <w:right w:val="single" w:sz="2" w:space="0" w:color="auto"/>
            </w:tcBorders>
            <w:vAlign w:val="center"/>
          </w:tcPr>
          <w:p w14:paraId="5C9D350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234,076</w:t>
            </w:r>
          </w:p>
        </w:tc>
        <w:tc>
          <w:tcPr>
            <w:tcW w:w="1607" w:type="dxa"/>
            <w:tcBorders>
              <w:top w:val="single" w:sz="2" w:space="0" w:color="auto"/>
              <w:left w:val="single" w:sz="2" w:space="0" w:color="auto"/>
              <w:bottom w:val="single" w:sz="2" w:space="0" w:color="auto"/>
              <w:right w:val="single" w:sz="2" w:space="0" w:color="auto"/>
            </w:tcBorders>
            <w:vAlign w:val="center"/>
          </w:tcPr>
          <w:p w14:paraId="16092FF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23,407,600.00</w:t>
            </w:r>
          </w:p>
        </w:tc>
        <w:tc>
          <w:tcPr>
            <w:tcW w:w="1607" w:type="dxa"/>
            <w:tcBorders>
              <w:top w:val="single" w:sz="2" w:space="0" w:color="auto"/>
              <w:left w:val="single" w:sz="2" w:space="0" w:color="auto"/>
              <w:bottom w:val="single" w:sz="2" w:space="0" w:color="auto"/>
              <w:right w:val="single" w:sz="2" w:space="0" w:color="auto"/>
            </w:tcBorders>
            <w:vAlign w:val="center"/>
          </w:tcPr>
          <w:p w14:paraId="7981839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2.47%</w:t>
            </w:r>
          </w:p>
        </w:tc>
      </w:tr>
      <w:tr w:rsidR="001D26E7" w:rsidRPr="00F614F9" w14:paraId="36FE914C" w14:textId="77777777" w:rsidTr="0084625D">
        <w:trPr>
          <w:trHeight w:val="240"/>
        </w:trPr>
        <w:tc>
          <w:tcPr>
            <w:tcW w:w="709" w:type="dxa"/>
            <w:tcBorders>
              <w:top w:val="single" w:sz="2" w:space="0" w:color="auto"/>
              <w:left w:val="single" w:sz="2" w:space="0" w:color="auto"/>
              <w:bottom w:val="single" w:sz="2" w:space="0" w:color="auto"/>
              <w:right w:val="single" w:sz="2" w:space="0" w:color="auto"/>
            </w:tcBorders>
            <w:vAlign w:val="center"/>
          </w:tcPr>
          <w:p w14:paraId="2E76CC7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9</w:t>
            </w:r>
          </w:p>
        </w:tc>
        <w:tc>
          <w:tcPr>
            <w:tcW w:w="2503" w:type="dxa"/>
            <w:tcBorders>
              <w:top w:val="single" w:sz="2" w:space="0" w:color="auto"/>
              <w:left w:val="single" w:sz="2" w:space="0" w:color="auto"/>
              <w:bottom w:val="single" w:sz="2" w:space="0" w:color="auto"/>
              <w:right w:val="single" w:sz="2" w:space="0" w:color="auto"/>
            </w:tcBorders>
            <w:vAlign w:val="center"/>
          </w:tcPr>
          <w:p w14:paraId="1E8F77B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中信银行股份有限公司－</w:t>
            </w:r>
            <w:proofErr w:type="gramStart"/>
            <w:r w:rsidRPr="00F614F9">
              <w:rPr>
                <w:rFonts w:ascii="Times New Roman" w:eastAsia="宋体" w:hAnsi="Times New Roman" w:cs="宋体"/>
                <w:sz w:val="18"/>
                <w:szCs w:val="18"/>
              </w:rPr>
              <w:t>信澳信用</w:t>
            </w:r>
            <w:proofErr w:type="gramEnd"/>
            <w:r w:rsidRPr="00F614F9">
              <w:rPr>
                <w:rFonts w:ascii="Times New Roman" w:eastAsia="宋体" w:hAnsi="Times New Roman" w:cs="宋体"/>
                <w:sz w:val="18"/>
                <w:szCs w:val="18"/>
              </w:rPr>
              <w:t>债债券型证券投资基金</w:t>
            </w:r>
          </w:p>
        </w:tc>
        <w:tc>
          <w:tcPr>
            <w:tcW w:w="1606" w:type="dxa"/>
            <w:tcBorders>
              <w:top w:val="single" w:sz="2" w:space="0" w:color="auto"/>
              <w:left w:val="single" w:sz="2" w:space="0" w:color="auto"/>
              <w:bottom w:val="single" w:sz="2" w:space="0" w:color="auto"/>
              <w:right w:val="single" w:sz="2" w:space="0" w:color="auto"/>
            </w:tcBorders>
            <w:vAlign w:val="center"/>
          </w:tcPr>
          <w:p w14:paraId="00F0194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1607" w:type="dxa"/>
            <w:tcBorders>
              <w:top w:val="single" w:sz="2" w:space="0" w:color="auto"/>
              <w:left w:val="single" w:sz="2" w:space="0" w:color="auto"/>
              <w:bottom w:val="single" w:sz="2" w:space="0" w:color="auto"/>
              <w:right w:val="single" w:sz="2" w:space="0" w:color="auto"/>
            </w:tcBorders>
            <w:vAlign w:val="center"/>
          </w:tcPr>
          <w:p w14:paraId="16054C1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199,000</w:t>
            </w:r>
          </w:p>
        </w:tc>
        <w:tc>
          <w:tcPr>
            <w:tcW w:w="1607" w:type="dxa"/>
            <w:tcBorders>
              <w:top w:val="single" w:sz="2" w:space="0" w:color="auto"/>
              <w:left w:val="single" w:sz="2" w:space="0" w:color="auto"/>
              <w:bottom w:val="single" w:sz="2" w:space="0" w:color="auto"/>
              <w:right w:val="single" w:sz="2" w:space="0" w:color="auto"/>
            </w:tcBorders>
            <w:vAlign w:val="center"/>
          </w:tcPr>
          <w:p w14:paraId="6445162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19,900,000.00</w:t>
            </w:r>
          </w:p>
        </w:tc>
        <w:tc>
          <w:tcPr>
            <w:tcW w:w="1607" w:type="dxa"/>
            <w:tcBorders>
              <w:top w:val="single" w:sz="2" w:space="0" w:color="auto"/>
              <w:left w:val="single" w:sz="2" w:space="0" w:color="auto"/>
              <w:bottom w:val="single" w:sz="2" w:space="0" w:color="auto"/>
              <w:right w:val="single" w:sz="2" w:space="0" w:color="auto"/>
            </w:tcBorders>
            <w:vAlign w:val="center"/>
          </w:tcPr>
          <w:p w14:paraId="496EB4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2.10%</w:t>
            </w:r>
          </w:p>
        </w:tc>
      </w:tr>
      <w:tr w:rsidR="001D26E7" w:rsidRPr="00F614F9" w14:paraId="2DD3A4F2" w14:textId="77777777" w:rsidTr="0084625D">
        <w:trPr>
          <w:trHeight w:val="240"/>
        </w:trPr>
        <w:tc>
          <w:tcPr>
            <w:tcW w:w="709" w:type="dxa"/>
            <w:tcBorders>
              <w:top w:val="single" w:sz="2" w:space="0" w:color="auto"/>
              <w:left w:val="single" w:sz="2" w:space="0" w:color="auto"/>
              <w:bottom w:val="single" w:sz="2" w:space="0" w:color="auto"/>
              <w:right w:val="single" w:sz="2" w:space="0" w:color="auto"/>
            </w:tcBorders>
            <w:vAlign w:val="center"/>
          </w:tcPr>
          <w:p w14:paraId="5F18CF0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10</w:t>
            </w:r>
          </w:p>
        </w:tc>
        <w:tc>
          <w:tcPr>
            <w:tcW w:w="2503" w:type="dxa"/>
            <w:tcBorders>
              <w:top w:val="single" w:sz="2" w:space="0" w:color="auto"/>
              <w:left w:val="single" w:sz="2" w:space="0" w:color="auto"/>
              <w:bottom w:val="single" w:sz="2" w:space="0" w:color="auto"/>
              <w:right w:val="single" w:sz="2" w:space="0" w:color="auto"/>
            </w:tcBorders>
            <w:vAlign w:val="center"/>
          </w:tcPr>
          <w:p w14:paraId="55CAFEC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中国民生银行股份有限公司－光大保德信信用添益债券型证券投资基金</w:t>
            </w:r>
          </w:p>
        </w:tc>
        <w:tc>
          <w:tcPr>
            <w:tcW w:w="1606" w:type="dxa"/>
            <w:tcBorders>
              <w:top w:val="single" w:sz="2" w:space="0" w:color="auto"/>
              <w:left w:val="single" w:sz="2" w:space="0" w:color="auto"/>
              <w:bottom w:val="single" w:sz="2" w:space="0" w:color="auto"/>
              <w:right w:val="single" w:sz="2" w:space="0" w:color="auto"/>
            </w:tcBorders>
            <w:vAlign w:val="center"/>
          </w:tcPr>
          <w:p w14:paraId="679D242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1607" w:type="dxa"/>
            <w:tcBorders>
              <w:top w:val="single" w:sz="2" w:space="0" w:color="auto"/>
              <w:left w:val="single" w:sz="2" w:space="0" w:color="auto"/>
              <w:bottom w:val="single" w:sz="2" w:space="0" w:color="auto"/>
              <w:right w:val="single" w:sz="2" w:space="0" w:color="auto"/>
            </w:tcBorders>
            <w:vAlign w:val="center"/>
          </w:tcPr>
          <w:p w14:paraId="1281FDA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163,777</w:t>
            </w:r>
          </w:p>
        </w:tc>
        <w:tc>
          <w:tcPr>
            <w:tcW w:w="1607" w:type="dxa"/>
            <w:tcBorders>
              <w:top w:val="single" w:sz="2" w:space="0" w:color="auto"/>
              <w:left w:val="single" w:sz="2" w:space="0" w:color="auto"/>
              <w:bottom w:val="single" w:sz="2" w:space="0" w:color="auto"/>
              <w:right w:val="single" w:sz="2" w:space="0" w:color="auto"/>
            </w:tcBorders>
            <w:vAlign w:val="center"/>
          </w:tcPr>
          <w:p w14:paraId="1FEC128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16,377,700.00</w:t>
            </w:r>
          </w:p>
        </w:tc>
        <w:tc>
          <w:tcPr>
            <w:tcW w:w="1607" w:type="dxa"/>
            <w:tcBorders>
              <w:top w:val="single" w:sz="2" w:space="0" w:color="auto"/>
              <w:left w:val="single" w:sz="2" w:space="0" w:color="auto"/>
              <w:bottom w:val="single" w:sz="2" w:space="0" w:color="auto"/>
              <w:right w:val="single" w:sz="2" w:space="0" w:color="auto"/>
            </w:tcBorders>
            <w:vAlign w:val="center"/>
          </w:tcPr>
          <w:p w14:paraId="3E8FCD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1.73%</w:t>
            </w:r>
          </w:p>
        </w:tc>
      </w:tr>
    </w:tbl>
    <w:p w14:paraId="2B6BABFC" w14:textId="77777777" w:rsidR="001D26E7" w:rsidRPr="00F614F9" w:rsidRDefault="00000000">
      <w:pPr>
        <w:pStyle w:val="3"/>
        <w:spacing w:line="280" w:lineRule="exact"/>
        <w:jc w:val="left"/>
        <w:rPr>
          <w:rFonts w:ascii="Times New Roman" w:hAnsi="Times New Roman" w:cs="宋体"/>
          <w:b/>
          <w:bCs/>
        </w:rPr>
      </w:pPr>
      <w:bookmarkStart w:id="221" w:name="_Toc989045"/>
      <w:r w:rsidRPr="00F614F9">
        <w:rPr>
          <w:rFonts w:ascii="Times New Roman" w:hAnsi="Times New Roman" w:cs="宋体"/>
          <w:b/>
          <w:bCs/>
        </w:rPr>
        <w:t>4</w:t>
      </w:r>
      <w:r w:rsidRPr="00F614F9">
        <w:rPr>
          <w:rFonts w:ascii="Times New Roman" w:hAnsi="Times New Roman" w:cs="宋体"/>
          <w:b/>
          <w:bCs/>
        </w:rPr>
        <w:t>、担保人盈利能力、资产状况和信用状况发生重大变化的情况</w:t>
      </w:r>
      <w:bookmarkEnd w:id="221"/>
    </w:p>
    <w:p w14:paraId="5CB1B4BE"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286FC0D4" w14:textId="77777777" w:rsidR="001D26E7" w:rsidRPr="00F614F9" w:rsidRDefault="00000000">
      <w:pPr>
        <w:pStyle w:val="3"/>
        <w:spacing w:line="280" w:lineRule="exact"/>
        <w:jc w:val="left"/>
        <w:rPr>
          <w:rFonts w:ascii="Times New Roman" w:hAnsi="Times New Roman" w:cs="宋体"/>
          <w:b/>
          <w:bCs/>
        </w:rPr>
      </w:pPr>
      <w:bookmarkStart w:id="222" w:name="_Toc989046"/>
      <w:r w:rsidRPr="00F614F9">
        <w:rPr>
          <w:rFonts w:ascii="Times New Roman" w:hAnsi="Times New Roman" w:cs="宋体"/>
          <w:b/>
          <w:bCs/>
        </w:rPr>
        <w:t>5</w:t>
      </w:r>
      <w:r w:rsidRPr="00F614F9">
        <w:rPr>
          <w:rFonts w:ascii="Times New Roman" w:hAnsi="Times New Roman" w:cs="宋体"/>
          <w:b/>
          <w:bCs/>
        </w:rPr>
        <w:t>、报告期末公司的负债情况、资信变化情况以及在未来年度还债的现金安排</w:t>
      </w:r>
      <w:bookmarkEnd w:id="222"/>
    </w:p>
    <w:p w14:paraId="62455CC1" w14:textId="77777777" w:rsidR="00872599" w:rsidRPr="00F614F9" w:rsidRDefault="00000000">
      <w:pPr>
        <w:pStyle w:val="a3"/>
        <w:divId w:val="1320691046"/>
        <w:rPr>
          <w:rFonts w:ascii="Times New Roman" w:hAnsi="Times New Roman"/>
          <w:sz w:val="18"/>
          <w:szCs w:val="18"/>
        </w:rPr>
      </w:pPr>
      <w:r w:rsidRPr="00F614F9">
        <w:rPr>
          <w:rFonts w:ascii="Times New Roman" w:hAnsi="Times New Roman" w:hint="eastAsia"/>
          <w:sz w:val="18"/>
          <w:szCs w:val="18"/>
        </w:rPr>
        <w:t xml:space="preserve">  </w:t>
      </w:r>
      <w:r w:rsidRPr="00F614F9">
        <w:rPr>
          <w:rFonts w:ascii="Times New Roman" w:hAnsi="Times New Roman" w:hint="eastAsia"/>
          <w:sz w:val="18"/>
          <w:szCs w:val="18"/>
        </w:rPr>
        <w:t>（</w:t>
      </w:r>
      <w:r w:rsidRPr="00F614F9">
        <w:rPr>
          <w:rFonts w:ascii="Times New Roman" w:hAnsi="Times New Roman" w:hint="eastAsia"/>
          <w:sz w:val="18"/>
          <w:szCs w:val="18"/>
        </w:rPr>
        <w:t>1</w:t>
      </w:r>
      <w:r w:rsidRPr="00F614F9">
        <w:rPr>
          <w:rFonts w:ascii="Times New Roman" w:hAnsi="Times New Roman" w:hint="eastAsia"/>
          <w:sz w:val="18"/>
          <w:szCs w:val="18"/>
        </w:rPr>
        <w:t>）报告期末公司的会计指标详见本节“八、截至报告期末公司近两年的主要会计数据和财务指标”；</w:t>
      </w:r>
    </w:p>
    <w:p w14:paraId="1A044CDB" w14:textId="77777777" w:rsidR="00872599" w:rsidRPr="00F614F9" w:rsidRDefault="00000000">
      <w:pPr>
        <w:pStyle w:val="a3"/>
        <w:divId w:val="1320691046"/>
        <w:rPr>
          <w:rFonts w:ascii="Times New Roman" w:hAnsi="Times New Roman"/>
          <w:sz w:val="18"/>
          <w:szCs w:val="18"/>
        </w:rPr>
      </w:pPr>
      <w:r w:rsidRPr="00F614F9">
        <w:rPr>
          <w:rFonts w:ascii="Times New Roman" w:hAnsi="Times New Roman" w:hint="eastAsia"/>
          <w:sz w:val="18"/>
          <w:szCs w:val="18"/>
        </w:rPr>
        <w:lastRenderedPageBreak/>
        <w:t xml:space="preserve">  </w:t>
      </w:r>
      <w:r w:rsidRPr="00F614F9">
        <w:rPr>
          <w:rFonts w:ascii="Times New Roman" w:hAnsi="Times New Roman" w:hint="eastAsia"/>
          <w:sz w:val="18"/>
          <w:szCs w:val="18"/>
        </w:rPr>
        <w:t>（</w:t>
      </w:r>
      <w:r w:rsidRPr="00F614F9">
        <w:rPr>
          <w:rFonts w:ascii="Times New Roman" w:hAnsi="Times New Roman" w:hint="eastAsia"/>
          <w:sz w:val="18"/>
          <w:szCs w:val="18"/>
        </w:rPr>
        <w:t>2</w:t>
      </w:r>
      <w:r w:rsidRPr="00F614F9">
        <w:rPr>
          <w:rFonts w:ascii="Times New Roman" w:hAnsi="Times New Roman" w:hint="eastAsia"/>
          <w:sz w:val="18"/>
          <w:szCs w:val="18"/>
        </w:rPr>
        <w:t>）联</w:t>
      </w:r>
      <w:proofErr w:type="gramStart"/>
      <w:r w:rsidRPr="00F614F9">
        <w:rPr>
          <w:rFonts w:ascii="Times New Roman" w:hAnsi="Times New Roman" w:hint="eastAsia"/>
          <w:sz w:val="18"/>
          <w:szCs w:val="18"/>
        </w:rPr>
        <w:t>合资信</w:t>
      </w:r>
      <w:proofErr w:type="gramEnd"/>
      <w:r w:rsidRPr="00F614F9">
        <w:rPr>
          <w:rFonts w:ascii="Times New Roman" w:hAnsi="Times New Roman" w:hint="eastAsia"/>
          <w:sz w:val="18"/>
          <w:szCs w:val="18"/>
        </w:rPr>
        <w:t>评估股份有限公司于</w:t>
      </w:r>
      <w:r w:rsidRPr="00F614F9">
        <w:rPr>
          <w:rFonts w:ascii="Times New Roman" w:hAnsi="Times New Roman" w:hint="eastAsia"/>
          <w:sz w:val="18"/>
          <w:szCs w:val="18"/>
        </w:rPr>
        <w:t>2023</w:t>
      </w:r>
      <w:r w:rsidRPr="00F614F9">
        <w:rPr>
          <w:rFonts w:ascii="Times New Roman" w:hAnsi="Times New Roman" w:hint="eastAsia"/>
          <w:sz w:val="18"/>
          <w:szCs w:val="18"/>
        </w:rPr>
        <w:t>年</w:t>
      </w:r>
      <w:r w:rsidRPr="00F614F9">
        <w:rPr>
          <w:rFonts w:ascii="Times New Roman" w:hAnsi="Times New Roman" w:hint="eastAsia"/>
          <w:sz w:val="18"/>
          <w:szCs w:val="18"/>
        </w:rPr>
        <w:t>6</w:t>
      </w:r>
      <w:r w:rsidRPr="00F614F9">
        <w:rPr>
          <w:rFonts w:ascii="Times New Roman" w:hAnsi="Times New Roman" w:hint="eastAsia"/>
          <w:sz w:val="18"/>
          <w:szCs w:val="18"/>
        </w:rPr>
        <w:t>月</w:t>
      </w:r>
      <w:r w:rsidRPr="00F614F9">
        <w:rPr>
          <w:rFonts w:ascii="Times New Roman" w:hAnsi="Times New Roman" w:hint="eastAsia"/>
          <w:sz w:val="18"/>
          <w:szCs w:val="18"/>
        </w:rPr>
        <w:t>21</w:t>
      </w:r>
      <w:r w:rsidRPr="00F614F9">
        <w:rPr>
          <w:rFonts w:ascii="Times New Roman" w:hAnsi="Times New Roman" w:hint="eastAsia"/>
          <w:sz w:val="18"/>
          <w:szCs w:val="18"/>
        </w:rPr>
        <w:t>日出具了《山东龙大美食股份有限公司公开发行可转换公司债券</w:t>
      </w:r>
      <w:r w:rsidRPr="00F614F9">
        <w:rPr>
          <w:rFonts w:ascii="Times New Roman" w:hAnsi="Times New Roman" w:hint="eastAsia"/>
          <w:sz w:val="18"/>
          <w:szCs w:val="18"/>
        </w:rPr>
        <w:t>2023</w:t>
      </w:r>
      <w:r w:rsidRPr="00F614F9">
        <w:rPr>
          <w:rFonts w:ascii="Times New Roman" w:hAnsi="Times New Roman" w:hint="eastAsia"/>
          <w:sz w:val="18"/>
          <w:szCs w:val="18"/>
        </w:rPr>
        <w:t>年跟踪评级报告》（联合〔</w:t>
      </w:r>
      <w:r w:rsidRPr="00F614F9">
        <w:rPr>
          <w:rFonts w:ascii="Times New Roman" w:hAnsi="Times New Roman" w:hint="eastAsia"/>
          <w:sz w:val="18"/>
          <w:szCs w:val="18"/>
        </w:rPr>
        <w:t>2023</w:t>
      </w:r>
      <w:r w:rsidRPr="00F614F9">
        <w:rPr>
          <w:rFonts w:ascii="Times New Roman" w:hAnsi="Times New Roman" w:hint="eastAsia"/>
          <w:sz w:val="18"/>
          <w:szCs w:val="18"/>
        </w:rPr>
        <w:t>〕</w:t>
      </w:r>
      <w:r w:rsidRPr="00F614F9">
        <w:rPr>
          <w:rFonts w:ascii="Times New Roman" w:hAnsi="Times New Roman" w:hint="eastAsia"/>
          <w:sz w:val="18"/>
          <w:szCs w:val="18"/>
        </w:rPr>
        <w:t>4741</w:t>
      </w:r>
      <w:r w:rsidRPr="00F614F9">
        <w:rPr>
          <w:rFonts w:ascii="Times New Roman" w:hAnsi="Times New Roman" w:hint="eastAsia"/>
          <w:sz w:val="18"/>
          <w:szCs w:val="18"/>
        </w:rPr>
        <w:t>号），公司主体长期信用等级为</w:t>
      </w:r>
      <w:r w:rsidRPr="00F614F9">
        <w:rPr>
          <w:rFonts w:ascii="Times New Roman" w:hAnsi="Times New Roman" w:hint="eastAsia"/>
          <w:sz w:val="18"/>
          <w:szCs w:val="18"/>
        </w:rPr>
        <w:t>AA-</w:t>
      </w:r>
      <w:r w:rsidRPr="00F614F9">
        <w:rPr>
          <w:rFonts w:ascii="Times New Roman" w:hAnsi="Times New Roman" w:hint="eastAsia"/>
          <w:sz w:val="18"/>
          <w:szCs w:val="18"/>
        </w:rPr>
        <w:t>，“龙大转债”信用等级为</w:t>
      </w:r>
      <w:r w:rsidRPr="00F614F9">
        <w:rPr>
          <w:rFonts w:ascii="Times New Roman" w:hAnsi="Times New Roman" w:hint="eastAsia"/>
          <w:sz w:val="18"/>
          <w:szCs w:val="18"/>
        </w:rPr>
        <w:t>AA</w:t>
      </w:r>
      <w:r w:rsidRPr="00F614F9">
        <w:rPr>
          <w:rFonts w:ascii="Times New Roman" w:hAnsi="Times New Roman" w:hint="eastAsia"/>
          <w:sz w:val="18"/>
          <w:szCs w:val="18"/>
        </w:rPr>
        <w:t>－，评级展望为稳定。本次跟踪评级结果与上一次评级结果相比未发生变化。</w:t>
      </w:r>
    </w:p>
    <w:p w14:paraId="320520E3" w14:textId="77777777" w:rsidR="00872599" w:rsidRPr="00F614F9" w:rsidRDefault="00000000">
      <w:pPr>
        <w:pStyle w:val="a3"/>
        <w:divId w:val="1320691046"/>
        <w:rPr>
          <w:rFonts w:ascii="Times New Roman" w:hAnsi="Times New Roman"/>
          <w:sz w:val="18"/>
          <w:szCs w:val="18"/>
        </w:rPr>
      </w:pPr>
      <w:r w:rsidRPr="00F614F9">
        <w:rPr>
          <w:rFonts w:ascii="Times New Roman" w:hAnsi="Times New Roman" w:hint="eastAsia"/>
          <w:sz w:val="18"/>
          <w:szCs w:val="18"/>
        </w:rPr>
        <w:t xml:space="preserve">  </w:t>
      </w:r>
      <w:r w:rsidRPr="00F614F9">
        <w:rPr>
          <w:rFonts w:ascii="Times New Roman" w:hAnsi="Times New Roman" w:hint="eastAsia"/>
          <w:sz w:val="18"/>
          <w:szCs w:val="18"/>
        </w:rPr>
        <w:t>（</w:t>
      </w:r>
      <w:r w:rsidRPr="00F614F9">
        <w:rPr>
          <w:rFonts w:ascii="Times New Roman" w:hAnsi="Times New Roman" w:hint="eastAsia"/>
          <w:sz w:val="18"/>
          <w:szCs w:val="18"/>
        </w:rPr>
        <w:t>3</w:t>
      </w:r>
      <w:r w:rsidRPr="00F614F9">
        <w:rPr>
          <w:rFonts w:ascii="Times New Roman" w:hAnsi="Times New Roman" w:hint="eastAsia"/>
          <w:sz w:val="18"/>
          <w:szCs w:val="18"/>
        </w:rPr>
        <w:t>）公司主营业务稳定，经营情况良好，资产负债率保持在较合理水平。公司将做好资金规划，为债券还本付息做好充足准备。</w:t>
      </w:r>
    </w:p>
    <w:p w14:paraId="09CB6834"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223" w:name="_Toc989047"/>
      <w:bookmarkStart w:id="224" w:name="_Toc164024817"/>
      <w:r w:rsidRPr="00F614F9">
        <w:rPr>
          <w:rFonts w:ascii="Times New Roman" w:eastAsia="宋体" w:hAnsi="Times New Roman" w:cs="宋体"/>
          <w:b/>
          <w:bCs/>
          <w:sz w:val="24"/>
          <w:szCs w:val="24"/>
        </w:rPr>
        <w:t>五、报告期内合并报表范围亏损超过上年末净资产</w:t>
      </w:r>
      <w:r w:rsidRPr="00F614F9">
        <w:rPr>
          <w:rFonts w:ascii="Times New Roman" w:eastAsia="宋体" w:hAnsi="Times New Roman" w:cs="宋体"/>
          <w:b/>
          <w:bCs/>
          <w:sz w:val="24"/>
          <w:szCs w:val="24"/>
        </w:rPr>
        <w:t>10%</w:t>
      </w:r>
      <w:bookmarkEnd w:id="223"/>
      <w:bookmarkEnd w:id="224"/>
    </w:p>
    <w:p w14:paraId="5B694E28"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34"/>
        <w:gridCol w:w="1560"/>
        <w:gridCol w:w="3402"/>
        <w:gridCol w:w="3543"/>
      </w:tblGrid>
      <w:tr w:rsidR="001D26E7" w:rsidRPr="00F614F9" w14:paraId="57379A0F" w14:textId="77777777" w:rsidTr="000441DC">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1E8485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项目名称</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772D374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亏损情况</w:t>
            </w:r>
          </w:p>
        </w:tc>
        <w:tc>
          <w:tcPr>
            <w:tcW w:w="3402" w:type="dxa"/>
            <w:tcBorders>
              <w:top w:val="single" w:sz="2" w:space="0" w:color="auto"/>
              <w:left w:val="single" w:sz="2" w:space="0" w:color="auto"/>
              <w:bottom w:val="single" w:sz="2" w:space="0" w:color="auto"/>
              <w:right w:val="single" w:sz="2" w:space="0" w:color="auto"/>
            </w:tcBorders>
            <w:shd w:val="clear" w:color="auto" w:fill="D3D3D3"/>
            <w:vAlign w:val="center"/>
          </w:tcPr>
          <w:p w14:paraId="1CAFA09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亏损原因</w:t>
            </w:r>
          </w:p>
        </w:tc>
        <w:tc>
          <w:tcPr>
            <w:tcW w:w="3543" w:type="dxa"/>
            <w:tcBorders>
              <w:top w:val="single" w:sz="2" w:space="0" w:color="auto"/>
              <w:left w:val="single" w:sz="2" w:space="0" w:color="auto"/>
              <w:bottom w:val="single" w:sz="2" w:space="0" w:color="auto"/>
              <w:right w:val="single" w:sz="2" w:space="0" w:color="auto"/>
            </w:tcBorders>
            <w:shd w:val="clear" w:color="auto" w:fill="D3D3D3"/>
            <w:vAlign w:val="center"/>
          </w:tcPr>
          <w:p w14:paraId="18B0F1C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对公司生产经营和偿债能力的影响</w:t>
            </w:r>
          </w:p>
        </w:tc>
      </w:tr>
      <w:tr w:rsidR="001D26E7" w:rsidRPr="00F614F9" w14:paraId="756CF71B" w14:textId="77777777" w:rsidTr="000441DC">
        <w:trPr>
          <w:trHeight w:val="240"/>
        </w:trPr>
        <w:tc>
          <w:tcPr>
            <w:tcW w:w="1134" w:type="dxa"/>
            <w:tcBorders>
              <w:top w:val="single" w:sz="2" w:space="0" w:color="auto"/>
              <w:left w:val="single" w:sz="2" w:space="0" w:color="auto"/>
              <w:bottom w:val="single" w:sz="2" w:space="0" w:color="auto"/>
              <w:right w:val="single" w:sz="2" w:space="0" w:color="auto"/>
            </w:tcBorders>
            <w:vAlign w:val="center"/>
          </w:tcPr>
          <w:p w14:paraId="0B1E119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净利润</w:t>
            </w:r>
          </w:p>
        </w:tc>
        <w:tc>
          <w:tcPr>
            <w:tcW w:w="1560" w:type="dxa"/>
            <w:tcBorders>
              <w:top w:val="single" w:sz="2" w:space="0" w:color="auto"/>
              <w:left w:val="single" w:sz="2" w:space="0" w:color="auto"/>
              <w:bottom w:val="single" w:sz="2" w:space="0" w:color="auto"/>
              <w:right w:val="single" w:sz="2" w:space="0" w:color="auto"/>
            </w:tcBorders>
            <w:vAlign w:val="center"/>
          </w:tcPr>
          <w:p w14:paraId="1B955CB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本报告期归属于上市公司股东的净利润为</w:t>
            </w:r>
            <w:r w:rsidRPr="00F614F9">
              <w:rPr>
                <w:rFonts w:ascii="Times New Roman" w:eastAsia="宋体" w:hAnsi="Times New Roman" w:cs="宋体"/>
                <w:sz w:val="18"/>
                <w:szCs w:val="18"/>
              </w:rPr>
              <w:t>-15.3</w:t>
            </w:r>
            <w:r w:rsidR="000441DC" w:rsidRPr="00F614F9">
              <w:rPr>
                <w:rFonts w:ascii="Times New Roman" w:eastAsia="宋体" w:hAnsi="Times New Roman" w:cs="宋体" w:hint="eastAsia"/>
                <w:sz w:val="18"/>
                <w:szCs w:val="18"/>
              </w:rPr>
              <w:t>8</w:t>
            </w:r>
            <w:r w:rsidRPr="00F614F9">
              <w:rPr>
                <w:rFonts w:ascii="Times New Roman" w:eastAsia="宋体" w:hAnsi="Times New Roman" w:cs="宋体"/>
                <w:sz w:val="18"/>
                <w:szCs w:val="18"/>
              </w:rPr>
              <w:t>亿元。</w:t>
            </w:r>
          </w:p>
        </w:tc>
        <w:tc>
          <w:tcPr>
            <w:tcW w:w="3402" w:type="dxa"/>
            <w:tcBorders>
              <w:top w:val="single" w:sz="2" w:space="0" w:color="auto"/>
              <w:left w:val="single" w:sz="2" w:space="0" w:color="auto"/>
              <w:bottom w:val="single" w:sz="2" w:space="0" w:color="auto"/>
              <w:right w:val="single" w:sz="2" w:space="0" w:color="auto"/>
            </w:tcBorders>
            <w:vAlign w:val="center"/>
          </w:tcPr>
          <w:p w14:paraId="4C11CAC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报告期内，毛猪销售价格及猪肉市场价格持续下跌，并叠加疫病影响，公司传统板块业务及贸易板块业务出现较大亏损；其中，受疫病影响，资产处置损失约</w:t>
            </w:r>
            <w:r w:rsidRPr="00F614F9">
              <w:rPr>
                <w:rFonts w:ascii="Times New Roman" w:eastAsia="宋体" w:hAnsi="Times New Roman" w:cs="宋体"/>
                <w:sz w:val="18"/>
                <w:szCs w:val="18"/>
              </w:rPr>
              <w:t>1.3</w:t>
            </w:r>
            <w:r w:rsidRPr="00F614F9">
              <w:rPr>
                <w:rFonts w:ascii="Times New Roman" w:eastAsia="宋体" w:hAnsi="Times New Roman" w:cs="宋体"/>
                <w:sz w:val="18"/>
                <w:szCs w:val="18"/>
              </w:rPr>
              <w:t>亿元；同时，基于谨慎性原则，对存货及生物资产累计计提资产减值准备约</w:t>
            </w:r>
            <w:r w:rsidRPr="00F614F9">
              <w:rPr>
                <w:rFonts w:ascii="Times New Roman" w:eastAsia="宋体" w:hAnsi="Times New Roman" w:cs="宋体"/>
                <w:sz w:val="18"/>
                <w:szCs w:val="18"/>
              </w:rPr>
              <w:t>4.5</w:t>
            </w:r>
            <w:r w:rsidRPr="00F614F9">
              <w:rPr>
                <w:rFonts w:ascii="Times New Roman" w:eastAsia="宋体" w:hAnsi="Times New Roman" w:cs="宋体"/>
                <w:sz w:val="18"/>
                <w:szCs w:val="18"/>
              </w:rPr>
              <w:t>亿元。</w:t>
            </w:r>
          </w:p>
        </w:tc>
        <w:tc>
          <w:tcPr>
            <w:tcW w:w="3543" w:type="dxa"/>
            <w:tcBorders>
              <w:top w:val="single" w:sz="2" w:space="0" w:color="auto"/>
              <w:left w:val="single" w:sz="2" w:space="0" w:color="auto"/>
              <w:bottom w:val="single" w:sz="2" w:space="0" w:color="auto"/>
              <w:right w:val="single" w:sz="2" w:space="0" w:color="auto"/>
            </w:tcBorders>
            <w:vAlign w:val="center"/>
          </w:tcPr>
          <w:p w14:paraId="619D951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本事项不会对公司生产经营和偿债能力产生重大影响，并且公司已通过加大应收账款回收速度、控制存货、优化采购节奏、减少资本支出等方式加快资金回笼速度；同时，公司积极调整销售策略，继续加大市场开拓力度，不断优化产品结构，持续改进生产工艺，提高生产效率，进一步保障公司现金流的稳定。目前，公司信用良好，自有资金能满足日常经营需要，不存在逾期归还银行贷款或延</w:t>
            </w:r>
            <w:proofErr w:type="gramStart"/>
            <w:r w:rsidRPr="00F614F9">
              <w:rPr>
                <w:rFonts w:ascii="Times New Roman" w:eastAsia="宋体" w:hAnsi="Times New Roman" w:cs="宋体"/>
                <w:sz w:val="18"/>
                <w:szCs w:val="18"/>
              </w:rPr>
              <w:t>退支付</w:t>
            </w:r>
            <w:proofErr w:type="gramEnd"/>
            <w:r w:rsidRPr="00F614F9">
              <w:rPr>
                <w:rFonts w:ascii="Times New Roman" w:eastAsia="宋体" w:hAnsi="Times New Roman" w:cs="宋体"/>
                <w:sz w:val="18"/>
                <w:szCs w:val="18"/>
              </w:rPr>
              <w:t>利息的情况。</w:t>
            </w:r>
          </w:p>
        </w:tc>
      </w:tr>
    </w:tbl>
    <w:p w14:paraId="7050B4A7"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225" w:name="_Toc989048"/>
      <w:bookmarkStart w:id="226" w:name="_Toc164024818"/>
      <w:r w:rsidRPr="00F614F9">
        <w:rPr>
          <w:rFonts w:ascii="Times New Roman" w:eastAsia="宋体" w:hAnsi="Times New Roman" w:cs="宋体"/>
          <w:b/>
          <w:bCs/>
          <w:sz w:val="24"/>
          <w:szCs w:val="24"/>
        </w:rPr>
        <w:t>六、报告期末除债券外的有息债务逾期情况</w:t>
      </w:r>
      <w:bookmarkEnd w:id="225"/>
      <w:bookmarkEnd w:id="226"/>
    </w:p>
    <w:p w14:paraId="632F4F98"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290D6DD6"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227" w:name="_Toc989049"/>
      <w:bookmarkStart w:id="228" w:name="_Toc164024819"/>
      <w:r w:rsidRPr="00F614F9">
        <w:rPr>
          <w:rFonts w:ascii="Times New Roman" w:eastAsia="宋体" w:hAnsi="Times New Roman" w:cs="宋体"/>
          <w:b/>
          <w:bCs/>
          <w:sz w:val="24"/>
          <w:szCs w:val="24"/>
        </w:rPr>
        <w:t>七、报告期内是否有违反规章制度的情况</w:t>
      </w:r>
      <w:bookmarkEnd w:id="227"/>
      <w:bookmarkEnd w:id="228"/>
    </w:p>
    <w:p w14:paraId="033B68A3"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否</w:t>
      </w:r>
    </w:p>
    <w:p w14:paraId="1929EA0B"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229" w:name="_Toc989050"/>
      <w:bookmarkStart w:id="230" w:name="_Toc164024820"/>
      <w:r w:rsidRPr="00F614F9">
        <w:rPr>
          <w:rFonts w:ascii="Times New Roman" w:eastAsia="宋体" w:hAnsi="Times New Roman" w:cs="宋体"/>
          <w:b/>
          <w:bCs/>
          <w:sz w:val="24"/>
          <w:szCs w:val="24"/>
        </w:rPr>
        <w:t>八、截至报告期末公司近两年的主要会计数据和财务指标</w:t>
      </w:r>
      <w:bookmarkEnd w:id="229"/>
      <w:bookmarkEnd w:id="230"/>
    </w:p>
    <w:p w14:paraId="78045DA5"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单位：万元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1D26E7" w:rsidRPr="00F614F9" w14:paraId="3EDFFB0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A8975E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67C2B2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本报告期末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4905F0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上年末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19A133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本报告期末比上年末增减</w:t>
            </w:r>
          </w:p>
        </w:tc>
      </w:tr>
      <w:tr w:rsidR="001D26E7" w:rsidRPr="00F614F9" w14:paraId="2A39C131"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1ACF68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流动比率</w:t>
            </w:r>
          </w:p>
        </w:tc>
        <w:tc>
          <w:tcPr>
            <w:tcW w:w="2410" w:type="dxa"/>
            <w:tcBorders>
              <w:top w:val="single" w:sz="2" w:space="0" w:color="auto"/>
              <w:left w:val="single" w:sz="2" w:space="0" w:color="auto"/>
              <w:bottom w:val="single" w:sz="2" w:space="0" w:color="auto"/>
              <w:right w:val="single" w:sz="2" w:space="0" w:color="auto"/>
            </w:tcBorders>
            <w:vAlign w:val="center"/>
          </w:tcPr>
          <w:p w14:paraId="537B915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88.47</w:t>
            </w:r>
          </w:p>
        </w:tc>
        <w:tc>
          <w:tcPr>
            <w:tcW w:w="2410" w:type="dxa"/>
            <w:tcBorders>
              <w:top w:val="single" w:sz="2" w:space="0" w:color="auto"/>
              <w:left w:val="single" w:sz="2" w:space="0" w:color="auto"/>
              <w:bottom w:val="single" w:sz="2" w:space="0" w:color="auto"/>
              <w:right w:val="single" w:sz="2" w:space="0" w:color="auto"/>
            </w:tcBorders>
            <w:vAlign w:val="center"/>
          </w:tcPr>
          <w:p w14:paraId="46834B5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133.49</w:t>
            </w:r>
          </w:p>
        </w:tc>
        <w:tc>
          <w:tcPr>
            <w:tcW w:w="2410" w:type="dxa"/>
            <w:tcBorders>
              <w:top w:val="single" w:sz="2" w:space="0" w:color="auto"/>
              <w:left w:val="single" w:sz="2" w:space="0" w:color="auto"/>
              <w:bottom w:val="single" w:sz="2" w:space="0" w:color="auto"/>
              <w:right w:val="single" w:sz="2" w:space="0" w:color="auto"/>
            </w:tcBorders>
            <w:vAlign w:val="center"/>
          </w:tcPr>
          <w:p w14:paraId="35EEEE5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-33.73%</w:t>
            </w:r>
          </w:p>
        </w:tc>
      </w:tr>
      <w:tr w:rsidR="001D26E7" w:rsidRPr="00F614F9" w14:paraId="60D969A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4B542E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资产负债率</w:t>
            </w:r>
          </w:p>
        </w:tc>
        <w:tc>
          <w:tcPr>
            <w:tcW w:w="2410" w:type="dxa"/>
            <w:tcBorders>
              <w:top w:val="single" w:sz="2" w:space="0" w:color="auto"/>
              <w:left w:val="single" w:sz="2" w:space="0" w:color="auto"/>
              <w:bottom w:val="single" w:sz="2" w:space="0" w:color="auto"/>
              <w:right w:val="single" w:sz="2" w:space="0" w:color="auto"/>
            </w:tcBorders>
            <w:vAlign w:val="center"/>
          </w:tcPr>
          <w:p w14:paraId="38D36F8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73.77%</w:t>
            </w:r>
          </w:p>
        </w:tc>
        <w:tc>
          <w:tcPr>
            <w:tcW w:w="2410" w:type="dxa"/>
            <w:tcBorders>
              <w:top w:val="single" w:sz="2" w:space="0" w:color="auto"/>
              <w:left w:val="single" w:sz="2" w:space="0" w:color="auto"/>
              <w:bottom w:val="single" w:sz="2" w:space="0" w:color="auto"/>
              <w:right w:val="single" w:sz="2" w:space="0" w:color="auto"/>
            </w:tcBorders>
            <w:vAlign w:val="center"/>
          </w:tcPr>
          <w:p w14:paraId="226B6E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56.08%</w:t>
            </w:r>
          </w:p>
        </w:tc>
        <w:tc>
          <w:tcPr>
            <w:tcW w:w="2410" w:type="dxa"/>
            <w:tcBorders>
              <w:top w:val="single" w:sz="2" w:space="0" w:color="auto"/>
              <w:left w:val="single" w:sz="2" w:space="0" w:color="auto"/>
              <w:bottom w:val="single" w:sz="2" w:space="0" w:color="auto"/>
              <w:right w:val="single" w:sz="2" w:space="0" w:color="auto"/>
            </w:tcBorders>
            <w:vAlign w:val="center"/>
          </w:tcPr>
          <w:p w14:paraId="0E86B4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17.69%</w:t>
            </w:r>
          </w:p>
        </w:tc>
      </w:tr>
      <w:tr w:rsidR="001D26E7" w:rsidRPr="00F614F9" w14:paraId="0396BF9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FB72A8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速动比率</w:t>
            </w:r>
          </w:p>
        </w:tc>
        <w:tc>
          <w:tcPr>
            <w:tcW w:w="2410" w:type="dxa"/>
            <w:tcBorders>
              <w:top w:val="single" w:sz="2" w:space="0" w:color="auto"/>
              <w:left w:val="single" w:sz="2" w:space="0" w:color="auto"/>
              <w:bottom w:val="single" w:sz="2" w:space="0" w:color="auto"/>
              <w:right w:val="single" w:sz="2" w:space="0" w:color="auto"/>
            </w:tcBorders>
            <w:vAlign w:val="center"/>
          </w:tcPr>
          <w:p w14:paraId="00E71E0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56.36</w:t>
            </w:r>
          </w:p>
        </w:tc>
        <w:tc>
          <w:tcPr>
            <w:tcW w:w="2410" w:type="dxa"/>
            <w:tcBorders>
              <w:top w:val="single" w:sz="2" w:space="0" w:color="auto"/>
              <w:left w:val="single" w:sz="2" w:space="0" w:color="auto"/>
              <w:bottom w:val="single" w:sz="2" w:space="0" w:color="auto"/>
              <w:right w:val="single" w:sz="2" w:space="0" w:color="auto"/>
            </w:tcBorders>
            <w:vAlign w:val="center"/>
          </w:tcPr>
          <w:p w14:paraId="3D772FE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76.25</w:t>
            </w:r>
          </w:p>
        </w:tc>
        <w:tc>
          <w:tcPr>
            <w:tcW w:w="2410" w:type="dxa"/>
            <w:tcBorders>
              <w:top w:val="single" w:sz="2" w:space="0" w:color="auto"/>
              <w:left w:val="single" w:sz="2" w:space="0" w:color="auto"/>
              <w:bottom w:val="single" w:sz="2" w:space="0" w:color="auto"/>
              <w:right w:val="single" w:sz="2" w:space="0" w:color="auto"/>
            </w:tcBorders>
            <w:vAlign w:val="center"/>
          </w:tcPr>
          <w:p w14:paraId="2076AB4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-26.09%</w:t>
            </w:r>
          </w:p>
        </w:tc>
      </w:tr>
      <w:tr w:rsidR="001D26E7" w:rsidRPr="00F614F9" w14:paraId="4D19C4B1"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9406E5A" w14:textId="77777777" w:rsidR="001D26E7" w:rsidRPr="00F614F9" w:rsidRDefault="001D26E7">
            <w:pPr>
              <w:rPr>
                <w:rFonts w:ascii="Times New Roman" w:hAnsi="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7D6478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本报告期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2825E1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E6112C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本报告期比上年同期增减</w:t>
            </w:r>
          </w:p>
        </w:tc>
      </w:tr>
      <w:tr w:rsidR="001D26E7" w:rsidRPr="00F614F9" w14:paraId="0E24743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09BA2D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扣除非经常性损益后净利润</w:t>
            </w:r>
          </w:p>
        </w:tc>
        <w:tc>
          <w:tcPr>
            <w:tcW w:w="2410" w:type="dxa"/>
            <w:tcBorders>
              <w:top w:val="single" w:sz="2" w:space="0" w:color="auto"/>
              <w:left w:val="single" w:sz="2" w:space="0" w:color="auto"/>
              <w:bottom w:val="single" w:sz="2" w:space="0" w:color="auto"/>
              <w:right w:val="single" w:sz="2" w:space="0" w:color="auto"/>
            </w:tcBorders>
            <w:vAlign w:val="center"/>
          </w:tcPr>
          <w:p w14:paraId="1DC261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-136,365.83</w:t>
            </w:r>
          </w:p>
        </w:tc>
        <w:tc>
          <w:tcPr>
            <w:tcW w:w="2410" w:type="dxa"/>
            <w:tcBorders>
              <w:top w:val="single" w:sz="2" w:space="0" w:color="auto"/>
              <w:left w:val="single" w:sz="2" w:space="0" w:color="auto"/>
              <w:bottom w:val="single" w:sz="2" w:space="0" w:color="auto"/>
              <w:right w:val="single" w:sz="2" w:space="0" w:color="auto"/>
            </w:tcBorders>
            <w:vAlign w:val="center"/>
          </w:tcPr>
          <w:p w14:paraId="451F83D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14,787.56</w:t>
            </w:r>
          </w:p>
        </w:tc>
        <w:tc>
          <w:tcPr>
            <w:tcW w:w="2410" w:type="dxa"/>
            <w:tcBorders>
              <w:top w:val="single" w:sz="2" w:space="0" w:color="auto"/>
              <w:left w:val="single" w:sz="2" w:space="0" w:color="auto"/>
              <w:bottom w:val="single" w:sz="2" w:space="0" w:color="auto"/>
              <w:right w:val="single" w:sz="2" w:space="0" w:color="auto"/>
            </w:tcBorders>
            <w:vAlign w:val="center"/>
          </w:tcPr>
          <w:p w14:paraId="651267C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-1,022.17%</w:t>
            </w:r>
          </w:p>
        </w:tc>
      </w:tr>
      <w:tr w:rsidR="001D26E7" w:rsidRPr="00F614F9" w14:paraId="10FF084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78A646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EBITDA</w:t>
            </w:r>
            <w:r w:rsidRPr="00F614F9">
              <w:rPr>
                <w:rFonts w:ascii="Times New Roman" w:eastAsia="宋体" w:hAnsi="Times New Roman" w:cs="宋体"/>
                <w:sz w:val="18"/>
                <w:szCs w:val="18"/>
              </w:rPr>
              <w:t>全部债务比</w:t>
            </w:r>
          </w:p>
        </w:tc>
        <w:tc>
          <w:tcPr>
            <w:tcW w:w="2410" w:type="dxa"/>
            <w:tcBorders>
              <w:top w:val="single" w:sz="2" w:space="0" w:color="auto"/>
              <w:left w:val="single" w:sz="2" w:space="0" w:color="auto"/>
              <w:bottom w:val="single" w:sz="2" w:space="0" w:color="auto"/>
              <w:right w:val="single" w:sz="2" w:space="0" w:color="auto"/>
            </w:tcBorders>
            <w:vAlign w:val="center"/>
          </w:tcPr>
          <w:p w14:paraId="033A8CC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-30.84%</w:t>
            </w:r>
          </w:p>
        </w:tc>
        <w:tc>
          <w:tcPr>
            <w:tcW w:w="2410" w:type="dxa"/>
            <w:tcBorders>
              <w:top w:val="single" w:sz="2" w:space="0" w:color="auto"/>
              <w:left w:val="single" w:sz="2" w:space="0" w:color="auto"/>
              <w:bottom w:val="single" w:sz="2" w:space="0" w:color="auto"/>
              <w:right w:val="single" w:sz="2" w:space="0" w:color="auto"/>
            </w:tcBorders>
            <w:vAlign w:val="center"/>
          </w:tcPr>
          <w:p w14:paraId="78375B1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12.59%</w:t>
            </w:r>
          </w:p>
        </w:tc>
        <w:tc>
          <w:tcPr>
            <w:tcW w:w="2410" w:type="dxa"/>
            <w:tcBorders>
              <w:top w:val="single" w:sz="2" w:space="0" w:color="auto"/>
              <w:left w:val="single" w:sz="2" w:space="0" w:color="auto"/>
              <w:bottom w:val="single" w:sz="2" w:space="0" w:color="auto"/>
              <w:right w:val="single" w:sz="2" w:space="0" w:color="auto"/>
            </w:tcBorders>
            <w:vAlign w:val="center"/>
          </w:tcPr>
          <w:p w14:paraId="7EAEBFB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-43.43%</w:t>
            </w:r>
          </w:p>
        </w:tc>
      </w:tr>
      <w:tr w:rsidR="001D26E7" w:rsidRPr="00F614F9" w14:paraId="7DF6F30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2EDA2C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利息保障倍数</w:t>
            </w:r>
          </w:p>
        </w:tc>
        <w:tc>
          <w:tcPr>
            <w:tcW w:w="2410" w:type="dxa"/>
            <w:tcBorders>
              <w:top w:val="single" w:sz="2" w:space="0" w:color="auto"/>
              <w:left w:val="single" w:sz="2" w:space="0" w:color="auto"/>
              <w:bottom w:val="single" w:sz="2" w:space="0" w:color="auto"/>
              <w:right w:val="single" w:sz="2" w:space="0" w:color="auto"/>
            </w:tcBorders>
            <w:vAlign w:val="center"/>
          </w:tcPr>
          <w:p w14:paraId="118A5FF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-9.42</w:t>
            </w:r>
          </w:p>
        </w:tc>
        <w:tc>
          <w:tcPr>
            <w:tcW w:w="2410" w:type="dxa"/>
            <w:tcBorders>
              <w:top w:val="single" w:sz="2" w:space="0" w:color="auto"/>
              <w:left w:val="single" w:sz="2" w:space="0" w:color="auto"/>
              <w:bottom w:val="single" w:sz="2" w:space="0" w:color="auto"/>
              <w:right w:val="single" w:sz="2" w:space="0" w:color="auto"/>
            </w:tcBorders>
            <w:vAlign w:val="center"/>
          </w:tcPr>
          <w:p w14:paraId="049179D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1.50</w:t>
            </w:r>
          </w:p>
        </w:tc>
        <w:tc>
          <w:tcPr>
            <w:tcW w:w="2410" w:type="dxa"/>
            <w:tcBorders>
              <w:top w:val="single" w:sz="2" w:space="0" w:color="auto"/>
              <w:left w:val="single" w:sz="2" w:space="0" w:color="auto"/>
              <w:bottom w:val="single" w:sz="2" w:space="0" w:color="auto"/>
              <w:right w:val="single" w:sz="2" w:space="0" w:color="auto"/>
            </w:tcBorders>
            <w:vAlign w:val="center"/>
          </w:tcPr>
          <w:p w14:paraId="5BFC6D3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-728.00%</w:t>
            </w:r>
          </w:p>
        </w:tc>
      </w:tr>
      <w:tr w:rsidR="001D26E7" w:rsidRPr="00F614F9" w14:paraId="2D0B893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5D747A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现金利息保障倍数</w:t>
            </w:r>
          </w:p>
        </w:tc>
        <w:tc>
          <w:tcPr>
            <w:tcW w:w="2410" w:type="dxa"/>
            <w:tcBorders>
              <w:top w:val="single" w:sz="2" w:space="0" w:color="auto"/>
              <w:left w:val="single" w:sz="2" w:space="0" w:color="auto"/>
              <w:bottom w:val="single" w:sz="2" w:space="0" w:color="auto"/>
              <w:right w:val="single" w:sz="2" w:space="0" w:color="auto"/>
            </w:tcBorders>
            <w:vAlign w:val="center"/>
          </w:tcPr>
          <w:p w14:paraId="2EE4134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-4.78</w:t>
            </w:r>
          </w:p>
        </w:tc>
        <w:tc>
          <w:tcPr>
            <w:tcW w:w="2410" w:type="dxa"/>
            <w:tcBorders>
              <w:top w:val="single" w:sz="2" w:space="0" w:color="auto"/>
              <w:left w:val="single" w:sz="2" w:space="0" w:color="auto"/>
              <w:bottom w:val="single" w:sz="2" w:space="0" w:color="auto"/>
              <w:right w:val="single" w:sz="2" w:space="0" w:color="auto"/>
            </w:tcBorders>
            <w:vAlign w:val="center"/>
          </w:tcPr>
          <w:p w14:paraId="7EC372A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7.42</w:t>
            </w:r>
          </w:p>
        </w:tc>
        <w:tc>
          <w:tcPr>
            <w:tcW w:w="2410" w:type="dxa"/>
            <w:tcBorders>
              <w:top w:val="single" w:sz="2" w:space="0" w:color="auto"/>
              <w:left w:val="single" w:sz="2" w:space="0" w:color="auto"/>
              <w:bottom w:val="single" w:sz="2" w:space="0" w:color="auto"/>
              <w:right w:val="single" w:sz="2" w:space="0" w:color="auto"/>
            </w:tcBorders>
            <w:vAlign w:val="center"/>
          </w:tcPr>
          <w:p w14:paraId="2B13AE1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-164.42%</w:t>
            </w:r>
          </w:p>
        </w:tc>
      </w:tr>
      <w:tr w:rsidR="001D26E7" w:rsidRPr="00F614F9" w14:paraId="21C88EE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E9B03E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EBITDA</w:t>
            </w:r>
            <w:r w:rsidRPr="00F614F9">
              <w:rPr>
                <w:rFonts w:ascii="Times New Roman" w:eastAsia="宋体" w:hAnsi="Times New Roman" w:cs="宋体"/>
                <w:sz w:val="18"/>
                <w:szCs w:val="18"/>
              </w:rPr>
              <w:t>利息保障倍数</w:t>
            </w:r>
          </w:p>
        </w:tc>
        <w:tc>
          <w:tcPr>
            <w:tcW w:w="2410" w:type="dxa"/>
            <w:tcBorders>
              <w:top w:val="single" w:sz="2" w:space="0" w:color="auto"/>
              <w:left w:val="single" w:sz="2" w:space="0" w:color="auto"/>
              <w:bottom w:val="single" w:sz="2" w:space="0" w:color="auto"/>
              <w:right w:val="single" w:sz="2" w:space="0" w:color="auto"/>
            </w:tcBorders>
            <w:vAlign w:val="center"/>
          </w:tcPr>
          <w:p w14:paraId="0BF18C5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-8.00</w:t>
            </w:r>
          </w:p>
        </w:tc>
        <w:tc>
          <w:tcPr>
            <w:tcW w:w="2410" w:type="dxa"/>
            <w:tcBorders>
              <w:top w:val="single" w:sz="2" w:space="0" w:color="auto"/>
              <w:left w:val="single" w:sz="2" w:space="0" w:color="auto"/>
              <w:bottom w:val="single" w:sz="2" w:space="0" w:color="auto"/>
              <w:right w:val="single" w:sz="2" w:space="0" w:color="auto"/>
            </w:tcBorders>
            <w:vAlign w:val="center"/>
          </w:tcPr>
          <w:p w14:paraId="4CA27E4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2.90</w:t>
            </w:r>
          </w:p>
        </w:tc>
        <w:tc>
          <w:tcPr>
            <w:tcW w:w="2410" w:type="dxa"/>
            <w:tcBorders>
              <w:top w:val="single" w:sz="2" w:space="0" w:color="auto"/>
              <w:left w:val="single" w:sz="2" w:space="0" w:color="auto"/>
              <w:bottom w:val="single" w:sz="2" w:space="0" w:color="auto"/>
              <w:right w:val="single" w:sz="2" w:space="0" w:color="auto"/>
            </w:tcBorders>
            <w:vAlign w:val="center"/>
          </w:tcPr>
          <w:p w14:paraId="10D3A0B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-375.86%</w:t>
            </w:r>
          </w:p>
        </w:tc>
      </w:tr>
      <w:tr w:rsidR="001D26E7" w:rsidRPr="00F614F9" w14:paraId="553E82E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61EFD4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贷款偿还率</w:t>
            </w:r>
          </w:p>
        </w:tc>
        <w:tc>
          <w:tcPr>
            <w:tcW w:w="2410" w:type="dxa"/>
            <w:tcBorders>
              <w:top w:val="single" w:sz="2" w:space="0" w:color="auto"/>
              <w:left w:val="single" w:sz="2" w:space="0" w:color="auto"/>
              <w:bottom w:val="single" w:sz="2" w:space="0" w:color="auto"/>
              <w:right w:val="single" w:sz="2" w:space="0" w:color="auto"/>
            </w:tcBorders>
            <w:vAlign w:val="center"/>
          </w:tcPr>
          <w:p w14:paraId="0DE7399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2410" w:type="dxa"/>
            <w:tcBorders>
              <w:top w:val="single" w:sz="2" w:space="0" w:color="auto"/>
              <w:left w:val="single" w:sz="2" w:space="0" w:color="auto"/>
              <w:bottom w:val="single" w:sz="2" w:space="0" w:color="auto"/>
              <w:right w:val="single" w:sz="2" w:space="0" w:color="auto"/>
            </w:tcBorders>
            <w:vAlign w:val="center"/>
          </w:tcPr>
          <w:p w14:paraId="7A99943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2410" w:type="dxa"/>
            <w:tcBorders>
              <w:top w:val="single" w:sz="2" w:space="0" w:color="auto"/>
              <w:left w:val="single" w:sz="2" w:space="0" w:color="auto"/>
              <w:bottom w:val="single" w:sz="2" w:space="0" w:color="auto"/>
              <w:right w:val="single" w:sz="2" w:space="0" w:color="auto"/>
            </w:tcBorders>
            <w:vAlign w:val="center"/>
          </w:tcPr>
          <w:p w14:paraId="70D923C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0C065B2F"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A30AA4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利息偿付率</w:t>
            </w:r>
          </w:p>
        </w:tc>
        <w:tc>
          <w:tcPr>
            <w:tcW w:w="2410" w:type="dxa"/>
            <w:tcBorders>
              <w:top w:val="single" w:sz="2" w:space="0" w:color="auto"/>
              <w:left w:val="single" w:sz="2" w:space="0" w:color="auto"/>
              <w:bottom w:val="single" w:sz="2" w:space="0" w:color="auto"/>
              <w:right w:val="single" w:sz="2" w:space="0" w:color="auto"/>
            </w:tcBorders>
            <w:vAlign w:val="center"/>
          </w:tcPr>
          <w:p w14:paraId="1800BE1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2410" w:type="dxa"/>
            <w:tcBorders>
              <w:top w:val="single" w:sz="2" w:space="0" w:color="auto"/>
              <w:left w:val="single" w:sz="2" w:space="0" w:color="auto"/>
              <w:bottom w:val="single" w:sz="2" w:space="0" w:color="auto"/>
              <w:right w:val="single" w:sz="2" w:space="0" w:color="auto"/>
            </w:tcBorders>
            <w:vAlign w:val="center"/>
          </w:tcPr>
          <w:p w14:paraId="6F88FB2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2410" w:type="dxa"/>
            <w:tcBorders>
              <w:top w:val="single" w:sz="2" w:space="0" w:color="auto"/>
              <w:left w:val="single" w:sz="2" w:space="0" w:color="auto"/>
              <w:bottom w:val="single" w:sz="2" w:space="0" w:color="auto"/>
              <w:right w:val="single" w:sz="2" w:space="0" w:color="auto"/>
            </w:tcBorders>
            <w:vAlign w:val="center"/>
          </w:tcPr>
          <w:p w14:paraId="7516F01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bl>
    <w:p w14:paraId="6AE4DB09" w14:textId="77777777" w:rsidR="001D26E7" w:rsidRPr="00F614F9" w:rsidRDefault="00000000">
      <w:pPr>
        <w:rPr>
          <w:rFonts w:ascii="Times New Roman" w:hAnsi="Times New Roman"/>
        </w:rPr>
      </w:pPr>
      <w:r w:rsidRPr="00F614F9">
        <w:rPr>
          <w:rFonts w:ascii="Times New Roman" w:hAnsi="Times New Roman"/>
        </w:rPr>
        <w:br w:type="page"/>
      </w:r>
    </w:p>
    <w:p w14:paraId="68B3D49D" w14:textId="77777777" w:rsidR="001D26E7" w:rsidRPr="00F614F9" w:rsidRDefault="00000000">
      <w:pPr>
        <w:pStyle w:val="headingh1"/>
        <w:spacing w:before="340" w:after="330" w:line="773" w:lineRule="exact"/>
        <w:jc w:val="center"/>
        <w:rPr>
          <w:rFonts w:ascii="Times New Roman" w:eastAsia="宋体" w:hAnsi="Times New Roman" w:cs="宋体"/>
          <w:b/>
          <w:bCs/>
          <w:sz w:val="32"/>
          <w:szCs w:val="32"/>
        </w:rPr>
      </w:pPr>
      <w:bookmarkStart w:id="231" w:name="_Toc164024821"/>
      <w:r w:rsidRPr="00F614F9">
        <w:rPr>
          <w:rFonts w:ascii="Times New Roman" w:eastAsia="宋体" w:hAnsi="Times New Roman" w:cs="宋体"/>
          <w:b/>
          <w:bCs/>
          <w:sz w:val="32"/>
          <w:szCs w:val="32"/>
        </w:rPr>
        <w:lastRenderedPageBreak/>
        <w:t>第十节</w:t>
      </w:r>
      <w:r w:rsidRPr="00F614F9">
        <w:rPr>
          <w:rFonts w:ascii="Times New Roman" w:eastAsia="宋体" w:hAnsi="Times New Roman" w:cs="宋体"/>
          <w:b/>
          <w:bCs/>
          <w:sz w:val="32"/>
          <w:szCs w:val="32"/>
        </w:rPr>
        <w:t xml:space="preserve"> </w:t>
      </w:r>
      <w:r w:rsidRPr="00F614F9">
        <w:rPr>
          <w:rFonts w:ascii="Times New Roman" w:eastAsia="宋体" w:hAnsi="Times New Roman" w:cs="宋体"/>
          <w:b/>
          <w:bCs/>
          <w:sz w:val="32"/>
          <w:szCs w:val="32"/>
        </w:rPr>
        <w:t>财务报告</w:t>
      </w:r>
      <w:bookmarkEnd w:id="231"/>
    </w:p>
    <w:p w14:paraId="55F07E0D"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232" w:name="_Toc989052"/>
      <w:bookmarkStart w:id="233" w:name="_Toc164024822"/>
      <w:r w:rsidRPr="00F614F9">
        <w:rPr>
          <w:rFonts w:ascii="Times New Roman" w:eastAsia="宋体" w:hAnsi="Times New Roman" w:cs="宋体"/>
          <w:b/>
          <w:bCs/>
          <w:sz w:val="24"/>
          <w:szCs w:val="24"/>
        </w:rPr>
        <w:t>一、审计报告</w:t>
      </w:r>
      <w:bookmarkEnd w:id="232"/>
      <w:bookmarkEnd w:id="233"/>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1D26E7" w:rsidRPr="00175E0D" w14:paraId="4B77781B"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6208B99" w14:textId="77777777" w:rsidR="001D26E7" w:rsidRPr="00175E0D" w:rsidRDefault="00000000">
            <w:pPr>
              <w:spacing w:before="40" w:after="40" w:line="240" w:lineRule="exact"/>
              <w:rPr>
                <w:rFonts w:ascii="Times New Roman" w:eastAsia="宋体" w:hAnsi="Times New Roman" w:cs="宋体"/>
                <w:sz w:val="18"/>
                <w:szCs w:val="18"/>
              </w:rPr>
            </w:pPr>
            <w:r w:rsidRPr="00175E0D">
              <w:rPr>
                <w:rFonts w:ascii="Times New Roman" w:eastAsia="宋体" w:hAnsi="Times New Roman" w:cs="宋体"/>
                <w:sz w:val="18"/>
                <w:szCs w:val="18"/>
              </w:rPr>
              <w:t>审计意见类型</w:t>
            </w:r>
          </w:p>
        </w:tc>
        <w:tc>
          <w:tcPr>
            <w:tcW w:w="4820" w:type="dxa"/>
            <w:tcBorders>
              <w:top w:val="single" w:sz="2" w:space="0" w:color="auto"/>
              <w:left w:val="single" w:sz="2" w:space="0" w:color="auto"/>
              <w:bottom w:val="single" w:sz="2" w:space="0" w:color="auto"/>
              <w:right w:val="single" w:sz="2" w:space="0" w:color="auto"/>
            </w:tcBorders>
            <w:vAlign w:val="center"/>
          </w:tcPr>
          <w:p w14:paraId="29981C03" w14:textId="77777777" w:rsidR="001D26E7" w:rsidRPr="00175E0D" w:rsidRDefault="00000000">
            <w:pPr>
              <w:spacing w:line="240" w:lineRule="exact"/>
              <w:rPr>
                <w:rFonts w:ascii="Times New Roman" w:eastAsia="宋体" w:hAnsi="Times New Roman" w:cs="宋体"/>
                <w:sz w:val="18"/>
                <w:szCs w:val="18"/>
              </w:rPr>
            </w:pPr>
            <w:r w:rsidRPr="00175E0D">
              <w:rPr>
                <w:rFonts w:ascii="Times New Roman" w:eastAsia="宋体" w:hAnsi="Times New Roman" w:cs="宋体"/>
                <w:sz w:val="18"/>
                <w:szCs w:val="18"/>
              </w:rPr>
              <w:t>标准的无保留意见</w:t>
            </w:r>
          </w:p>
        </w:tc>
      </w:tr>
      <w:tr w:rsidR="001D26E7" w:rsidRPr="00175E0D" w14:paraId="55DF160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147758E" w14:textId="77777777" w:rsidR="001D26E7" w:rsidRPr="00175E0D" w:rsidRDefault="00000000">
            <w:pPr>
              <w:spacing w:before="40" w:after="40" w:line="240" w:lineRule="exact"/>
              <w:rPr>
                <w:rFonts w:ascii="Times New Roman" w:eastAsia="宋体" w:hAnsi="Times New Roman" w:cs="宋体"/>
                <w:sz w:val="18"/>
                <w:szCs w:val="18"/>
              </w:rPr>
            </w:pPr>
            <w:r w:rsidRPr="00175E0D">
              <w:rPr>
                <w:rFonts w:ascii="Times New Roman" w:eastAsia="宋体" w:hAnsi="Times New Roman" w:cs="宋体"/>
                <w:sz w:val="18"/>
                <w:szCs w:val="18"/>
              </w:rPr>
              <w:t>审计报告签署日期</w:t>
            </w:r>
          </w:p>
        </w:tc>
        <w:tc>
          <w:tcPr>
            <w:tcW w:w="4820" w:type="dxa"/>
            <w:tcBorders>
              <w:top w:val="single" w:sz="2" w:space="0" w:color="auto"/>
              <w:left w:val="single" w:sz="2" w:space="0" w:color="auto"/>
              <w:bottom w:val="single" w:sz="2" w:space="0" w:color="auto"/>
              <w:right w:val="single" w:sz="2" w:space="0" w:color="auto"/>
            </w:tcBorders>
            <w:vAlign w:val="center"/>
          </w:tcPr>
          <w:p w14:paraId="6D75A8F1" w14:textId="77777777" w:rsidR="001D26E7" w:rsidRPr="00175E0D" w:rsidRDefault="00000000">
            <w:pPr>
              <w:spacing w:line="240" w:lineRule="exact"/>
              <w:rPr>
                <w:rFonts w:ascii="Times New Roman" w:eastAsia="宋体" w:hAnsi="Times New Roman" w:cs="宋体"/>
                <w:sz w:val="18"/>
                <w:szCs w:val="18"/>
              </w:rPr>
            </w:pPr>
            <w:r w:rsidRPr="00175E0D">
              <w:rPr>
                <w:rFonts w:ascii="Times New Roman" w:eastAsia="宋体" w:hAnsi="Times New Roman" w:cs="宋体"/>
                <w:sz w:val="18"/>
                <w:szCs w:val="18"/>
              </w:rPr>
              <w:t>2024</w:t>
            </w:r>
            <w:r w:rsidRPr="00175E0D">
              <w:rPr>
                <w:rFonts w:ascii="Times New Roman" w:eastAsia="宋体" w:hAnsi="Times New Roman" w:cs="宋体"/>
                <w:sz w:val="18"/>
                <w:szCs w:val="18"/>
              </w:rPr>
              <w:t>年</w:t>
            </w:r>
            <w:r w:rsidRPr="00175E0D">
              <w:rPr>
                <w:rFonts w:ascii="Times New Roman" w:eastAsia="宋体" w:hAnsi="Times New Roman" w:cs="宋体"/>
                <w:sz w:val="18"/>
                <w:szCs w:val="18"/>
              </w:rPr>
              <w:t>04</w:t>
            </w:r>
            <w:r w:rsidRPr="00175E0D">
              <w:rPr>
                <w:rFonts w:ascii="Times New Roman" w:eastAsia="宋体" w:hAnsi="Times New Roman" w:cs="宋体"/>
                <w:sz w:val="18"/>
                <w:szCs w:val="18"/>
              </w:rPr>
              <w:t>月</w:t>
            </w:r>
            <w:r w:rsidRPr="00175E0D">
              <w:rPr>
                <w:rFonts w:ascii="Times New Roman" w:eastAsia="宋体" w:hAnsi="Times New Roman" w:cs="宋体"/>
                <w:sz w:val="18"/>
                <w:szCs w:val="18"/>
              </w:rPr>
              <w:t>15</w:t>
            </w:r>
            <w:r w:rsidRPr="00175E0D">
              <w:rPr>
                <w:rFonts w:ascii="Times New Roman" w:eastAsia="宋体" w:hAnsi="Times New Roman" w:cs="宋体"/>
                <w:sz w:val="18"/>
                <w:szCs w:val="18"/>
              </w:rPr>
              <w:t>日</w:t>
            </w:r>
          </w:p>
        </w:tc>
      </w:tr>
      <w:tr w:rsidR="001D26E7" w:rsidRPr="00175E0D" w14:paraId="3CC75FAE"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A5C8A04" w14:textId="77777777" w:rsidR="001D26E7" w:rsidRPr="00175E0D" w:rsidRDefault="00000000">
            <w:pPr>
              <w:spacing w:before="40" w:after="40" w:line="240" w:lineRule="exact"/>
              <w:rPr>
                <w:rFonts w:ascii="Times New Roman" w:eastAsia="宋体" w:hAnsi="Times New Roman" w:cs="宋体"/>
                <w:sz w:val="18"/>
                <w:szCs w:val="18"/>
              </w:rPr>
            </w:pPr>
            <w:r w:rsidRPr="00175E0D">
              <w:rPr>
                <w:rFonts w:ascii="Times New Roman" w:eastAsia="宋体" w:hAnsi="Times New Roman" w:cs="宋体"/>
                <w:sz w:val="18"/>
                <w:szCs w:val="18"/>
              </w:rPr>
              <w:t>审计机构名称</w:t>
            </w:r>
          </w:p>
        </w:tc>
        <w:tc>
          <w:tcPr>
            <w:tcW w:w="4820" w:type="dxa"/>
            <w:tcBorders>
              <w:top w:val="single" w:sz="2" w:space="0" w:color="auto"/>
              <w:left w:val="single" w:sz="2" w:space="0" w:color="auto"/>
              <w:bottom w:val="single" w:sz="2" w:space="0" w:color="auto"/>
              <w:right w:val="single" w:sz="2" w:space="0" w:color="auto"/>
            </w:tcBorders>
            <w:vAlign w:val="center"/>
          </w:tcPr>
          <w:p w14:paraId="7B27B13D" w14:textId="77777777" w:rsidR="001D26E7" w:rsidRPr="00175E0D" w:rsidRDefault="00000000">
            <w:pPr>
              <w:spacing w:line="240" w:lineRule="exact"/>
              <w:rPr>
                <w:rFonts w:ascii="Times New Roman" w:eastAsia="宋体" w:hAnsi="Times New Roman" w:cs="宋体"/>
                <w:sz w:val="18"/>
                <w:szCs w:val="18"/>
              </w:rPr>
            </w:pPr>
            <w:r w:rsidRPr="00175E0D">
              <w:rPr>
                <w:rFonts w:ascii="Times New Roman" w:eastAsia="宋体" w:hAnsi="Times New Roman" w:cs="宋体"/>
                <w:sz w:val="18"/>
                <w:szCs w:val="18"/>
              </w:rPr>
              <w:t>众华会计师事务所（特殊普通合伙）</w:t>
            </w:r>
          </w:p>
        </w:tc>
      </w:tr>
      <w:tr w:rsidR="00175E0D" w:rsidRPr="00175E0D" w14:paraId="06369475"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7AE6D0D" w14:textId="77777777" w:rsidR="00175E0D" w:rsidRPr="00175E0D" w:rsidRDefault="00175E0D">
            <w:pPr>
              <w:spacing w:before="40" w:after="40" w:line="240" w:lineRule="exact"/>
              <w:rPr>
                <w:rFonts w:ascii="Times New Roman" w:eastAsia="宋体" w:hAnsi="Times New Roman" w:cs="宋体"/>
                <w:sz w:val="18"/>
                <w:szCs w:val="18"/>
              </w:rPr>
            </w:pPr>
            <w:r w:rsidRPr="00175E0D">
              <w:rPr>
                <w:rFonts w:ascii="Times New Roman" w:eastAsia="宋体" w:hAnsi="Times New Roman" w:cs="宋体" w:hint="eastAsia"/>
                <w:kern w:val="0"/>
                <w:sz w:val="18"/>
                <w:szCs w:val="18"/>
                <w14:ligatures w14:val="none"/>
              </w:rPr>
              <w:t>审计报告文号</w:t>
            </w:r>
          </w:p>
        </w:tc>
        <w:tc>
          <w:tcPr>
            <w:tcW w:w="4820" w:type="dxa"/>
            <w:tcBorders>
              <w:top w:val="single" w:sz="2" w:space="0" w:color="auto"/>
              <w:left w:val="single" w:sz="2" w:space="0" w:color="auto"/>
              <w:bottom w:val="single" w:sz="2" w:space="0" w:color="auto"/>
              <w:right w:val="single" w:sz="2" w:space="0" w:color="auto"/>
            </w:tcBorders>
            <w:vAlign w:val="center"/>
          </w:tcPr>
          <w:p w14:paraId="099A7992" w14:textId="77777777" w:rsidR="00175E0D" w:rsidRPr="00175E0D" w:rsidRDefault="00175E0D">
            <w:pPr>
              <w:spacing w:line="240" w:lineRule="exact"/>
              <w:rPr>
                <w:rFonts w:ascii="Times New Roman" w:eastAsia="宋体" w:hAnsi="Times New Roman" w:cs="宋体"/>
                <w:sz w:val="18"/>
                <w:szCs w:val="18"/>
              </w:rPr>
            </w:pPr>
            <w:r w:rsidRPr="00175E0D">
              <w:rPr>
                <w:rFonts w:ascii="Times New Roman" w:eastAsia="宋体" w:hAnsi="Times New Roman" w:cs="宋体" w:hint="eastAsia"/>
                <w:kern w:val="0"/>
                <w:sz w:val="18"/>
                <w:szCs w:val="18"/>
                <w14:ligatures w14:val="none"/>
              </w:rPr>
              <w:t>众会字（</w:t>
            </w:r>
            <w:r w:rsidRPr="00175E0D">
              <w:rPr>
                <w:rFonts w:ascii="Times New Roman" w:eastAsia="宋体" w:hAnsi="Times New Roman" w:cs="宋体" w:hint="eastAsia"/>
                <w:kern w:val="0"/>
                <w:sz w:val="18"/>
                <w:szCs w:val="18"/>
                <w14:ligatures w14:val="none"/>
              </w:rPr>
              <w:t>2024</w:t>
            </w:r>
            <w:r w:rsidRPr="00175E0D">
              <w:rPr>
                <w:rFonts w:ascii="Times New Roman" w:eastAsia="宋体" w:hAnsi="Times New Roman" w:cs="宋体" w:hint="eastAsia"/>
                <w:kern w:val="0"/>
                <w:sz w:val="18"/>
                <w:szCs w:val="18"/>
                <w14:ligatures w14:val="none"/>
              </w:rPr>
              <w:t>）第</w:t>
            </w:r>
            <w:r w:rsidRPr="00175E0D">
              <w:rPr>
                <w:rFonts w:ascii="Times New Roman" w:eastAsia="宋体" w:hAnsi="Times New Roman" w:cs="宋体" w:hint="eastAsia"/>
                <w:kern w:val="0"/>
                <w:sz w:val="18"/>
                <w:szCs w:val="18"/>
                <w14:ligatures w14:val="none"/>
              </w:rPr>
              <w:t>04440</w:t>
            </w:r>
            <w:r w:rsidRPr="00175E0D">
              <w:rPr>
                <w:rFonts w:ascii="Times New Roman" w:eastAsia="宋体" w:hAnsi="Times New Roman" w:cs="宋体" w:hint="eastAsia"/>
                <w:kern w:val="0"/>
                <w:sz w:val="18"/>
                <w:szCs w:val="18"/>
                <w14:ligatures w14:val="none"/>
              </w:rPr>
              <w:t>号</w:t>
            </w:r>
          </w:p>
        </w:tc>
      </w:tr>
      <w:tr w:rsidR="001D26E7" w:rsidRPr="00175E0D" w14:paraId="79FEC8DB"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6EA0BBE" w14:textId="77777777" w:rsidR="001D26E7" w:rsidRPr="00175E0D" w:rsidRDefault="00000000">
            <w:pPr>
              <w:spacing w:before="40" w:after="40" w:line="240" w:lineRule="exact"/>
              <w:rPr>
                <w:rFonts w:ascii="Times New Roman" w:eastAsia="宋体" w:hAnsi="Times New Roman" w:cs="宋体"/>
                <w:sz w:val="18"/>
                <w:szCs w:val="18"/>
              </w:rPr>
            </w:pPr>
            <w:r w:rsidRPr="00175E0D">
              <w:rPr>
                <w:rFonts w:ascii="Times New Roman" w:eastAsia="宋体" w:hAnsi="Times New Roman" w:cs="宋体"/>
                <w:sz w:val="18"/>
                <w:szCs w:val="18"/>
              </w:rPr>
              <w:t>注册会计师姓名</w:t>
            </w:r>
          </w:p>
        </w:tc>
        <w:tc>
          <w:tcPr>
            <w:tcW w:w="4820" w:type="dxa"/>
            <w:tcBorders>
              <w:top w:val="single" w:sz="2" w:space="0" w:color="auto"/>
              <w:left w:val="single" w:sz="2" w:space="0" w:color="auto"/>
              <w:bottom w:val="single" w:sz="2" w:space="0" w:color="auto"/>
              <w:right w:val="single" w:sz="2" w:space="0" w:color="auto"/>
            </w:tcBorders>
            <w:vAlign w:val="center"/>
          </w:tcPr>
          <w:p w14:paraId="0BD15D8E" w14:textId="77777777" w:rsidR="001D26E7" w:rsidRPr="00175E0D" w:rsidRDefault="00000000">
            <w:pPr>
              <w:spacing w:line="240" w:lineRule="exact"/>
              <w:rPr>
                <w:rFonts w:ascii="Times New Roman" w:eastAsia="宋体" w:hAnsi="Times New Roman" w:cs="宋体"/>
                <w:sz w:val="18"/>
                <w:szCs w:val="18"/>
              </w:rPr>
            </w:pPr>
            <w:r w:rsidRPr="00175E0D">
              <w:rPr>
                <w:rFonts w:ascii="Times New Roman" w:eastAsia="宋体" w:hAnsi="Times New Roman" w:cs="宋体"/>
                <w:sz w:val="18"/>
                <w:szCs w:val="18"/>
              </w:rPr>
              <w:t>李立生、杨学燕</w:t>
            </w:r>
          </w:p>
        </w:tc>
      </w:tr>
    </w:tbl>
    <w:p w14:paraId="3E6C6335" w14:textId="77777777" w:rsidR="001D26E7" w:rsidRPr="00175E0D" w:rsidRDefault="00000000">
      <w:pPr>
        <w:spacing w:before="100" w:after="100" w:line="240" w:lineRule="exact"/>
        <w:jc w:val="center"/>
        <w:rPr>
          <w:rFonts w:ascii="Times New Roman" w:eastAsia="宋体" w:hAnsi="Times New Roman" w:cs="宋体"/>
          <w:sz w:val="18"/>
          <w:szCs w:val="18"/>
        </w:rPr>
      </w:pPr>
      <w:r w:rsidRPr="00175E0D">
        <w:rPr>
          <w:rFonts w:ascii="Times New Roman" w:eastAsia="宋体" w:hAnsi="Times New Roman" w:cs="宋体"/>
          <w:sz w:val="18"/>
          <w:szCs w:val="18"/>
        </w:rPr>
        <w:t>审计报告正文</w:t>
      </w:r>
    </w:p>
    <w:p w14:paraId="5F26C696" w14:textId="77777777" w:rsidR="00872599" w:rsidRPr="00175E0D" w:rsidRDefault="00000000" w:rsidP="00175E0D">
      <w:pPr>
        <w:spacing w:line="276" w:lineRule="auto"/>
        <w:ind w:firstLineChars="200" w:firstLine="360"/>
        <w:rPr>
          <w:rFonts w:ascii="Times New Roman" w:eastAsia="宋体" w:hAnsi="Times New Roman"/>
          <w:sz w:val="18"/>
          <w:szCs w:val="20"/>
        </w:rPr>
      </w:pPr>
      <w:r w:rsidRPr="00175E0D">
        <w:rPr>
          <w:rFonts w:ascii="Times New Roman" w:eastAsia="宋体" w:hAnsi="Times New Roman" w:hint="eastAsia"/>
          <w:sz w:val="18"/>
          <w:szCs w:val="20"/>
        </w:rPr>
        <w:t>我们审计了山东龙大美食股份有限公司（以下简称“龙大美食公司”）财务报表，包括</w:t>
      </w:r>
      <w:r w:rsidRPr="00175E0D">
        <w:rPr>
          <w:rFonts w:ascii="Times New Roman" w:eastAsia="宋体" w:hAnsi="Times New Roman" w:hint="eastAsia"/>
          <w:sz w:val="18"/>
          <w:szCs w:val="20"/>
        </w:rPr>
        <w:t>2023</w:t>
      </w:r>
      <w:r w:rsidRPr="00175E0D">
        <w:rPr>
          <w:rFonts w:ascii="Times New Roman" w:eastAsia="宋体" w:hAnsi="Times New Roman" w:hint="eastAsia"/>
          <w:sz w:val="18"/>
          <w:szCs w:val="20"/>
        </w:rPr>
        <w:t>年</w:t>
      </w:r>
      <w:r w:rsidRPr="00175E0D">
        <w:rPr>
          <w:rFonts w:ascii="Times New Roman" w:eastAsia="宋体" w:hAnsi="Times New Roman" w:hint="eastAsia"/>
          <w:sz w:val="18"/>
          <w:szCs w:val="20"/>
        </w:rPr>
        <w:t>12</w:t>
      </w:r>
      <w:r w:rsidRPr="00175E0D">
        <w:rPr>
          <w:rFonts w:ascii="Times New Roman" w:eastAsia="宋体" w:hAnsi="Times New Roman" w:hint="eastAsia"/>
          <w:sz w:val="18"/>
          <w:szCs w:val="20"/>
        </w:rPr>
        <w:t>月</w:t>
      </w:r>
      <w:r w:rsidRPr="00175E0D">
        <w:rPr>
          <w:rFonts w:ascii="Times New Roman" w:eastAsia="宋体" w:hAnsi="Times New Roman" w:hint="eastAsia"/>
          <w:sz w:val="18"/>
          <w:szCs w:val="20"/>
        </w:rPr>
        <w:t>31</w:t>
      </w:r>
      <w:r w:rsidRPr="00175E0D">
        <w:rPr>
          <w:rFonts w:ascii="Times New Roman" w:eastAsia="宋体" w:hAnsi="Times New Roman" w:hint="eastAsia"/>
          <w:sz w:val="18"/>
          <w:szCs w:val="20"/>
        </w:rPr>
        <w:t>日的合并及公司资产负债表，</w:t>
      </w:r>
      <w:r w:rsidRPr="00175E0D">
        <w:rPr>
          <w:rFonts w:ascii="Times New Roman" w:eastAsia="宋体" w:hAnsi="Times New Roman" w:hint="eastAsia"/>
          <w:sz w:val="18"/>
          <w:szCs w:val="20"/>
        </w:rPr>
        <w:t>2023</w:t>
      </w:r>
      <w:r w:rsidRPr="00175E0D">
        <w:rPr>
          <w:rFonts w:ascii="Times New Roman" w:eastAsia="宋体" w:hAnsi="Times New Roman" w:hint="eastAsia"/>
          <w:sz w:val="18"/>
          <w:szCs w:val="20"/>
        </w:rPr>
        <w:t>年度的合并及公司利润表、合并及公司现金流量表、合并及公司股东权益变动表以及相关财务报表附注。</w:t>
      </w:r>
      <w:r w:rsidRPr="00175E0D">
        <w:rPr>
          <w:rFonts w:ascii="Times New Roman" w:eastAsia="宋体" w:hAnsi="Times New Roman" w:hint="eastAsia"/>
          <w:sz w:val="18"/>
          <w:szCs w:val="20"/>
        </w:rPr>
        <w:t xml:space="preserve"> </w:t>
      </w:r>
    </w:p>
    <w:p w14:paraId="6D9D5CA1" w14:textId="77777777" w:rsidR="00872599" w:rsidRPr="00175E0D" w:rsidRDefault="00000000" w:rsidP="00175E0D">
      <w:pPr>
        <w:spacing w:line="276" w:lineRule="auto"/>
        <w:ind w:firstLineChars="200" w:firstLine="360"/>
        <w:rPr>
          <w:rFonts w:ascii="Times New Roman" w:eastAsia="宋体" w:hAnsi="Times New Roman"/>
          <w:sz w:val="18"/>
          <w:szCs w:val="20"/>
        </w:rPr>
      </w:pPr>
      <w:r w:rsidRPr="00175E0D">
        <w:rPr>
          <w:rFonts w:ascii="Times New Roman" w:eastAsia="宋体" w:hAnsi="Times New Roman" w:hint="eastAsia"/>
          <w:sz w:val="18"/>
          <w:szCs w:val="20"/>
        </w:rPr>
        <w:t>我们认为，后附的财务报表在所有重大方面按照企业会计准则的规定编制，公允反映了龙大美食公司</w:t>
      </w:r>
      <w:r w:rsidRPr="00175E0D">
        <w:rPr>
          <w:rFonts w:ascii="Times New Roman" w:eastAsia="宋体" w:hAnsi="Times New Roman" w:hint="eastAsia"/>
          <w:sz w:val="18"/>
          <w:szCs w:val="20"/>
        </w:rPr>
        <w:t>2023</w:t>
      </w:r>
      <w:r w:rsidRPr="00175E0D">
        <w:rPr>
          <w:rFonts w:ascii="Times New Roman" w:eastAsia="宋体" w:hAnsi="Times New Roman" w:hint="eastAsia"/>
          <w:sz w:val="18"/>
          <w:szCs w:val="20"/>
        </w:rPr>
        <w:t>年</w:t>
      </w:r>
      <w:r w:rsidRPr="00175E0D">
        <w:rPr>
          <w:rFonts w:ascii="Times New Roman" w:eastAsia="宋体" w:hAnsi="Times New Roman" w:hint="eastAsia"/>
          <w:sz w:val="18"/>
          <w:szCs w:val="20"/>
        </w:rPr>
        <w:t>12</w:t>
      </w:r>
      <w:r w:rsidRPr="00175E0D">
        <w:rPr>
          <w:rFonts w:ascii="Times New Roman" w:eastAsia="宋体" w:hAnsi="Times New Roman" w:hint="eastAsia"/>
          <w:sz w:val="18"/>
          <w:szCs w:val="20"/>
        </w:rPr>
        <w:t>月</w:t>
      </w:r>
      <w:r w:rsidRPr="00175E0D">
        <w:rPr>
          <w:rFonts w:ascii="Times New Roman" w:eastAsia="宋体" w:hAnsi="Times New Roman" w:hint="eastAsia"/>
          <w:sz w:val="18"/>
          <w:szCs w:val="20"/>
        </w:rPr>
        <w:t>31</w:t>
      </w:r>
      <w:r w:rsidRPr="00175E0D">
        <w:rPr>
          <w:rFonts w:ascii="Times New Roman" w:eastAsia="宋体" w:hAnsi="Times New Roman" w:hint="eastAsia"/>
          <w:sz w:val="18"/>
          <w:szCs w:val="20"/>
        </w:rPr>
        <w:t>日合并及公司的财务状况以及</w:t>
      </w:r>
      <w:r w:rsidRPr="00175E0D">
        <w:rPr>
          <w:rFonts w:ascii="Times New Roman" w:eastAsia="宋体" w:hAnsi="Times New Roman" w:hint="eastAsia"/>
          <w:sz w:val="18"/>
          <w:szCs w:val="20"/>
        </w:rPr>
        <w:t>2023</w:t>
      </w:r>
      <w:r w:rsidRPr="00175E0D">
        <w:rPr>
          <w:rFonts w:ascii="Times New Roman" w:eastAsia="宋体" w:hAnsi="Times New Roman" w:hint="eastAsia"/>
          <w:sz w:val="18"/>
          <w:szCs w:val="20"/>
        </w:rPr>
        <w:t>年度合并及公司的经营成果和现金流量。</w:t>
      </w:r>
    </w:p>
    <w:p w14:paraId="48F77B28"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234" w:name="_Toc989053"/>
      <w:bookmarkStart w:id="235" w:name="_Toc164024823"/>
      <w:r w:rsidRPr="00F614F9">
        <w:rPr>
          <w:rFonts w:ascii="Times New Roman" w:eastAsia="宋体" w:hAnsi="Times New Roman" w:cs="宋体"/>
          <w:b/>
          <w:bCs/>
          <w:sz w:val="24"/>
          <w:szCs w:val="24"/>
        </w:rPr>
        <w:t>二、财务报表</w:t>
      </w:r>
      <w:bookmarkEnd w:id="234"/>
      <w:bookmarkEnd w:id="235"/>
    </w:p>
    <w:p w14:paraId="593C924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财务附注中报表的单位为：元</w:t>
      </w:r>
    </w:p>
    <w:p w14:paraId="03C5C64E" w14:textId="77777777" w:rsidR="001D26E7" w:rsidRPr="00F614F9" w:rsidRDefault="00000000">
      <w:pPr>
        <w:pStyle w:val="3"/>
        <w:spacing w:line="280" w:lineRule="exact"/>
        <w:jc w:val="left"/>
        <w:rPr>
          <w:rFonts w:ascii="Times New Roman" w:hAnsi="Times New Roman" w:cs="宋体"/>
          <w:b/>
          <w:bCs/>
        </w:rPr>
      </w:pPr>
      <w:bookmarkStart w:id="236" w:name="_Toc989054"/>
      <w:r w:rsidRPr="00F614F9">
        <w:rPr>
          <w:rFonts w:ascii="Times New Roman" w:hAnsi="Times New Roman" w:cs="宋体"/>
          <w:b/>
          <w:bCs/>
        </w:rPr>
        <w:t>1</w:t>
      </w:r>
      <w:r w:rsidRPr="00F614F9">
        <w:rPr>
          <w:rFonts w:ascii="Times New Roman" w:hAnsi="Times New Roman" w:cs="宋体"/>
          <w:b/>
          <w:bCs/>
        </w:rPr>
        <w:t>、合并资产负债表</w:t>
      </w:r>
      <w:bookmarkEnd w:id="236"/>
    </w:p>
    <w:p w14:paraId="55555D8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编制单位：山东龙大美食股份有限公司</w:t>
      </w:r>
    </w:p>
    <w:p w14:paraId="46F0D60F" w14:textId="77777777" w:rsidR="001D26E7" w:rsidRPr="00F614F9" w:rsidRDefault="00000000">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31</w:t>
      </w:r>
      <w:r w:rsidRPr="00F614F9">
        <w:rPr>
          <w:rFonts w:ascii="Times New Roman" w:eastAsia="宋体" w:hAnsi="Times New Roman" w:cs="宋体"/>
          <w:sz w:val="18"/>
          <w:szCs w:val="18"/>
        </w:rPr>
        <w:t>日</w:t>
      </w:r>
    </w:p>
    <w:p w14:paraId="2050E02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15561D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B3344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EA071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31</w:t>
            </w:r>
            <w:r w:rsidRPr="00F614F9">
              <w:rPr>
                <w:rFonts w:ascii="Times New Roman" w:eastAsia="宋体" w:hAnsi="Times New Roman" w:cs="宋体"/>
                <w:sz w:val="18"/>
                <w:szCs w:val="18"/>
              </w:rPr>
              <w:t>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1E37F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日</w:t>
            </w:r>
          </w:p>
        </w:tc>
      </w:tr>
      <w:tr w:rsidR="001D26E7" w:rsidRPr="00F614F9" w14:paraId="001486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BC737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A6C0B4"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3B6168" w14:textId="77777777" w:rsidR="001D26E7" w:rsidRPr="00F614F9" w:rsidRDefault="001D26E7">
            <w:pPr>
              <w:rPr>
                <w:rFonts w:ascii="Times New Roman" w:hAnsi="Times New Roman"/>
              </w:rPr>
            </w:pPr>
          </w:p>
        </w:tc>
      </w:tr>
      <w:tr w:rsidR="001D26E7" w:rsidRPr="00F614F9" w14:paraId="0123F24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69A3E9"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25C1DCE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1,392,572,096.51</w:t>
            </w:r>
          </w:p>
        </w:tc>
        <w:tc>
          <w:tcPr>
            <w:tcW w:w="3213" w:type="dxa"/>
            <w:tcBorders>
              <w:top w:val="single" w:sz="2" w:space="0" w:color="auto"/>
              <w:left w:val="single" w:sz="2" w:space="0" w:color="auto"/>
              <w:bottom w:val="single" w:sz="2" w:space="0" w:color="auto"/>
              <w:right w:val="single" w:sz="2" w:space="0" w:color="auto"/>
            </w:tcBorders>
            <w:vAlign w:val="center"/>
          </w:tcPr>
          <w:p w14:paraId="1944D82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1,855,921,035.70</w:t>
            </w:r>
          </w:p>
        </w:tc>
      </w:tr>
      <w:tr w:rsidR="001D26E7" w:rsidRPr="00F614F9" w14:paraId="40DE758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137A65"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14:paraId="154B494A"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4475D99"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A15A56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4F5F56"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14:paraId="4D092EEC"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59F4E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32A36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772593"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54E96B57"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C7DB0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C9869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800E85"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3CB9DA56"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0F9DCC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41FF24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21D80B"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4369DD8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2,341,021.98</w:t>
            </w:r>
          </w:p>
        </w:tc>
        <w:tc>
          <w:tcPr>
            <w:tcW w:w="3213" w:type="dxa"/>
            <w:tcBorders>
              <w:top w:val="single" w:sz="2" w:space="0" w:color="auto"/>
              <w:left w:val="single" w:sz="2" w:space="0" w:color="auto"/>
              <w:bottom w:val="single" w:sz="2" w:space="0" w:color="auto"/>
              <w:right w:val="single" w:sz="2" w:space="0" w:color="auto"/>
            </w:tcBorders>
            <w:vAlign w:val="center"/>
          </w:tcPr>
          <w:p w14:paraId="4F64AB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6,654,920.50</w:t>
            </w:r>
          </w:p>
        </w:tc>
      </w:tr>
      <w:tr w:rsidR="001D26E7" w:rsidRPr="00F614F9" w14:paraId="6344A5E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9E4B9C"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2BC773E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444,427,112.07</w:t>
            </w:r>
          </w:p>
        </w:tc>
        <w:tc>
          <w:tcPr>
            <w:tcW w:w="3213" w:type="dxa"/>
            <w:tcBorders>
              <w:top w:val="single" w:sz="2" w:space="0" w:color="auto"/>
              <w:left w:val="single" w:sz="2" w:space="0" w:color="auto"/>
              <w:bottom w:val="single" w:sz="2" w:space="0" w:color="auto"/>
              <w:right w:val="single" w:sz="2" w:space="0" w:color="auto"/>
            </w:tcBorders>
            <w:vAlign w:val="center"/>
          </w:tcPr>
          <w:p w14:paraId="1DB5D1F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621,530,615.03</w:t>
            </w:r>
          </w:p>
        </w:tc>
      </w:tr>
      <w:tr w:rsidR="001D26E7" w:rsidRPr="00F614F9" w14:paraId="7B030A7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9E73F3"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68D31EF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06580D4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66CED0F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B4E8EB"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3D58650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81,395,478.79</w:t>
            </w:r>
          </w:p>
        </w:tc>
        <w:tc>
          <w:tcPr>
            <w:tcW w:w="3213" w:type="dxa"/>
            <w:tcBorders>
              <w:top w:val="single" w:sz="2" w:space="0" w:color="auto"/>
              <w:left w:val="single" w:sz="2" w:space="0" w:color="auto"/>
              <w:bottom w:val="single" w:sz="2" w:space="0" w:color="auto"/>
              <w:right w:val="single" w:sz="2" w:space="0" w:color="auto"/>
            </w:tcBorders>
            <w:vAlign w:val="center"/>
          </w:tcPr>
          <w:p w14:paraId="032969D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199,303,754.59</w:t>
            </w:r>
          </w:p>
        </w:tc>
      </w:tr>
      <w:tr w:rsidR="001D26E7" w:rsidRPr="00F614F9" w14:paraId="083D335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34A9B2"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14:paraId="2A5EE117"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4EDF78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031826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E810F0"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17DE89BA"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F56636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9D401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6369AD"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6ED9F2A7"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A3EE495"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E3792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5C58C3"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72C6309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44,828,566.76</w:t>
            </w:r>
          </w:p>
        </w:tc>
        <w:tc>
          <w:tcPr>
            <w:tcW w:w="3213" w:type="dxa"/>
            <w:tcBorders>
              <w:top w:val="single" w:sz="2" w:space="0" w:color="auto"/>
              <w:left w:val="single" w:sz="2" w:space="0" w:color="auto"/>
              <w:bottom w:val="single" w:sz="2" w:space="0" w:color="auto"/>
              <w:right w:val="single" w:sz="2" w:space="0" w:color="auto"/>
            </w:tcBorders>
            <w:vAlign w:val="center"/>
          </w:tcPr>
          <w:p w14:paraId="3843058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66,688,523.57</w:t>
            </w:r>
          </w:p>
        </w:tc>
      </w:tr>
      <w:tr w:rsidR="001D26E7" w:rsidRPr="00F614F9" w14:paraId="14485B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ED315C"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0A8B7390"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DD0653"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D0775B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F18DD5" w14:textId="77777777" w:rsidR="001D26E7" w:rsidRPr="00F614F9" w:rsidRDefault="00000000">
            <w:pPr>
              <w:spacing w:before="40" w:after="40" w:line="240" w:lineRule="exact"/>
              <w:ind w:firstLineChars="500" w:firstLine="900"/>
              <w:rPr>
                <w:rFonts w:ascii="Times New Roman" w:eastAsia="宋体" w:hAnsi="Times New Roman" w:cs="宋体"/>
                <w:sz w:val="18"/>
                <w:szCs w:val="18"/>
              </w:rPr>
            </w:pPr>
            <w:r w:rsidRPr="00F614F9">
              <w:rPr>
                <w:rFonts w:ascii="Times New Roman" w:eastAsia="宋体" w:hAnsi="Times New Roman"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6BDAEEA1"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90196E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241015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3C8844"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lastRenderedPageBreak/>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67443972"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F5CB2B8"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BE8786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DCCE1A"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1BDBAC7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991,835,506.20</w:t>
            </w:r>
          </w:p>
        </w:tc>
        <w:tc>
          <w:tcPr>
            <w:tcW w:w="3213" w:type="dxa"/>
            <w:tcBorders>
              <w:top w:val="single" w:sz="2" w:space="0" w:color="auto"/>
              <w:left w:val="single" w:sz="2" w:space="0" w:color="auto"/>
              <w:bottom w:val="single" w:sz="2" w:space="0" w:color="auto"/>
              <w:right w:val="single" w:sz="2" w:space="0" w:color="auto"/>
            </w:tcBorders>
            <w:vAlign w:val="center"/>
          </w:tcPr>
          <w:p w14:paraId="55731B3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1,715,516,935.36</w:t>
            </w:r>
          </w:p>
        </w:tc>
      </w:tr>
      <w:tr w:rsidR="001D26E7" w:rsidRPr="00F614F9" w14:paraId="1888DC1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5FFCAE"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5D6D8350"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D5387A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BBA3F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70ACA2"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5E9B9EDD"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32A603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DA3EA0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29A8F1"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4042D7E7"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619527"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11BA79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553DB2"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652CAFE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218,758.72</w:t>
            </w:r>
          </w:p>
        </w:tc>
        <w:tc>
          <w:tcPr>
            <w:tcW w:w="3213" w:type="dxa"/>
            <w:tcBorders>
              <w:top w:val="single" w:sz="2" w:space="0" w:color="auto"/>
              <w:left w:val="single" w:sz="2" w:space="0" w:color="auto"/>
              <w:bottom w:val="single" w:sz="2" w:space="0" w:color="auto"/>
              <w:right w:val="single" w:sz="2" w:space="0" w:color="auto"/>
            </w:tcBorders>
            <w:vAlign w:val="center"/>
          </w:tcPr>
          <w:p w14:paraId="7E6418E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51,570.10</w:t>
            </w:r>
          </w:p>
        </w:tc>
      </w:tr>
      <w:tr w:rsidR="001D26E7" w:rsidRPr="00F614F9" w14:paraId="43D41C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FA024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1E36729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2,957,618,541.03</w:t>
            </w:r>
          </w:p>
        </w:tc>
        <w:tc>
          <w:tcPr>
            <w:tcW w:w="3213" w:type="dxa"/>
            <w:tcBorders>
              <w:top w:val="single" w:sz="2" w:space="0" w:color="auto"/>
              <w:left w:val="single" w:sz="2" w:space="0" w:color="auto"/>
              <w:bottom w:val="single" w:sz="2" w:space="0" w:color="auto"/>
              <w:right w:val="single" w:sz="2" w:space="0" w:color="auto"/>
            </w:tcBorders>
            <w:vAlign w:val="center"/>
          </w:tcPr>
          <w:p w14:paraId="29D74DE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4,465,667,354.85</w:t>
            </w:r>
          </w:p>
        </w:tc>
      </w:tr>
      <w:tr w:rsidR="001D26E7" w:rsidRPr="00F614F9" w14:paraId="1D1356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60452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489FC2"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25CC17" w14:textId="77777777" w:rsidR="001D26E7" w:rsidRPr="00F614F9" w:rsidRDefault="001D26E7">
            <w:pPr>
              <w:rPr>
                <w:rFonts w:ascii="Times New Roman" w:hAnsi="Times New Roman"/>
              </w:rPr>
            </w:pPr>
          </w:p>
        </w:tc>
      </w:tr>
      <w:tr w:rsidR="001D26E7" w:rsidRPr="00F614F9" w14:paraId="5F11F26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EAB65C"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14:paraId="0C62A7F0"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FD164B9"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8E7A39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8E7560"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4A39B0AD"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3BBDA8"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193A4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7B64E5"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2DDA6FE5"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00381B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E2850D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10ADCC"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62E84BB1"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4ACA450"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49E95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B19E99"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081E1573"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529834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ADBE6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E03DD2"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1FB0A1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563BB00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r>
      <w:tr w:rsidR="001D26E7" w:rsidRPr="00F614F9" w14:paraId="4A7871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1C7DC3"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6D11863E"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457E1A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17A296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99A277"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65FA52AB"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F42671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22A1A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9285BF"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3E21AE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1,692,939,156.89</w:t>
            </w:r>
          </w:p>
        </w:tc>
        <w:tc>
          <w:tcPr>
            <w:tcW w:w="3213" w:type="dxa"/>
            <w:tcBorders>
              <w:top w:val="single" w:sz="2" w:space="0" w:color="auto"/>
              <w:left w:val="single" w:sz="2" w:space="0" w:color="auto"/>
              <w:bottom w:val="single" w:sz="2" w:space="0" w:color="auto"/>
              <w:right w:val="single" w:sz="2" w:space="0" w:color="auto"/>
            </w:tcBorders>
            <w:vAlign w:val="center"/>
          </w:tcPr>
          <w:p w14:paraId="2D30549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1,791,086,868.21</w:t>
            </w:r>
          </w:p>
        </w:tc>
      </w:tr>
      <w:tr w:rsidR="001D26E7" w:rsidRPr="00F614F9" w14:paraId="15932E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5593B6"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3210778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919,386,014.19</w:t>
            </w:r>
          </w:p>
        </w:tc>
        <w:tc>
          <w:tcPr>
            <w:tcW w:w="3213" w:type="dxa"/>
            <w:tcBorders>
              <w:top w:val="single" w:sz="2" w:space="0" w:color="auto"/>
              <w:left w:val="single" w:sz="2" w:space="0" w:color="auto"/>
              <w:bottom w:val="single" w:sz="2" w:space="0" w:color="auto"/>
              <w:right w:val="single" w:sz="2" w:space="0" w:color="auto"/>
            </w:tcBorders>
            <w:vAlign w:val="center"/>
          </w:tcPr>
          <w:p w14:paraId="3CC6115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627,981,907.00</w:t>
            </w:r>
          </w:p>
        </w:tc>
      </w:tr>
      <w:tr w:rsidR="001D26E7" w:rsidRPr="00F614F9" w14:paraId="4BADA65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75BC9D"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21D1C1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4,962,137.64</w:t>
            </w:r>
          </w:p>
        </w:tc>
        <w:tc>
          <w:tcPr>
            <w:tcW w:w="3213" w:type="dxa"/>
            <w:tcBorders>
              <w:top w:val="single" w:sz="2" w:space="0" w:color="auto"/>
              <w:left w:val="single" w:sz="2" w:space="0" w:color="auto"/>
              <w:bottom w:val="single" w:sz="2" w:space="0" w:color="auto"/>
              <w:right w:val="single" w:sz="2" w:space="0" w:color="auto"/>
            </w:tcBorders>
            <w:vAlign w:val="center"/>
          </w:tcPr>
          <w:p w14:paraId="0700FB1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213,855,988.96</w:t>
            </w:r>
          </w:p>
        </w:tc>
      </w:tr>
      <w:tr w:rsidR="001D26E7" w:rsidRPr="00F614F9" w14:paraId="4EAB950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D3B458"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57BA722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26BA285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197E7A6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824468"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4B87091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56,681,295.48</w:t>
            </w:r>
          </w:p>
        </w:tc>
        <w:tc>
          <w:tcPr>
            <w:tcW w:w="3213" w:type="dxa"/>
            <w:tcBorders>
              <w:top w:val="single" w:sz="2" w:space="0" w:color="auto"/>
              <w:left w:val="single" w:sz="2" w:space="0" w:color="auto"/>
              <w:bottom w:val="single" w:sz="2" w:space="0" w:color="auto"/>
              <w:right w:val="single" w:sz="2" w:space="0" w:color="auto"/>
            </w:tcBorders>
            <w:vAlign w:val="center"/>
          </w:tcPr>
          <w:p w14:paraId="1674CA3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78,359,348.60</w:t>
            </w:r>
          </w:p>
        </w:tc>
      </w:tr>
      <w:tr w:rsidR="001D26E7" w:rsidRPr="00F614F9" w14:paraId="5BDFFC1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2B3DEE"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29F38BE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134,574,351.14</w:t>
            </w:r>
          </w:p>
        </w:tc>
        <w:tc>
          <w:tcPr>
            <w:tcW w:w="3213" w:type="dxa"/>
            <w:tcBorders>
              <w:top w:val="single" w:sz="2" w:space="0" w:color="auto"/>
              <w:left w:val="single" w:sz="2" w:space="0" w:color="auto"/>
              <w:bottom w:val="single" w:sz="2" w:space="0" w:color="auto"/>
              <w:right w:val="single" w:sz="2" w:space="0" w:color="auto"/>
            </w:tcBorders>
            <w:vAlign w:val="center"/>
          </w:tcPr>
          <w:p w14:paraId="7F4A2E5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149,183,560.30</w:t>
            </w:r>
          </w:p>
        </w:tc>
      </w:tr>
      <w:tr w:rsidR="001D26E7" w:rsidRPr="00F614F9" w14:paraId="3B94101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D70BBF"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66EA6EDC"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AABCAE8"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F68129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39BB63"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53D6A2E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26,871,974.18</w:t>
            </w:r>
          </w:p>
        </w:tc>
        <w:tc>
          <w:tcPr>
            <w:tcW w:w="3213" w:type="dxa"/>
            <w:tcBorders>
              <w:top w:val="single" w:sz="2" w:space="0" w:color="auto"/>
              <w:left w:val="single" w:sz="2" w:space="0" w:color="auto"/>
              <w:bottom w:val="single" w:sz="2" w:space="0" w:color="auto"/>
              <w:right w:val="single" w:sz="2" w:space="0" w:color="auto"/>
            </w:tcBorders>
            <w:vAlign w:val="center"/>
          </w:tcPr>
          <w:p w14:paraId="6C352F6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26,871,974.18</w:t>
            </w:r>
          </w:p>
        </w:tc>
      </w:tr>
      <w:tr w:rsidR="001D26E7" w:rsidRPr="00F614F9" w14:paraId="574B32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9E80C6"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69BF1C2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7,613,709.65</w:t>
            </w:r>
          </w:p>
        </w:tc>
        <w:tc>
          <w:tcPr>
            <w:tcW w:w="3213" w:type="dxa"/>
            <w:tcBorders>
              <w:top w:val="single" w:sz="2" w:space="0" w:color="auto"/>
              <w:left w:val="single" w:sz="2" w:space="0" w:color="auto"/>
              <w:bottom w:val="single" w:sz="2" w:space="0" w:color="auto"/>
              <w:right w:val="single" w:sz="2" w:space="0" w:color="auto"/>
            </w:tcBorders>
            <w:vAlign w:val="center"/>
          </w:tcPr>
          <w:p w14:paraId="63A8A19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11,818,005.15</w:t>
            </w:r>
          </w:p>
        </w:tc>
      </w:tr>
      <w:tr w:rsidR="001D26E7" w:rsidRPr="00F614F9" w14:paraId="70C5D66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EAED12"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2195D2D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9,445,753.58</w:t>
            </w:r>
          </w:p>
        </w:tc>
        <w:tc>
          <w:tcPr>
            <w:tcW w:w="3213" w:type="dxa"/>
            <w:tcBorders>
              <w:top w:val="single" w:sz="2" w:space="0" w:color="auto"/>
              <w:left w:val="single" w:sz="2" w:space="0" w:color="auto"/>
              <w:bottom w:val="single" w:sz="2" w:space="0" w:color="auto"/>
              <w:right w:val="single" w:sz="2" w:space="0" w:color="auto"/>
            </w:tcBorders>
            <w:vAlign w:val="center"/>
          </w:tcPr>
          <w:p w14:paraId="0BC71D9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68,566,643.14</w:t>
            </w:r>
          </w:p>
        </w:tc>
      </w:tr>
      <w:tr w:rsidR="001D26E7" w:rsidRPr="00F614F9" w14:paraId="167D6C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BF3D5A"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73A1A35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507,445,474.68</w:t>
            </w:r>
          </w:p>
        </w:tc>
        <w:tc>
          <w:tcPr>
            <w:tcW w:w="3213" w:type="dxa"/>
            <w:tcBorders>
              <w:top w:val="single" w:sz="2" w:space="0" w:color="auto"/>
              <w:left w:val="single" w:sz="2" w:space="0" w:color="auto"/>
              <w:bottom w:val="single" w:sz="2" w:space="0" w:color="auto"/>
              <w:right w:val="single" w:sz="2" w:space="0" w:color="auto"/>
            </w:tcBorders>
            <w:vAlign w:val="center"/>
          </w:tcPr>
          <w:p w14:paraId="1B047E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543,484,967.87</w:t>
            </w:r>
          </w:p>
        </w:tc>
      </w:tr>
      <w:tr w:rsidR="001D26E7" w:rsidRPr="00F614F9" w14:paraId="3C2AB0B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A9CBF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6102690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3,359,919,867.43</w:t>
            </w:r>
          </w:p>
        </w:tc>
        <w:tc>
          <w:tcPr>
            <w:tcW w:w="3213" w:type="dxa"/>
            <w:tcBorders>
              <w:top w:val="single" w:sz="2" w:space="0" w:color="auto"/>
              <w:left w:val="single" w:sz="2" w:space="0" w:color="auto"/>
              <w:bottom w:val="single" w:sz="2" w:space="0" w:color="auto"/>
              <w:right w:val="single" w:sz="2" w:space="0" w:color="auto"/>
            </w:tcBorders>
            <w:vAlign w:val="center"/>
          </w:tcPr>
          <w:p w14:paraId="3483B7B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3,511,531,443.08</w:t>
            </w:r>
          </w:p>
        </w:tc>
      </w:tr>
      <w:tr w:rsidR="001D26E7" w:rsidRPr="00F614F9" w14:paraId="2C6088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CACEF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1B72120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6,317,538,408.46</w:t>
            </w:r>
          </w:p>
        </w:tc>
        <w:tc>
          <w:tcPr>
            <w:tcW w:w="3213" w:type="dxa"/>
            <w:tcBorders>
              <w:top w:val="single" w:sz="2" w:space="0" w:color="auto"/>
              <w:left w:val="single" w:sz="2" w:space="0" w:color="auto"/>
              <w:bottom w:val="single" w:sz="2" w:space="0" w:color="auto"/>
              <w:right w:val="single" w:sz="2" w:space="0" w:color="auto"/>
            </w:tcBorders>
            <w:vAlign w:val="center"/>
          </w:tcPr>
          <w:p w14:paraId="022A508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7,977,198,797.93</w:t>
            </w:r>
          </w:p>
        </w:tc>
      </w:tr>
      <w:tr w:rsidR="001D26E7" w:rsidRPr="00F614F9" w14:paraId="5A75E0E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57584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E2EE57"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DE692D" w14:textId="77777777" w:rsidR="001D26E7" w:rsidRPr="00F614F9" w:rsidRDefault="001D26E7">
            <w:pPr>
              <w:rPr>
                <w:rFonts w:ascii="Times New Roman" w:hAnsi="Times New Roman"/>
              </w:rPr>
            </w:pPr>
          </w:p>
        </w:tc>
      </w:tr>
      <w:tr w:rsidR="001D26E7" w:rsidRPr="00F614F9" w14:paraId="71491DA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42CE6B"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58F5D5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1,854,767,478.71</w:t>
            </w:r>
          </w:p>
        </w:tc>
        <w:tc>
          <w:tcPr>
            <w:tcW w:w="3213" w:type="dxa"/>
            <w:tcBorders>
              <w:top w:val="single" w:sz="2" w:space="0" w:color="auto"/>
              <w:left w:val="single" w:sz="2" w:space="0" w:color="auto"/>
              <w:bottom w:val="single" w:sz="2" w:space="0" w:color="auto"/>
              <w:right w:val="single" w:sz="2" w:space="0" w:color="auto"/>
            </w:tcBorders>
            <w:vAlign w:val="center"/>
          </w:tcPr>
          <w:p w14:paraId="6A08DE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1,514,670,257.81</w:t>
            </w:r>
          </w:p>
        </w:tc>
      </w:tr>
      <w:tr w:rsidR="001D26E7" w:rsidRPr="00F614F9" w14:paraId="23925CE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02D899"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14:paraId="113C2C18"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C74454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66F51F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020465"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14:paraId="056F7CAC"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0E8E21"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8ED1E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A76F1B"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2D5E2F82"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15159C2"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2F4B16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B9CE1B"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6224B55A"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54E2BD7"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C4F2E7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4644CF"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32CAA03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420,625,801.99</w:t>
            </w:r>
          </w:p>
        </w:tc>
        <w:tc>
          <w:tcPr>
            <w:tcW w:w="3213" w:type="dxa"/>
            <w:tcBorders>
              <w:top w:val="single" w:sz="2" w:space="0" w:color="auto"/>
              <w:left w:val="single" w:sz="2" w:space="0" w:color="auto"/>
              <w:bottom w:val="single" w:sz="2" w:space="0" w:color="auto"/>
              <w:right w:val="single" w:sz="2" w:space="0" w:color="auto"/>
            </w:tcBorders>
            <w:vAlign w:val="center"/>
          </w:tcPr>
          <w:p w14:paraId="2271A18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631,831,450.18</w:t>
            </w:r>
          </w:p>
        </w:tc>
      </w:tr>
      <w:tr w:rsidR="001D26E7" w:rsidRPr="00F614F9" w14:paraId="33899F8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B70E7C"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7DB370C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421,839,401.99</w:t>
            </w:r>
          </w:p>
        </w:tc>
        <w:tc>
          <w:tcPr>
            <w:tcW w:w="3213" w:type="dxa"/>
            <w:tcBorders>
              <w:top w:val="single" w:sz="2" w:space="0" w:color="auto"/>
              <w:left w:val="single" w:sz="2" w:space="0" w:color="auto"/>
              <w:bottom w:val="single" w:sz="2" w:space="0" w:color="auto"/>
              <w:right w:val="single" w:sz="2" w:space="0" w:color="auto"/>
            </w:tcBorders>
            <w:vAlign w:val="center"/>
          </w:tcPr>
          <w:p w14:paraId="67FB6C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574,589,132.90</w:t>
            </w:r>
          </w:p>
        </w:tc>
      </w:tr>
      <w:tr w:rsidR="001D26E7" w:rsidRPr="00F614F9" w14:paraId="6FCAF7C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BAF56F"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3C667DEA"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2F944A3"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1B5B6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8F9F72"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18E4CDD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134,486,391.06</w:t>
            </w:r>
          </w:p>
        </w:tc>
        <w:tc>
          <w:tcPr>
            <w:tcW w:w="3213" w:type="dxa"/>
            <w:tcBorders>
              <w:top w:val="single" w:sz="2" w:space="0" w:color="auto"/>
              <w:left w:val="single" w:sz="2" w:space="0" w:color="auto"/>
              <w:bottom w:val="single" w:sz="2" w:space="0" w:color="auto"/>
              <w:right w:val="single" w:sz="2" w:space="0" w:color="auto"/>
            </w:tcBorders>
            <w:vAlign w:val="center"/>
          </w:tcPr>
          <w:p w14:paraId="1CB909B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185,629,725.61</w:t>
            </w:r>
          </w:p>
        </w:tc>
      </w:tr>
      <w:tr w:rsidR="001D26E7" w:rsidRPr="00F614F9" w14:paraId="4408F1C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2DC97D"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14:paraId="7E97948E"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82AFBC2"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84F206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314BBF"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14:paraId="4C33A50B"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4F7BD9"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F3D4E9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9AF0E5"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14:paraId="19188D76"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DF79C8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428DD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FC1B37"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lastRenderedPageBreak/>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14:paraId="7BAD07A3"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80ADF6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2E4F08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D25045"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655E73D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43,272,558.33</w:t>
            </w:r>
          </w:p>
        </w:tc>
        <w:tc>
          <w:tcPr>
            <w:tcW w:w="3213" w:type="dxa"/>
            <w:tcBorders>
              <w:top w:val="single" w:sz="2" w:space="0" w:color="auto"/>
              <w:left w:val="single" w:sz="2" w:space="0" w:color="auto"/>
              <w:bottom w:val="single" w:sz="2" w:space="0" w:color="auto"/>
              <w:right w:val="single" w:sz="2" w:space="0" w:color="auto"/>
            </w:tcBorders>
            <w:vAlign w:val="center"/>
          </w:tcPr>
          <w:p w14:paraId="738F7E1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38,034,174.23</w:t>
            </w:r>
          </w:p>
        </w:tc>
      </w:tr>
      <w:tr w:rsidR="001D26E7" w:rsidRPr="00F614F9" w14:paraId="7D692B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ED340F"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3DF2C6F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12,947,723.59</w:t>
            </w:r>
          </w:p>
        </w:tc>
        <w:tc>
          <w:tcPr>
            <w:tcW w:w="3213" w:type="dxa"/>
            <w:tcBorders>
              <w:top w:val="single" w:sz="2" w:space="0" w:color="auto"/>
              <w:left w:val="single" w:sz="2" w:space="0" w:color="auto"/>
              <w:bottom w:val="single" w:sz="2" w:space="0" w:color="auto"/>
              <w:right w:val="single" w:sz="2" w:space="0" w:color="auto"/>
            </w:tcBorders>
            <w:vAlign w:val="center"/>
          </w:tcPr>
          <w:p w14:paraId="25C7CF5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11,801,063.58</w:t>
            </w:r>
          </w:p>
        </w:tc>
      </w:tr>
      <w:tr w:rsidR="001D26E7" w:rsidRPr="00F614F9" w14:paraId="124E1E8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ACDB0A"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705BEFA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264,150,919.18</w:t>
            </w:r>
          </w:p>
        </w:tc>
        <w:tc>
          <w:tcPr>
            <w:tcW w:w="3213" w:type="dxa"/>
            <w:tcBorders>
              <w:top w:val="single" w:sz="2" w:space="0" w:color="auto"/>
              <w:left w:val="single" w:sz="2" w:space="0" w:color="auto"/>
              <w:bottom w:val="single" w:sz="2" w:space="0" w:color="auto"/>
              <w:right w:val="single" w:sz="2" w:space="0" w:color="auto"/>
            </w:tcBorders>
            <w:vAlign w:val="center"/>
          </w:tcPr>
          <w:p w14:paraId="12062F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227,027,091.46</w:t>
            </w:r>
          </w:p>
        </w:tc>
      </w:tr>
      <w:tr w:rsidR="001D26E7" w:rsidRPr="00F614F9" w14:paraId="3995C9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F6212B"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52635FB0"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95AC073"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AD3AB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64F4C3" w14:textId="77777777" w:rsidR="001D26E7" w:rsidRPr="00F614F9" w:rsidRDefault="00000000">
            <w:pPr>
              <w:spacing w:before="40" w:after="40" w:line="240" w:lineRule="exact"/>
              <w:ind w:firstLineChars="500" w:firstLine="900"/>
              <w:rPr>
                <w:rFonts w:ascii="Times New Roman" w:eastAsia="宋体" w:hAnsi="Times New Roman" w:cs="宋体"/>
                <w:sz w:val="18"/>
                <w:szCs w:val="18"/>
              </w:rPr>
            </w:pPr>
            <w:r w:rsidRPr="00F614F9">
              <w:rPr>
                <w:rFonts w:ascii="Times New Roman" w:eastAsia="宋体" w:hAnsi="Times New Roman"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360EBD6C"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85B73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0AE1D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6CEF53"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14:paraId="7F260BD4"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1A0CB8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66D814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AB5E12"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3344CE54"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1AC34A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0F747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045B46"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5C2E8357"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F71848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C0BA13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83B1B2"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7C44DB1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179,429,646.55</w:t>
            </w:r>
          </w:p>
        </w:tc>
        <w:tc>
          <w:tcPr>
            <w:tcW w:w="3213" w:type="dxa"/>
            <w:tcBorders>
              <w:top w:val="single" w:sz="2" w:space="0" w:color="auto"/>
              <w:left w:val="single" w:sz="2" w:space="0" w:color="auto"/>
              <w:bottom w:val="single" w:sz="2" w:space="0" w:color="auto"/>
              <w:right w:val="single" w:sz="2" w:space="0" w:color="auto"/>
            </w:tcBorders>
            <w:vAlign w:val="center"/>
          </w:tcPr>
          <w:p w14:paraId="7895207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145,845,446.48</w:t>
            </w:r>
          </w:p>
        </w:tc>
      </w:tr>
      <w:tr w:rsidR="001D26E7" w:rsidRPr="00F614F9" w14:paraId="0186770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33A98C"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19FC240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11,571,937.30</w:t>
            </w:r>
          </w:p>
        </w:tc>
        <w:tc>
          <w:tcPr>
            <w:tcW w:w="3213" w:type="dxa"/>
            <w:tcBorders>
              <w:top w:val="single" w:sz="2" w:space="0" w:color="auto"/>
              <w:left w:val="single" w:sz="2" w:space="0" w:color="auto"/>
              <w:bottom w:val="single" w:sz="2" w:space="0" w:color="auto"/>
              <w:right w:val="single" w:sz="2" w:space="0" w:color="auto"/>
            </w:tcBorders>
            <w:vAlign w:val="center"/>
          </w:tcPr>
          <w:p w14:paraId="78FF9F1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15,948,516.17</w:t>
            </w:r>
          </w:p>
        </w:tc>
      </w:tr>
      <w:tr w:rsidR="001D26E7" w:rsidRPr="00F614F9" w14:paraId="51A16A3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90A98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2EC34D3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3,343,091,858.70</w:t>
            </w:r>
          </w:p>
        </w:tc>
        <w:tc>
          <w:tcPr>
            <w:tcW w:w="3213" w:type="dxa"/>
            <w:tcBorders>
              <w:top w:val="single" w:sz="2" w:space="0" w:color="auto"/>
              <w:left w:val="single" w:sz="2" w:space="0" w:color="auto"/>
              <w:bottom w:val="single" w:sz="2" w:space="0" w:color="auto"/>
              <w:right w:val="single" w:sz="2" w:space="0" w:color="auto"/>
            </w:tcBorders>
            <w:vAlign w:val="center"/>
          </w:tcPr>
          <w:p w14:paraId="1575574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3,345,376,858.42</w:t>
            </w:r>
          </w:p>
        </w:tc>
      </w:tr>
      <w:tr w:rsidR="001D26E7" w:rsidRPr="00F614F9" w14:paraId="06A0B69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756D8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F7C197"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CA86C3" w14:textId="77777777" w:rsidR="001D26E7" w:rsidRPr="00F614F9" w:rsidRDefault="001D26E7">
            <w:pPr>
              <w:rPr>
                <w:rFonts w:ascii="Times New Roman" w:hAnsi="Times New Roman"/>
              </w:rPr>
            </w:pPr>
          </w:p>
        </w:tc>
      </w:tr>
      <w:tr w:rsidR="001D26E7" w:rsidRPr="00F614F9" w14:paraId="75060BE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889657"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38FC7441"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04A3A0"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F7DFD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04D5BA"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4887E4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326,202,925.48</w:t>
            </w:r>
          </w:p>
        </w:tc>
        <w:tc>
          <w:tcPr>
            <w:tcW w:w="3213" w:type="dxa"/>
            <w:tcBorders>
              <w:top w:val="single" w:sz="2" w:space="0" w:color="auto"/>
              <w:left w:val="single" w:sz="2" w:space="0" w:color="auto"/>
              <w:bottom w:val="single" w:sz="2" w:space="0" w:color="auto"/>
              <w:right w:val="single" w:sz="2" w:space="0" w:color="auto"/>
            </w:tcBorders>
            <w:vAlign w:val="center"/>
          </w:tcPr>
          <w:p w14:paraId="20545CE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157,500,000.00</w:t>
            </w:r>
          </w:p>
        </w:tc>
      </w:tr>
      <w:tr w:rsidR="001D26E7" w:rsidRPr="00F614F9" w14:paraId="10C65D2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6135A8"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4F5463B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899,039,265.74</w:t>
            </w:r>
          </w:p>
        </w:tc>
        <w:tc>
          <w:tcPr>
            <w:tcW w:w="3213" w:type="dxa"/>
            <w:tcBorders>
              <w:top w:val="single" w:sz="2" w:space="0" w:color="auto"/>
              <w:left w:val="single" w:sz="2" w:space="0" w:color="auto"/>
              <w:bottom w:val="single" w:sz="2" w:space="0" w:color="auto"/>
              <w:right w:val="single" w:sz="2" w:space="0" w:color="auto"/>
            </w:tcBorders>
            <w:vAlign w:val="center"/>
          </w:tcPr>
          <w:p w14:paraId="738357A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860,965,824.90</w:t>
            </w:r>
          </w:p>
        </w:tc>
      </w:tr>
      <w:tr w:rsidR="001D26E7" w:rsidRPr="00F614F9" w14:paraId="197459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F0D06D"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4578B9F8"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38326C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C6DEEE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A599FD" w14:textId="77777777" w:rsidR="001D26E7" w:rsidRPr="00F614F9" w:rsidRDefault="00000000">
            <w:pPr>
              <w:spacing w:before="40" w:after="40" w:line="240" w:lineRule="exact"/>
              <w:ind w:firstLineChars="500" w:firstLine="900"/>
              <w:rPr>
                <w:rFonts w:ascii="Times New Roman" w:eastAsia="宋体" w:hAnsi="Times New Roman" w:cs="宋体"/>
                <w:sz w:val="18"/>
                <w:szCs w:val="18"/>
              </w:rPr>
            </w:pPr>
            <w:r w:rsidRPr="00F614F9">
              <w:rPr>
                <w:rFonts w:ascii="Times New Roman" w:eastAsia="宋体" w:hAnsi="Times New Roman"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2F113F33"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3B25B8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5BCBE5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732236"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2BF4229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45,196,076.45</w:t>
            </w:r>
          </w:p>
        </w:tc>
        <w:tc>
          <w:tcPr>
            <w:tcW w:w="3213" w:type="dxa"/>
            <w:tcBorders>
              <w:top w:val="single" w:sz="2" w:space="0" w:color="auto"/>
              <w:left w:val="single" w:sz="2" w:space="0" w:color="auto"/>
              <w:bottom w:val="single" w:sz="2" w:space="0" w:color="auto"/>
              <w:right w:val="single" w:sz="2" w:space="0" w:color="auto"/>
            </w:tcBorders>
            <w:vAlign w:val="center"/>
          </w:tcPr>
          <w:p w14:paraId="4FE0FFA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58,075,383.36</w:t>
            </w:r>
          </w:p>
        </w:tc>
      </w:tr>
      <w:tr w:rsidR="001D26E7" w:rsidRPr="00F614F9" w14:paraId="5C99627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DE5E61"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51D77C1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5,370,867.01</w:t>
            </w:r>
          </w:p>
        </w:tc>
        <w:tc>
          <w:tcPr>
            <w:tcW w:w="3213" w:type="dxa"/>
            <w:tcBorders>
              <w:top w:val="single" w:sz="2" w:space="0" w:color="auto"/>
              <w:left w:val="single" w:sz="2" w:space="0" w:color="auto"/>
              <w:bottom w:val="single" w:sz="2" w:space="0" w:color="auto"/>
              <w:right w:val="single" w:sz="2" w:space="0" w:color="auto"/>
            </w:tcBorders>
            <w:vAlign w:val="center"/>
          </w:tcPr>
          <w:p w14:paraId="52C14C4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2,791,007.44</w:t>
            </w:r>
          </w:p>
        </w:tc>
      </w:tr>
      <w:tr w:rsidR="001D26E7" w:rsidRPr="00F614F9" w14:paraId="439DD07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6455EB"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3B40B931"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D0D55B5"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75559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53BC5A"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5F6D8EF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0912F53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329C4F5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69AB5A"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50DF8C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39,612,043.24</w:t>
            </w:r>
          </w:p>
        </w:tc>
        <w:tc>
          <w:tcPr>
            <w:tcW w:w="3213" w:type="dxa"/>
            <w:tcBorders>
              <w:top w:val="single" w:sz="2" w:space="0" w:color="auto"/>
              <w:left w:val="single" w:sz="2" w:space="0" w:color="auto"/>
              <w:bottom w:val="single" w:sz="2" w:space="0" w:color="auto"/>
              <w:right w:val="single" w:sz="2" w:space="0" w:color="auto"/>
            </w:tcBorders>
            <w:vAlign w:val="center"/>
          </w:tcPr>
          <w:p w14:paraId="2B13D34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46,570,043.69</w:t>
            </w:r>
          </w:p>
        </w:tc>
      </w:tr>
      <w:tr w:rsidR="001D26E7" w:rsidRPr="00F614F9" w14:paraId="0AE1416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9B7CB7"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350C4B5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2,064,556.40</w:t>
            </w:r>
          </w:p>
        </w:tc>
        <w:tc>
          <w:tcPr>
            <w:tcW w:w="3213" w:type="dxa"/>
            <w:tcBorders>
              <w:top w:val="single" w:sz="2" w:space="0" w:color="auto"/>
              <w:left w:val="single" w:sz="2" w:space="0" w:color="auto"/>
              <w:bottom w:val="single" w:sz="2" w:space="0" w:color="auto"/>
              <w:right w:val="single" w:sz="2" w:space="0" w:color="auto"/>
            </w:tcBorders>
            <w:vAlign w:val="center"/>
          </w:tcPr>
          <w:p w14:paraId="33B3917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2,125,662.13</w:t>
            </w:r>
          </w:p>
        </w:tc>
      </w:tr>
      <w:tr w:rsidR="001D26E7" w:rsidRPr="00F614F9" w14:paraId="42FFA3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97C457"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1F54445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7ECE14C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2942B51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353E3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69A09EF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1,317,485,734.32</w:t>
            </w:r>
          </w:p>
        </w:tc>
        <w:tc>
          <w:tcPr>
            <w:tcW w:w="3213" w:type="dxa"/>
            <w:tcBorders>
              <w:top w:val="single" w:sz="2" w:space="0" w:color="auto"/>
              <w:left w:val="single" w:sz="2" w:space="0" w:color="auto"/>
              <w:bottom w:val="single" w:sz="2" w:space="0" w:color="auto"/>
              <w:right w:val="single" w:sz="2" w:space="0" w:color="auto"/>
            </w:tcBorders>
            <w:vAlign w:val="center"/>
          </w:tcPr>
          <w:p w14:paraId="51FE710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1,128,027,921.52</w:t>
            </w:r>
          </w:p>
        </w:tc>
      </w:tr>
      <w:tr w:rsidR="001D26E7" w:rsidRPr="00F614F9" w14:paraId="091413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2B13B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32A143A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4,660,577,593.02</w:t>
            </w:r>
          </w:p>
        </w:tc>
        <w:tc>
          <w:tcPr>
            <w:tcW w:w="3213" w:type="dxa"/>
            <w:tcBorders>
              <w:top w:val="single" w:sz="2" w:space="0" w:color="auto"/>
              <w:left w:val="single" w:sz="2" w:space="0" w:color="auto"/>
              <w:bottom w:val="single" w:sz="2" w:space="0" w:color="auto"/>
              <w:right w:val="single" w:sz="2" w:space="0" w:color="auto"/>
            </w:tcBorders>
            <w:vAlign w:val="center"/>
          </w:tcPr>
          <w:p w14:paraId="6FAE342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4,473,404,779.94</w:t>
            </w:r>
          </w:p>
        </w:tc>
      </w:tr>
      <w:tr w:rsidR="001D26E7" w:rsidRPr="00F614F9" w14:paraId="5B69B9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48E36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490C9C"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7591DE" w14:textId="77777777" w:rsidR="001D26E7" w:rsidRPr="00F614F9" w:rsidRDefault="001D26E7">
            <w:pPr>
              <w:rPr>
                <w:rFonts w:ascii="Times New Roman" w:hAnsi="Times New Roman"/>
              </w:rPr>
            </w:pPr>
          </w:p>
        </w:tc>
      </w:tr>
      <w:tr w:rsidR="001D26E7" w:rsidRPr="00F614F9" w14:paraId="6E06631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F5CB83"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4D8D179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1,079,159,832.00</w:t>
            </w:r>
          </w:p>
        </w:tc>
        <w:tc>
          <w:tcPr>
            <w:tcW w:w="3213" w:type="dxa"/>
            <w:tcBorders>
              <w:top w:val="single" w:sz="2" w:space="0" w:color="auto"/>
              <w:left w:val="single" w:sz="2" w:space="0" w:color="auto"/>
              <w:bottom w:val="single" w:sz="2" w:space="0" w:color="auto"/>
              <w:right w:val="single" w:sz="2" w:space="0" w:color="auto"/>
            </w:tcBorders>
            <w:vAlign w:val="center"/>
          </w:tcPr>
          <w:p w14:paraId="38CEBBC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1,079,128,488.00</w:t>
            </w:r>
          </w:p>
        </w:tc>
      </w:tr>
      <w:tr w:rsidR="001D26E7" w:rsidRPr="00F614F9" w14:paraId="3FFB2F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1419C3"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4C2D0E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171,570,881.98</w:t>
            </w:r>
          </w:p>
        </w:tc>
        <w:tc>
          <w:tcPr>
            <w:tcW w:w="3213" w:type="dxa"/>
            <w:tcBorders>
              <w:top w:val="single" w:sz="2" w:space="0" w:color="auto"/>
              <w:left w:val="single" w:sz="2" w:space="0" w:color="auto"/>
              <w:bottom w:val="single" w:sz="2" w:space="0" w:color="auto"/>
              <w:right w:val="single" w:sz="2" w:space="0" w:color="auto"/>
            </w:tcBorders>
            <w:vAlign w:val="center"/>
          </w:tcPr>
          <w:p w14:paraId="77923B5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171,571,679.93</w:t>
            </w:r>
          </w:p>
        </w:tc>
      </w:tr>
      <w:tr w:rsidR="001D26E7" w:rsidRPr="00F614F9" w14:paraId="09EF64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4FADF2" w14:textId="77777777" w:rsidR="001D26E7" w:rsidRPr="00F614F9" w:rsidRDefault="00000000">
            <w:pPr>
              <w:spacing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65D0E9A3"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AA0126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0CD961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F101E3" w14:textId="77777777" w:rsidR="001D26E7" w:rsidRPr="00F614F9" w:rsidRDefault="00000000">
            <w:pPr>
              <w:spacing w:line="240" w:lineRule="exact"/>
              <w:ind w:firstLineChars="500" w:firstLine="900"/>
              <w:rPr>
                <w:rFonts w:ascii="Times New Roman" w:eastAsia="宋体" w:hAnsi="Times New Roman" w:cs="宋体"/>
                <w:sz w:val="18"/>
                <w:szCs w:val="18"/>
              </w:rPr>
            </w:pPr>
            <w:r w:rsidRPr="00F614F9">
              <w:rPr>
                <w:rFonts w:ascii="Times New Roman" w:eastAsia="宋体" w:hAnsi="Times New Roman"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1BE22FB1"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F4C650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70FDAE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02C4B2"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4740B52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824,957,421.64</w:t>
            </w:r>
          </w:p>
        </w:tc>
        <w:tc>
          <w:tcPr>
            <w:tcW w:w="3213" w:type="dxa"/>
            <w:tcBorders>
              <w:top w:val="single" w:sz="2" w:space="0" w:color="auto"/>
              <w:left w:val="single" w:sz="2" w:space="0" w:color="auto"/>
              <w:bottom w:val="single" w:sz="2" w:space="0" w:color="auto"/>
              <w:right w:val="single" w:sz="2" w:space="0" w:color="auto"/>
            </w:tcBorders>
            <w:vAlign w:val="center"/>
          </w:tcPr>
          <w:p w14:paraId="1873A1B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831,830,715.12</w:t>
            </w:r>
          </w:p>
        </w:tc>
      </w:tr>
      <w:tr w:rsidR="001D26E7" w:rsidRPr="00F614F9" w14:paraId="46F1C3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4E69BA"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293ABDD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330,025,083.29</w:t>
            </w:r>
          </w:p>
        </w:tc>
        <w:tc>
          <w:tcPr>
            <w:tcW w:w="3213" w:type="dxa"/>
            <w:tcBorders>
              <w:top w:val="single" w:sz="2" w:space="0" w:color="auto"/>
              <w:left w:val="single" w:sz="2" w:space="0" w:color="auto"/>
              <w:bottom w:val="single" w:sz="2" w:space="0" w:color="auto"/>
              <w:right w:val="single" w:sz="2" w:space="0" w:color="auto"/>
            </w:tcBorders>
            <w:vAlign w:val="center"/>
          </w:tcPr>
          <w:p w14:paraId="4D90CC1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37,244,672.24</w:t>
            </w:r>
          </w:p>
        </w:tc>
      </w:tr>
      <w:tr w:rsidR="001D26E7" w:rsidRPr="00F614F9" w14:paraId="1B928D5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F45373"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0F322BE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-12,100,000.00</w:t>
            </w:r>
          </w:p>
        </w:tc>
        <w:tc>
          <w:tcPr>
            <w:tcW w:w="3213" w:type="dxa"/>
            <w:tcBorders>
              <w:top w:val="single" w:sz="2" w:space="0" w:color="auto"/>
              <w:left w:val="single" w:sz="2" w:space="0" w:color="auto"/>
              <w:bottom w:val="single" w:sz="2" w:space="0" w:color="auto"/>
              <w:right w:val="single" w:sz="2" w:space="0" w:color="auto"/>
            </w:tcBorders>
            <w:vAlign w:val="center"/>
          </w:tcPr>
          <w:p w14:paraId="12CB47E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-11,777,820.33</w:t>
            </w:r>
          </w:p>
        </w:tc>
      </w:tr>
      <w:tr w:rsidR="001D26E7" w:rsidRPr="00F614F9" w14:paraId="27FDF13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43FD78"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2B5FC268"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3B1D325"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1DD994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1C4684"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5BCA06E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263,717,929.16</w:t>
            </w:r>
          </w:p>
        </w:tc>
        <w:tc>
          <w:tcPr>
            <w:tcW w:w="3213" w:type="dxa"/>
            <w:tcBorders>
              <w:top w:val="single" w:sz="2" w:space="0" w:color="auto"/>
              <w:left w:val="single" w:sz="2" w:space="0" w:color="auto"/>
              <w:bottom w:val="single" w:sz="2" w:space="0" w:color="auto"/>
              <w:right w:val="single" w:sz="2" w:space="0" w:color="auto"/>
            </w:tcBorders>
            <w:vAlign w:val="center"/>
          </w:tcPr>
          <w:p w14:paraId="70769FC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263,717,929.16</w:t>
            </w:r>
          </w:p>
        </w:tc>
      </w:tr>
      <w:tr w:rsidR="001D26E7" w:rsidRPr="00F614F9" w14:paraId="17D390D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4DDA95"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14:paraId="2EC78343"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7036201"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B16F61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683EBB"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7C3B4F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-515,299,374.16</w:t>
            </w:r>
          </w:p>
        </w:tc>
        <w:tc>
          <w:tcPr>
            <w:tcW w:w="3213" w:type="dxa"/>
            <w:tcBorders>
              <w:top w:val="single" w:sz="2" w:space="0" w:color="auto"/>
              <w:left w:val="single" w:sz="2" w:space="0" w:color="auto"/>
              <w:bottom w:val="single" w:sz="2" w:space="0" w:color="auto"/>
              <w:right w:val="single" w:sz="2" w:space="0" w:color="auto"/>
            </w:tcBorders>
            <w:vAlign w:val="center"/>
          </w:tcPr>
          <w:p w14:paraId="0A60B54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1,023,054,329.92</w:t>
            </w:r>
          </w:p>
        </w:tc>
      </w:tr>
      <w:tr w:rsidR="001D26E7" w:rsidRPr="00F614F9" w14:paraId="7D9621A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EC1BB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4EEFEDE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1,481,981,607.33</w:t>
            </w:r>
          </w:p>
        </w:tc>
        <w:tc>
          <w:tcPr>
            <w:tcW w:w="3213" w:type="dxa"/>
            <w:tcBorders>
              <w:top w:val="single" w:sz="2" w:space="0" w:color="auto"/>
              <w:left w:val="single" w:sz="2" w:space="0" w:color="auto"/>
              <w:bottom w:val="single" w:sz="2" w:space="0" w:color="auto"/>
              <w:right w:val="single" w:sz="2" w:space="0" w:color="auto"/>
            </w:tcBorders>
            <w:vAlign w:val="center"/>
          </w:tcPr>
          <w:p w14:paraId="6586C08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3,320,280,649.56</w:t>
            </w:r>
          </w:p>
        </w:tc>
      </w:tr>
      <w:tr w:rsidR="001D26E7" w:rsidRPr="00F614F9" w14:paraId="303B98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955571"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12FB80D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174,979,208.11</w:t>
            </w:r>
          </w:p>
        </w:tc>
        <w:tc>
          <w:tcPr>
            <w:tcW w:w="3213" w:type="dxa"/>
            <w:tcBorders>
              <w:top w:val="single" w:sz="2" w:space="0" w:color="auto"/>
              <w:left w:val="single" w:sz="2" w:space="0" w:color="auto"/>
              <w:bottom w:val="single" w:sz="2" w:space="0" w:color="auto"/>
              <w:right w:val="single" w:sz="2" w:space="0" w:color="auto"/>
            </w:tcBorders>
            <w:vAlign w:val="center"/>
          </w:tcPr>
          <w:p w14:paraId="558A285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183,513,368.43</w:t>
            </w:r>
          </w:p>
        </w:tc>
      </w:tr>
      <w:tr w:rsidR="001D26E7" w:rsidRPr="00F614F9" w14:paraId="7B7B6AB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61FDE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3F57B7A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1,656,960,815.44</w:t>
            </w:r>
          </w:p>
        </w:tc>
        <w:tc>
          <w:tcPr>
            <w:tcW w:w="3213" w:type="dxa"/>
            <w:tcBorders>
              <w:top w:val="single" w:sz="2" w:space="0" w:color="auto"/>
              <w:left w:val="single" w:sz="2" w:space="0" w:color="auto"/>
              <w:bottom w:val="single" w:sz="2" w:space="0" w:color="auto"/>
              <w:right w:val="single" w:sz="2" w:space="0" w:color="auto"/>
            </w:tcBorders>
            <w:vAlign w:val="center"/>
          </w:tcPr>
          <w:p w14:paraId="232C746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3,503,794,017.99</w:t>
            </w:r>
          </w:p>
        </w:tc>
      </w:tr>
      <w:tr w:rsidR="001D26E7" w:rsidRPr="00F614F9" w14:paraId="30418A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BAB92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3E5D63E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6,317,538,408.46</w:t>
            </w:r>
          </w:p>
        </w:tc>
        <w:tc>
          <w:tcPr>
            <w:tcW w:w="3213" w:type="dxa"/>
            <w:tcBorders>
              <w:top w:val="single" w:sz="2" w:space="0" w:color="auto"/>
              <w:left w:val="single" w:sz="2" w:space="0" w:color="auto"/>
              <w:bottom w:val="single" w:sz="2" w:space="0" w:color="auto"/>
              <w:right w:val="single" w:sz="2" w:space="0" w:color="auto"/>
            </w:tcBorders>
            <w:vAlign w:val="center"/>
          </w:tcPr>
          <w:p w14:paraId="1FCDABB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7,977,198,797.93</w:t>
            </w:r>
          </w:p>
        </w:tc>
      </w:tr>
    </w:tbl>
    <w:p w14:paraId="5D760BC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法定代表人：杨晓初</w:t>
      </w:r>
      <w:r w:rsidRPr="00F614F9">
        <w:rPr>
          <w:rFonts w:ascii="Times New Roman" w:eastAsia="宋体" w:hAnsi="Times New Roman" w:cs="宋体"/>
          <w:sz w:val="18"/>
          <w:szCs w:val="18"/>
        </w:rPr>
        <w:t xml:space="preserve">    </w:t>
      </w:r>
      <w:r w:rsidR="000441DC" w:rsidRPr="00F614F9">
        <w:rPr>
          <w:rFonts w:ascii="Times New Roman" w:eastAsia="宋体" w:hAnsi="Times New Roman" w:cs="宋体" w:hint="eastAsia"/>
          <w:sz w:val="18"/>
          <w:szCs w:val="18"/>
        </w:rPr>
        <w:t xml:space="preserve">                                     </w:t>
      </w:r>
      <w:r w:rsidRPr="00F614F9">
        <w:rPr>
          <w:rFonts w:ascii="Times New Roman" w:eastAsia="宋体" w:hAnsi="Times New Roman" w:cs="宋体"/>
          <w:sz w:val="18"/>
          <w:szCs w:val="18"/>
        </w:rPr>
        <w:t>主管会计工作负责人：</w:t>
      </w:r>
      <w:proofErr w:type="gramStart"/>
      <w:r w:rsidRPr="00F614F9">
        <w:rPr>
          <w:rFonts w:ascii="Times New Roman" w:eastAsia="宋体" w:hAnsi="Times New Roman" w:cs="宋体"/>
          <w:sz w:val="18"/>
          <w:szCs w:val="18"/>
        </w:rPr>
        <w:t>张凌</w:t>
      </w:r>
      <w:proofErr w:type="gramEnd"/>
      <w:r w:rsidR="000441DC" w:rsidRPr="00F614F9">
        <w:rPr>
          <w:rFonts w:ascii="Times New Roman" w:eastAsia="宋体" w:hAnsi="Times New Roman" w:cs="宋体"/>
          <w:sz w:val="18"/>
          <w:szCs w:val="18"/>
        </w:rPr>
        <w:t xml:space="preserve">    </w:t>
      </w:r>
      <w:r w:rsidR="000441DC" w:rsidRPr="00F614F9">
        <w:rPr>
          <w:rFonts w:ascii="Times New Roman" w:eastAsia="宋体" w:hAnsi="Times New Roman" w:cs="宋体" w:hint="eastAsia"/>
          <w:sz w:val="18"/>
          <w:szCs w:val="18"/>
        </w:rPr>
        <w:t xml:space="preserve">                                     </w:t>
      </w:r>
      <w:r w:rsidRPr="00F614F9">
        <w:rPr>
          <w:rFonts w:ascii="Times New Roman" w:eastAsia="宋体" w:hAnsi="Times New Roman" w:cs="宋体"/>
          <w:sz w:val="18"/>
          <w:szCs w:val="18"/>
        </w:rPr>
        <w:t>会计机构负责人：刘璐希</w:t>
      </w:r>
    </w:p>
    <w:p w14:paraId="14AF7597" w14:textId="77777777" w:rsidR="001D26E7" w:rsidRPr="00F614F9" w:rsidRDefault="00000000">
      <w:pPr>
        <w:pStyle w:val="3"/>
        <w:spacing w:line="280" w:lineRule="exact"/>
        <w:jc w:val="left"/>
        <w:rPr>
          <w:rFonts w:ascii="Times New Roman" w:hAnsi="Times New Roman" w:cs="宋体"/>
          <w:b/>
          <w:bCs/>
        </w:rPr>
      </w:pPr>
      <w:bookmarkStart w:id="237" w:name="_Toc989055"/>
      <w:r w:rsidRPr="00F614F9">
        <w:rPr>
          <w:rFonts w:ascii="Times New Roman" w:hAnsi="Times New Roman" w:cs="宋体"/>
          <w:b/>
          <w:bCs/>
        </w:rPr>
        <w:lastRenderedPageBreak/>
        <w:t>2</w:t>
      </w:r>
      <w:r w:rsidRPr="00F614F9">
        <w:rPr>
          <w:rFonts w:ascii="Times New Roman" w:hAnsi="Times New Roman" w:cs="宋体"/>
          <w:b/>
          <w:bCs/>
        </w:rPr>
        <w:t>、母公司资产负债表</w:t>
      </w:r>
      <w:bookmarkEnd w:id="237"/>
    </w:p>
    <w:p w14:paraId="2A3EEB9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632F88A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E0A92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C5A72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31</w:t>
            </w:r>
            <w:r w:rsidRPr="00F614F9">
              <w:rPr>
                <w:rFonts w:ascii="Times New Roman" w:eastAsia="宋体" w:hAnsi="Times New Roman" w:cs="宋体"/>
                <w:sz w:val="18"/>
                <w:szCs w:val="18"/>
              </w:rPr>
              <w:t>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A9DA7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日</w:t>
            </w:r>
          </w:p>
        </w:tc>
      </w:tr>
      <w:tr w:rsidR="001D26E7" w:rsidRPr="00F614F9" w14:paraId="3CE240D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9B7FE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86DB6C"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9C868B" w14:textId="77777777" w:rsidR="001D26E7" w:rsidRPr="00F614F9" w:rsidRDefault="001D26E7">
            <w:pPr>
              <w:rPr>
                <w:rFonts w:ascii="Times New Roman" w:hAnsi="Times New Roman"/>
              </w:rPr>
            </w:pPr>
          </w:p>
        </w:tc>
      </w:tr>
      <w:tr w:rsidR="001D26E7" w:rsidRPr="00F614F9" w14:paraId="2D738A7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DE3060"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3CF2BC8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769,507,974.83</w:t>
            </w:r>
          </w:p>
        </w:tc>
        <w:tc>
          <w:tcPr>
            <w:tcW w:w="3213" w:type="dxa"/>
            <w:tcBorders>
              <w:top w:val="single" w:sz="2" w:space="0" w:color="auto"/>
              <w:left w:val="single" w:sz="2" w:space="0" w:color="auto"/>
              <w:bottom w:val="single" w:sz="2" w:space="0" w:color="auto"/>
              <w:right w:val="single" w:sz="2" w:space="0" w:color="auto"/>
            </w:tcBorders>
            <w:vAlign w:val="center"/>
          </w:tcPr>
          <w:p w14:paraId="47373ED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475,797,627.63</w:t>
            </w:r>
          </w:p>
        </w:tc>
      </w:tr>
      <w:tr w:rsidR="001D26E7" w:rsidRPr="00F614F9" w14:paraId="4D07F6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94ADF5"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16E273F6"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8763A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31833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905831"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4D9432DB"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96FDA58"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64CAC4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70B4BF"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28D2C3F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162,341,021.98</w:t>
            </w:r>
          </w:p>
        </w:tc>
        <w:tc>
          <w:tcPr>
            <w:tcW w:w="3213" w:type="dxa"/>
            <w:tcBorders>
              <w:top w:val="single" w:sz="2" w:space="0" w:color="auto"/>
              <w:left w:val="single" w:sz="2" w:space="0" w:color="auto"/>
              <w:bottom w:val="single" w:sz="2" w:space="0" w:color="auto"/>
              <w:right w:val="single" w:sz="2" w:space="0" w:color="auto"/>
            </w:tcBorders>
            <w:vAlign w:val="center"/>
          </w:tcPr>
          <w:p w14:paraId="38B5175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41,340,000.00</w:t>
            </w:r>
          </w:p>
        </w:tc>
      </w:tr>
      <w:tr w:rsidR="001D26E7" w:rsidRPr="00F614F9" w14:paraId="1CFACE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794967"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4601BD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418,158,933.85</w:t>
            </w:r>
          </w:p>
        </w:tc>
        <w:tc>
          <w:tcPr>
            <w:tcW w:w="3213" w:type="dxa"/>
            <w:tcBorders>
              <w:top w:val="single" w:sz="2" w:space="0" w:color="auto"/>
              <w:left w:val="single" w:sz="2" w:space="0" w:color="auto"/>
              <w:bottom w:val="single" w:sz="2" w:space="0" w:color="auto"/>
              <w:right w:val="single" w:sz="2" w:space="0" w:color="auto"/>
            </w:tcBorders>
            <w:vAlign w:val="center"/>
          </w:tcPr>
          <w:p w14:paraId="4BD7483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401,088,855.57</w:t>
            </w:r>
          </w:p>
        </w:tc>
      </w:tr>
      <w:tr w:rsidR="001D26E7" w:rsidRPr="00F614F9" w14:paraId="78F5EA8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DE9614"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62305408"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3149DC8"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64C1D7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342ED1"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25F4CAB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143,706,489.30</w:t>
            </w:r>
          </w:p>
        </w:tc>
        <w:tc>
          <w:tcPr>
            <w:tcW w:w="3213" w:type="dxa"/>
            <w:tcBorders>
              <w:top w:val="single" w:sz="2" w:space="0" w:color="auto"/>
              <w:left w:val="single" w:sz="2" w:space="0" w:color="auto"/>
              <w:bottom w:val="single" w:sz="2" w:space="0" w:color="auto"/>
              <w:right w:val="single" w:sz="2" w:space="0" w:color="auto"/>
            </w:tcBorders>
            <w:vAlign w:val="center"/>
          </w:tcPr>
          <w:p w14:paraId="3B1095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17,754,882.20</w:t>
            </w:r>
          </w:p>
        </w:tc>
      </w:tr>
      <w:tr w:rsidR="001D26E7" w:rsidRPr="00F614F9" w14:paraId="3E0924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1245FA"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25135E1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517,607,684.10</w:t>
            </w:r>
          </w:p>
        </w:tc>
        <w:tc>
          <w:tcPr>
            <w:tcW w:w="3213" w:type="dxa"/>
            <w:tcBorders>
              <w:top w:val="single" w:sz="2" w:space="0" w:color="auto"/>
              <w:left w:val="single" w:sz="2" w:space="0" w:color="auto"/>
              <w:bottom w:val="single" w:sz="2" w:space="0" w:color="auto"/>
              <w:right w:val="single" w:sz="2" w:space="0" w:color="auto"/>
            </w:tcBorders>
            <w:vAlign w:val="center"/>
          </w:tcPr>
          <w:p w14:paraId="730C684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1,275,606,011.35</w:t>
            </w:r>
          </w:p>
        </w:tc>
      </w:tr>
      <w:tr w:rsidR="001D26E7" w:rsidRPr="00F614F9" w14:paraId="62462A8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D6223D"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54EC86D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10FD58D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3410C0C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DAC254" w14:textId="77777777" w:rsidR="001D26E7" w:rsidRPr="00F614F9" w:rsidRDefault="00000000">
            <w:pPr>
              <w:spacing w:before="40" w:after="40" w:line="240" w:lineRule="exact"/>
              <w:ind w:firstLineChars="500" w:firstLine="900"/>
              <w:rPr>
                <w:rFonts w:ascii="Times New Roman" w:eastAsia="宋体" w:hAnsi="Times New Roman" w:cs="宋体"/>
                <w:sz w:val="18"/>
                <w:szCs w:val="18"/>
              </w:rPr>
            </w:pPr>
            <w:r w:rsidRPr="00F614F9">
              <w:rPr>
                <w:rFonts w:ascii="Times New Roman" w:eastAsia="宋体" w:hAnsi="Times New Roman"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3B5DF45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2,240,000.00</w:t>
            </w:r>
          </w:p>
        </w:tc>
        <w:tc>
          <w:tcPr>
            <w:tcW w:w="3213" w:type="dxa"/>
            <w:tcBorders>
              <w:top w:val="single" w:sz="2" w:space="0" w:color="auto"/>
              <w:left w:val="single" w:sz="2" w:space="0" w:color="auto"/>
              <w:bottom w:val="single" w:sz="2" w:space="0" w:color="auto"/>
              <w:right w:val="single" w:sz="2" w:space="0" w:color="auto"/>
            </w:tcBorders>
            <w:vAlign w:val="center"/>
          </w:tcPr>
          <w:p w14:paraId="1E72C58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7D77C6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C09259"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53BB241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452,821,059.75</w:t>
            </w:r>
          </w:p>
        </w:tc>
        <w:tc>
          <w:tcPr>
            <w:tcW w:w="3213" w:type="dxa"/>
            <w:tcBorders>
              <w:top w:val="single" w:sz="2" w:space="0" w:color="auto"/>
              <w:left w:val="single" w:sz="2" w:space="0" w:color="auto"/>
              <w:bottom w:val="single" w:sz="2" w:space="0" w:color="auto"/>
              <w:right w:val="single" w:sz="2" w:space="0" w:color="auto"/>
            </w:tcBorders>
            <w:vAlign w:val="center"/>
          </w:tcPr>
          <w:p w14:paraId="4D6381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425,409,689.47</w:t>
            </w:r>
          </w:p>
        </w:tc>
      </w:tr>
      <w:tr w:rsidR="001D26E7" w:rsidRPr="00F614F9" w14:paraId="5F372F2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0DCAF0"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672F4F33"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CFE34A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E6830E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17E8DE"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274D6B5C"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01C72A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0DD647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294139"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4FB7F4BC"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349FA5"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EA460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6510A9"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683D09E5"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B18E15"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D8559E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1F495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024C4D1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2,464,143,163.81</w:t>
            </w:r>
          </w:p>
        </w:tc>
        <w:tc>
          <w:tcPr>
            <w:tcW w:w="3213" w:type="dxa"/>
            <w:tcBorders>
              <w:top w:val="single" w:sz="2" w:space="0" w:color="auto"/>
              <w:left w:val="single" w:sz="2" w:space="0" w:color="auto"/>
              <w:bottom w:val="single" w:sz="2" w:space="0" w:color="auto"/>
              <w:right w:val="single" w:sz="2" w:space="0" w:color="auto"/>
            </w:tcBorders>
            <w:vAlign w:val="center"/>
          </w:tcPr>
          <w:p w14:paraId="4435583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2,636,997,066.22</w:t>
            </w:r>
          </w:p>
        </w:tc>
      </w:tr>
      <w:tr w:rsidR="001D26E7" w:rsidRPr="00F614F9" w14:paraId="056E417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D68DF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112C86"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E5EAD1" w14:textId="77777777" w:rsidR="001D26E7" w:rsidRPr="00F614F9" w:rsidRDefault="001D26E7">
            <w:pPr>
              <w:rPr>
                <w:rFonts w:ascii="Times New Roman" w:hAnsi="Times New Roman"/>
              </w:rPr>
            </w:pPr>
          </w:p>
        </w:tc>
      </w:tr>
      <w:tr w:rsidR="001D26E7" w:rsidRPr="00F614F9" w14:paraId="340D29E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D28802"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34B8B8C0"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D9479B0"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272E12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0D825E"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394F4F3A"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29F404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665BEB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356A51"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183C7FA4"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3F984B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524E0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5268F1"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4C90C62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2,574,081,822.87</w:t>
            </w:r>
          </w:p>
        </w:tc>
        <w:tc>
          <w:tcPr>
            <w:tcW w:w="3213" w:type="dxa"/>
            <w:tcBorders>
              <w:top w:val="single" w:sz="2" w:space="0" w:color="auto"/>
              <w:left w:val="single" w:sz="2" w:space="0" w:color="auto"/>
              <w:bottom w:val="single" w:sz="2" w:space="0" w:color="auto"/>
              <w:right w:val="single" w:sz="2" w:space="0" w:color="auto"/>
            </w:tcBorders>
            <w:vAlign w:val="center"/>
          </w:tcPr>
          <w:p w14:paraId="690DE55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2,434,699,689.15</w:t>
            </w:r>
          </w:p>
        </w:tc>
      </w:tr>
      <w:tr w:rsidR="001D26E7" w:rsidRPr="00F614F9" w14:paraId="25B69DE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C74ACE"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328D828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79D61A2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r>
      <w:tr w:rsidR="001D26E7" w:rsidRPr="00F614F9" w14:paraId="0A95E81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D50022"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2B73084C"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7120D52"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332EC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F5AA60"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7295ED8D"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CC741C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850549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AE4EB0"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610D855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547,221,858.09</w:t>
            </w:r>
          </w:p>
        </w:tc>
        <w:tc>
          <w:tcPr>
            <w:tcW w:w="3213" w:type="dxa"/>
            <w:tcBorders>
              <w:top w:val="single" w:sz="2" w:space="0" w:color="auto"/>
              <w:left w:val="single" w:sz="2" w:space="0" w:color="auto"/>
              <w:bottom w:val="single" w:sz="2" w:space="0" w:color="auto"/>
              <w:right w:val="single" w:sz="2" w:space="0" w:color="auto"/>
            </w:tcBorders>
            <w:vAlign w:val="center"/>
          </w:tcPr>
          <w:p w14:paraId="5EC21FF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562,117,014.05</w:t>
            </w:r>
          </w:p>
        </w:tc>
      </w:tr>
      <w:tr w:rsidR="001D26E7" w:rsidRPr="00F614F9" w14:paraId="6FB8A9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CAF2BD"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30CEFF1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2,935,021.92</w:t>
            </w:r>
          </w:p>
        </w:tc>
        <w:tc>
          <w:tcPr>
            <w:tcW w:w="3213" w:type="dxa"/>
            <w:tcBorders>
              <w:top w:val="single" w:sz="2" w:space="0" w:color="auto"/>
              <w:left w:val="single" w:sz="2" w:space="0" w:color="auto"/>
              <w:bottom w:val="single" w:sz="2" w:space="0" w:color="auto"/>
              <w:right w:val="single" w:sz="2" w:space="0" w:color="auto"/>
            </w:tcBorders>
            <w:vAlign w:val="center"/>
          </w:tcPr>
          <w:p w14:paraId="101E268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3,883,381.13</w:t>
            </w:r>
          </w:p>
        </w:tc>
      </w:tr>
      <w:tr w:rsidR="001D26E7" w:rsidRPr="00F614F9" w14:paraId="618A0A8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4AECD7"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476CB212"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FF83EB2"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95A8B9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C3C5E7"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7C8BDA00"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C371CD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C17B1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A9389A"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03ED60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3,797,655.88</w:t>
            </w:r>
          </w:p>
        </w:tc>
        <w:tc>
          <w:tcPr>
            <w:tcW w:w="3213" w:type="dxa"/>
            <w:tcBorders>
              <w:top w:val="single" w:sz="2" w:space="0" w:color="auto"/>
              <w:left w:val="single" w:sz="2" w:space="0" w:color="auto"/>
              <w:bottom w:val="single" w:sz="2" w:space="0" w:color="auto"/>
              <w:right w:val="single" w:sz="2" w:space="0" w:color="auto"/>
            </w:tcBorders>
            <w:vAlign w:val="center"/>
          </w:tcPr>
          <w:p w14:paraId="44A0137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14,350,147.90</w:t>
            </w:r>
          </w:p>
        </w:tc>
      </w:tr>
      <w:tr w:rsidR="001D26E7" w:rsidRPr="00F614F9" w14:paraId="2B8A231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FE3302"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09F7A51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15,199,544.90</w:t>
            </w:r>
          </w:p>
        </w:tc>
        <w:tc>
          <w:tcPr>
            <w:tcW w:w="3213" w:type="dxa"/>
            <w:tcBorders>
              <w:top w:val="single" w:sz="2" w:space="0" w:color="auto"/>
              <w:left w:val="single" w:sz="2" w:space="0" w:color="auto"/>
              <w:bottom w:val="single" w:sz="2" w:space="0" w:color="auto"/>
              <w:right w:val="single" w:sz="2" w:space="0" w:color="auto"/>
            </w:tcBorders>
            <w:vAlign w:val="center"/>
          </w:tcPr>
          <w:p w14:paraId="7C8593F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14,978,952.71</w:t>
            </w:r>
          </w:p>
        </w:tc>
      </w:tr>
      <w:tr w:rsidR="001D26E7" w:rsidRPr="00F614F9" w14:paraId="463AB9B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708084"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0FFF4862"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F8897F7"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5345A6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F2A8C5"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594175DE"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F53997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AE77F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7DF7C4"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2F96F0D2"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CA1813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732,851.65</w:t>
            </w:r>
          </w:p>
        </w:tc>
      </w:tr>
      <w:tr w:rsidR="001D26E7" w:rsidRPr="00F614F9" w14:paraId="475AF09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081F18"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289DCBE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6,523,841.86</w:t>
            </w:r>
          </w:p>
        </w:tc>
        <w:tc>
          <w:tcPr>
            <w:tcW w:w="3213" w:type="dxa"/>
            <w:tcBorders>
              <w:top w:val="single" w:sz="2" w:space="0" w:color="auto"/>
              <w:left w:val="single" w:sz="2" w:space="0" w:color="auto"/>
              <w:bottom w:val="single" w:sz="2" w:space="0" w:color="auto"/>
              <w:right w:val="single" w:sz="2" w:space="0" w:color="auto"/>
            </w:tcBorders>
            <w:vAlign w:val="center"/>
          </w:tcPr>
          <w:p w14:paraId="48A39A1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37,795,318.74</w:t>
            </w:r>
          </w:p>
        </w:tc>
      </w:tr>
      <w:tr w:rsidR="001D26E7" w:rsidRPr="00F614F9" w14:paraId="5430A1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CBDBD2"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55BCC56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53,788,522.42</w:t>
            </w:r>
          </w:p>
        </w:tc>
        <w:tc>
          <w:tcPr>
            <w:tcW w:w="3213" w:type="dxa"/>
            <w:tcBorders>
              <w:top w:val="single" w:sz="2" w:space="0" w:color="auto"/>
              <w:left w:val="single" w:sz="2" w:space="0" w:color="auto"/>
              <w:bottom w:val="single" w:sz="2" w:space="0" w:color="auto"/>
              <w:right w:val="single" w:sz="2" w:space="0" w:color="auto"/>
            </w:tcBorders>
            <w:vAlign w:val="center"/>
          </w:tcPr>
          <w:p w14:paraId="45EDF08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123,620,910.65</w:t>
            </w:r>
          </w:p>
        </w:tc>
      </w:tr>
      <w:tr w:rsidR="001D26E7" w:rsidRPr="00F614F9" w14:paraId="60571B5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A67E3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56451B1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3,203,548,267.94</w:t>
            </w:r>
          </w:p>
        </w:tc>
        <w:tc>
          <w:tcPr>
            <w:tcW w:w="3213" w:type="dxa"/>
            <w:tcBorders>
              <w:top w:val="single" w:sz="2" w:space="0" w:color="auto"/>
              <w:left w:val="single" w:sz="2" w:space="0" w:color="auto"/>
              <w:bottom w:val="single" w:sz="2" w:space="0" w:color="auto"/>
              <w:right w:val="single" w:sz="2" w:space="0" w:color="auto"/>
            </w:tcBorders>
            <w:vAlign w:val="center"/>
          </w:tcPr>
          <w:p w14:paraId="342DE92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3,192,500,445.65</w:t>
            </w:r>
          </w:p>
        </w:tc>
      </w:tr>
      <w:tr w:rsidR="001D26E7" w:rsidRPr="00F614F9" w14:paraId="6B2F501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BFE69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44FD10F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5,667,691,431.75</w:t>
            </w:r>
          </w:p>
        </w:tc>
        <w:tc>
          <w:tcPr>
            <w:tcW w:w="3213" w:type="dxa"/>
            <w:tcBorders>
              <w:top w:val="single" w:sz="2" w:space="0" w:color="auto"/>
              <w:left w:val="single" w:sz="2" w:space="0" w:color="auto"/>
              <w:bottom w:val="single" w:sz="2" w:space="0" w:color="auto"/>
              <w:right w:val="single" w:sz="2" w:space="0" w:color="auto"/>
            </w:tcBorders>
            <w:vAlign w:val="center"/>
          </w:tcPr>
          <w:p w14:paraId="3B8151E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5,829,497,511.87</w:t>
            </w:r>
          </w:p>
        </w:tc>
      </w:tr>
      <w:tr w:rsidR="001D26E7" w:rsidRPr="00F614F9" w14:paraId="0EBFD6C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20B8B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5BBC45"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5270D7" w14:textId="77777777" w:rsidR="001D26E7" w:rsidRPr="00F614F9" w:rsidRDefault="001D26E7">
            <w:pPr>
              <w:rPr>
                <w:rFonts w:ascii="Times New Roman" w:hAnsi="Times New Roman"/>
              </w:rPr>
            </w:pPr>
          </w:p>
        </w:tc>
      </w:tr>
      <w:tr w:rsidR="001D26E7" w:rsidRPr="00F614F9" w14:paraId="6F20340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9F4EB5"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lastRenderedPageBreak/>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2A9B5B5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732,087,132.24</w:t>
            </w:r>
          </w:p>
        </w:tc>
        <w:tc>
          <w:tcPr>
            <w:tcW w:w="3213" w:type="dxa"/>
            <w:tcBorders>
              <w:top w:val="single" w:sz="2" w:space="0" w:color="auto"/>
              <w:left w:val="single" w:sz="2" w:space="0" w:color="auto"/>
              <w:bottom w:val="single" w:sz="2" w:space="0" w:color="auto"/>
              <w:right w:val="single" w:sz="2" w:space="0" w:color="auto"/>
            </w:tcBorders>
            <w:vAlign w:val="center"/>
          </w:tcPr>
          <w:p w14:paraId="250C979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662,602,309.73</w:t>
            </w:r>
          </w:p>
        </w:tc>
      </w:tr>
      <w:tr w:rsidR="001D26E7" w:rsidRPr="00F614F9" w14:paraId="69A190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79B967"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75CA86CC"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5A22CE7"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6089E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26FA14"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5054B884"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D37857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8738F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AB9335"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683B143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260,500,000.00</w:t>
            </w:r>
          </w:p>
        </w:tc>
        <w:tc>
          <w:tcPr>
            <w:tcW w:w="3213" w:type="dxa"/>
            <w:tcBorders>
              <w:top w:val="single" w:sz="2" w:space="0" w:color="auto"/>
              <w:left w:val="single" w:sz="2" w:space="0" w:color="auto"/>
              <w:bottom w:val="single" w:sz="2" w:space="0" w:color="auto"/>
              <w:right w:val="single" w:sz="2" w:space="0" w:color="auto"/>
            </w:tcBorders>
            <w:vAlign w:val="center"/>
          </w:tcPr>
          <w:p w14:paraId="3D82A7F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330,800,000.00</w:t>
            </w:r>
          </w:p>
        </w:tc>
      </w:tr>
      <w:tr w:rsidR="001D26E7" w:rsidRPr="00F614F9" w14:paraId="436EEE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4EF52A"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4420301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604,546,537.30</w:t>
            </w:r>
          </w:p>
        </w:tc>
        <w:tc>
          <w:tcPr>
            <w:tcW w:w="3213" w:type="dxa"/>
            <w:tcBorders>
              <w:top w:val="single" w:sz="2" w:space="0" w:color="auto"/>
              <w:left w:val="single" w:sz="2" w:space="0" w:color="auto"/>
              <w:bottom w:val="single" w:sz="2" w:space="0" w:color="auto"/>
              <w:right w:val="single" w:sz="2" w:space="0" w:color="auto"/>
            </w:tcBorders>
            <w:vAlign w:val="center"/>
          </w:tcPr>
          <w:p w14:paraId="21E0AD8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478,296,724.48</w:t>
            </w:r>
          </w:p>
        </w:tc>
      </w:tr>
      <w:tr w:rsidR="001D26E7" w:rsidRPr="00F614F9" w14:paraId="1AAFE5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D22D0F"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47175C2F"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63858B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D81E3E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F9DB3A"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545C354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362,846,722.58</w:t>
            </w:r>
          </w:p>
        </w:tc>
        <w:tc>
          <w:tcPr>
            <w:tcW w:w="3213" w:type="dxa"/>
            <w:tcBorders>
              <w:top w:val="single" w:sz="2" w:space="0" w:color="auto"/>
              <w:left w:val="single" w:sz="2" w:space="0" w:color="auto"/>
              <w:bottom w:val="single" w:sz="2" w:space="0" w:color="auto"/>
              <w:right w:val="single" w:sz="2" w:space="0" w:color="auto"/>
            </w:tcBorders>
            <w:vAlign w:val="center"/>
          </w:tcPr>
          <w:p w14:paraId="7074021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131,662,429.51</w:t>
            </w:r>
          </w:p>
        </w:tc>
      </w:tr>
      <w:tr w:rsidR="001D26E7" w:rsidRPr="00F614F9" w14:paraId="6320388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111F4F"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0AEB065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18,301,412.45</w:t>
            </w:r>
          </w:p>
        </w:tc>
        <w:tc>
          <w:tcPr>
            <w:tcW w:w="3213" w:type="dxa"/>
            <w:tcBorders>
              <w:top w:val="single" w:sz="2" w:space="0" w:color="auto"/>
              <w:left w:val="single" w:sz="2" w:space="0" w:color="auto"/>
              <w:bottom w:val="single" w:sz="2" w:space="0" w:color="auto"/>
              <w:right w:val="single" w:sz="2" w:space="0" w:color="auto"/>
            </w:tcBorders>
            <w:vAlign w:val="center"/>
          </w:tcPr>
          <w:p w14:paraId="755F467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17,494,239.07</w:t>
            </w:r>
          </w:p>
        </w:tc>
      </w:tr>
      <w:tr w:rsidR="001D26E7" w:rsidRPr="00F614F9" w14:paraId="66147D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25441E"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3EB3322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2,188,976.63</w:t>
            </w:r>
          </w:p>
        </w:tc>
        <w:tc>
          <w:tcPr>
            <w:tcW w:w="3213" w:type="dxa"/>
            <w:tcBorders>
              <w:top w:val="single" w:sz="2" w:space="0" w:color="auto"/>
              <w:left w:val="single" w:sz="2" w:space="0" w:color="auto"/>
              <w:bottom w:val="single" w:sz="2" w:space="0" w:color="auto"/>
              <w:right w:val="single" w:sz="2" w:space="0" w:color="auto"/>
            </w:tcBorders>
            <w:vAlign w:val="center"/>
          </w:tcPr>
          <w:p w14:paraId="7B96DFC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2,092,457.20</w:t>
            </w:r>
          </w:p>
        </w:tc>
      </w:tr>
      <w:tr w:rsidR="001D26E7" w:rsidRPr="00F614F9" w14:paraId="694C63D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277879"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74458D2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1,041,844,490.88</w:t>
            </w:r>
          </w:p>
        </w:tc>
        <w:tc>
          <w:tcPr>
            <w:tcW w:w="3213" w:type="dxa"/>
            <w:tcBorders>
              <w:top w:val="single" w:sz="2" w:space="0" w:color="auto"/>
              <w:left w:val="single" w:sz="2" w:space="0" w:color="auto"/>
              <w:bottom w:val="single" w:sz="2" w:space="0" w:color="auto"/>
              <w:right w:val="single" w:sz="2" w:space="0" w:color="auto"/>
            </w:tcBorders>
            <w:vAlign w:val="center"/>
          </w:tcPr>
          <w:p w14:paraId="2B43F64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400,820,214.78</w:t>
            </w:r>
          </w:p>
        </w:tc>
      </w:tr>
      <w:tr w:rsidR="001D26E7" w:rsidRPr="00F614F9" w14:paraId="241A40C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9F7C69"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2B74964C"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2B6A665"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51A81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3465E5" w14:textId="77777777" w:rsidR="001D26E7" w:rsidRPr="00F614F9" w:rsidRDefault="00000000">
            <w:pPr>
              <w:spacing w:before="40" w:after="40" w:line="240" w:lineRule="exact"/>
              <w:ind w:firstLineChars="500" w:firstLine="900"/>
              <w:rPr>
                <w:rFonts w:ascii="Times New Roman" w:eastAsia="宋体" w:hAnsi="Times New Roman" w:cs="宋体"/>
                <w:sz w:val="18"/>
                <w:szCs w:val="18"/>
              </w:rPr>
            </w:pPr>
            <w:r w:rsidRPr="00F614F9">
              <w:rPr>
                <w:rFonts w:ascii="Times New Roman" w:eastAsia="宋体" w:hAnsi="Times New Roman"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5B35B3DE"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4235E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391B2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F0DB14"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27113B73"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B22728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ED3C6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6FA348"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30D7C1D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171,319,293.96</w:t>
            </w:r>
          </w:p>
        </w:tc>
        <w:tc>
          <w:tcPr>
            <w:tcW w:w="3213" w:type="dxa"/>
            <w:tcBorders>
              <w:top w:val="single" w:sz="2" w:space="0" w:color="auto"/>
              <w:left w:val="single" w:sz="2" w:space="0" w:color="auto"/>
              <w:bottom w:val="single" w:sz="2" w:space="0" w:color="auto"/>
              <w:right w:val="single" w:sz="2" w:space="0" w:color="auto"/>
            </w:tcBorders>
            <w:vAlign w:val="center"/>
          </w:tcPr>
          <w:p w14:paraId="603365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138,047,445.67</w:t>
            </w:r>
          </w:p>
        </w:tc>
      </w:tr>
      <w:tr w:rsidR="001D26E7" w:rsidRPr="00F614F9" w14:paraId="4215676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7F7674"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6DF005E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32,656,205.03</w:t>
            </w:r>
          </w:p>
        </w:tc>
        <w:tc>
          <w:tcPr>
            <w:tcW w:w="3213" w:type="dxa"/>
            <w:tcBorders>
              <w:top w:val="single" w:sz="2" w:space="0" w:color="auto"/>
              <w:left w:val="single" w:sz="2" w:space="0" w:color="auto"/>
              <w:bottom w:val="single" w:sz="2" w:space="0" w:color="auto"/>
              <w:right w:val="single" w:sz="2" w:space="0" w:color="auto"/>
            </w:tcBorders>
            <w:vAlign w:val="center"/>
          </w:tcPr>
          <w:p w14:paraId="2C1F268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11,849,618.66</w:t>
            </w:r>
          </w:p>
        </w:tc>
      </w:tr>
      <w:tr w:rsidR="001D26E7" w:rsidRPr="00F614F9" w14:paraId="3451071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2C9EE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2CD8DE8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3,226,290,771.07</w:t>
            </w:r>
          </w:p>
        </w:tc>
        <w:tc>
          <w:tcPr>
            <w:tcW w:w="3213" w:type="dxa"/>
            <w:tcBorders>
              <w:top w:val="single" w:sz="2" w:space="0" w:color="auto"/>
              <w:left w:val="single" w:sz="2" w:space="0" w:color="auto"/>
              <w:bottom w:val="single" w:sz="2" w:space="0" w:color="auto"/>
              <w:right w:val="single" w:sz="2" w:space="0" w:color="auto"/>
            </w:tcBorders>
            <w:vAlign w:val="center"/>
          </w:tcPr>
          <w:p w14:paraId="16DCEBD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2,173,665,439.10</w:t>
            </w:r>
          </w:p>
        </w:tc>
      </w:tr>
      <w:tr w:rsidR="001D26E7" w:rsidRPr="00F614F9" w14:paraId="5DC7D1B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8A426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22D1C6"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D656AB" w14:textId="77777777" w:rsidR="001D26E7" w:rsidRPr="00F614F9" w:rsidRDefault="001D26E7">
            <w:pPr>
              <w:rPr>
                <w:rFonts w:ascii="Times New Roman" w:hAnsi="Times New Roman"/>
              </w:rPr>
            </w:pPr>
          </w:p>
        </w:tc>
      </w:tr>
      <w:tr w:rsidR="001D26E7" w:rsidRPr="00F614F9" w14:paraId="00932F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C5FDA0"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279FC54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94,500,000.00</w:t>
            </w:r>
          </w:p>
        </w:tc>
        <w:tc>
          <w:tcPr>
            <w:tcW w:w="3213" w:type="dxa"/>
            <w:tcBorders>
              <w:top w:val="single" w:sz="2" w:space="0" w:color="auto"/>
              <w:left w:val="single" w:sz="2" w:space="0" w:color="auto"/>
              <w:bottom w:val="single" w:sz="2" w:space="0" w:color="auto"/>
              <w:right w:val="single" w:sz="2" w:space="0" w:color="auto"/>
            </w:tcBorders>
            <w:vAlign w:val="center"/>
          </w:tcPr>
          <w:p w14:paraId="3760330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157,500,000.00</w:t>
            </w:r>
          </w:p>
        </w:tc>
      </w:tr>
      <w:tr w:rsidR="001D26E7" w:rsidRPr="00F614F9" w14:paraId="3400B9B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98AAEF"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60E2574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899,039,265.74</w:t>
            </w:r>
          </w:p>
        </w:tc>
        <w:tc>
          <w:tcPr>
            <w:tcW w:w="3213" w:type="dxa"/>
            <w:tcBorders>
              <w:top w:val="single" w:sz="2" w:space="0" w:color="auto"/>
              <w:left w:val="single" w:sz="2" w:space="0" w:color="auto"/>
              <w:bottom w:val="single" w:sz="2" w:space="0" w:color="auto"/>
              <w:right w:val="single" w:sz="2" w:space="0" w:color="auto"/>
            </w:tcBorders>
            <w:vAlign w:val="center"/>
          </w:tcPr>
          <w:p w14:paraId="663C57C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860,965,824.90</w:t>
            </w:r>
          </w:p>
        </w:tc>
      </w:tr>
      <w:tr w:rsidR="001D26E7" w:rsidRPr="00F614F9" w14:paraId="6D1362A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E0CF49"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3D7CF365"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D92354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82D1B9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BC636E" w14:textId="77777777" w:rsidR="001D26E7" w:rsidRPr="00F614F9" w:rsidRDefault="00000000">
            <w:pPr>
              <w:spacing w:before="40" w:after="40" w:line="240" w:lineRule="exact"/>
              <w:ind w:firstLineChars="500" w:firstLine="900"/>
              <w:rPr>
                <w:rFonts w:ascii="Times New Roman" w:eastAsia="宋体" w:hAnsi="Times New Roman" w:cs="宋体"/>
                <w:sz w:val="18"/>
                <w:szCs w:val="18"/>
              </w:rPr>
            </w:pPr>
            <w:r w:rsidRPr="00F614F9">
              <w:rPr>
                <w:rFonts w:ascii="Times New Roman" w:eastAsia="宋体" w:hAnsi="Times New Roman"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253F46CF"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8C307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96D0B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87D361"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26C52F8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278,799.21</w:t>
            </w:r>
          </w:p>
        </w:tc>
        <w:tc>
          <w:tcPr>
            <w:tcW w:w="3213" w:type="dxa"/>
            <w:tcBorders>
              <w:top w:val="single" w:sz="2" w:space="0" w:color="auto"/>
              <w:left w:val="single" w:sz="2" w:space="0" w:color="auto"/>
              <w:bottom w:val="single" w:sz="2" w:space="0" w:color="auto"/>
              <w:right w:val="single" w:sz="2" w:space="0" w:color="auto"/>
            </w:tcBorders>
            <w:vAlign w:val="center"/>
          </w:tcPr>
          <w:p w14:paraId="75BDB24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6,584,250.18</w:t>
            </w:r>
          </w:p>
        </w:tc>
      </w:tr>
      <w:tr w:rsidR="001D26E7" w:rsidRPr="00F614F9" w14:paraId="2178E1A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6EB373"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2CE7196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239,970,867.01</w:t>
            </w:r>
          </w:p>
        </w:tc>
        <w:tc>
          <w:tcPr>
            <w:tcW w:w="3213" w:type="dxa"/>
            <w:tcBorders>
              <w:top w:val="single" w:sz="2" w:space="0" w:color="auto"/>
              <w:left w:val="single" w:sz="2" w:space="0" w:color="auto"/>
              <w:bottom w:val="single" w:sz="2" w:space="0" w:color="auto"/>
              <w:right w:val="single" w:sz="2" w:space="0" w:color="auto"/>
            </w:tcBorders>
            <w:vAlign w:val="center"/>
          </w:tcPr>
          <w:p w14:paraId="38C610A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302,600,000.00</w:t>
            </w:r>
          </w:p>
        </w:tc>
      </w:tr>
      <w:tr w:rsidR="001D26E7" w:rsidRPr="00F614F9" w14:paraId="6F3EED0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74C1F8"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5B4210D2"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08C3E4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00E784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183CAC"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28DC7A90"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D56A541"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2725D5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28B7BE"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131DFBB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15,695,965.89</w:t>
            </w:r>
          </w:p>
        </w:tc>
        <w:tc>
          <w:tcPr>
            <w:tcW w:w="3213" w:type="dxa"/>
            <w:tcBorders>
              <w:top w:val="single" w:sz="2" w:space="0" w:color="auto"/>
              <w:left w:val="single" w:sz="2" w:space="0" w:color="auto"/>
              <w:bottom w:val="single" w:sz="2" w:space="0" w:color="auto"/>
              <w:right w:val="single" w:sz="2" w:space="0" w:color="auto"/>
            </w:tcBorders>
            <w:vAlign w:val="center"/>
          </w:tcPr>
          <w:p w14:paraId="004E99E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17,309,965.85</w:t>
            </w:r>
          </w:p>
        </w:tc>
      </w:tr>
      <w:tr w:rsidR="001D26E7" w:rsidRPr="00F614F9" w14:paraId="0BA1BF5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740EE7"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776C8789"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9887E3"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54B0A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366F6E"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5E5DAE58"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AF64893"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E9F9FB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E7DE9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7C53DA5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1,249,484,897.85</w:t>
            </w:r>
          </w:p>
        </w:tc>
        <w:tc>
          <w:tcPr>
            <w:tcW w:w="3213" w:type="dxa"/>
            <w:tcBorders>
              <w:top w:val="single" w:sz="2" w:space="0" w:color="auto"/>
              <w:left w:val="single" w:sz="2" w:space="0" w:color="auto"/>
              <w:bottom w:val="single" w:sz="2" w:space="0" w:color="auto"/>
              <w:right w:val="single" w:sz="2" w:space="0" w:color="auto"/>
            </w:tcBorders>
            <w:vAlign w:val="center"/>
          </w:tcPr>
          <w:p w14:paraId="37ED1DD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1,344,960,040.93</w:t>
            </w:r>
          </w:p>
        </w:tc>
      </w:tr>
      <w:tr w:rsidR="001D26E7" w:rsidRPr="00F614F9" w14:paraId="11DAB8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BE458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5A7E526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4,475,775,668.92</w:t>
            </w:r>
          </w:p>
        </w:tc>
        <w:tc>
          <w:tcPr>
            <w:tcW w:w="3213" w:type="dxa"/>
            <w:tcBorders>
              <w:top w:val="single" w:sz="2" w:space="0" w:color="auto"/>
              <w:left w:val="single" w:sz="2" w:space="0" w:color="auto"/>
              <w:bottom w:val="single" w:sz="2" w:space="0" w:color="auto"/>
              <w:right w:val="single" w:sz="2" w:space="0" w:color="auto"/>
            </w:tcBorders>
            <w:vAlign w:val="center"/>
          </w:tcPr>
          <w:p w14:paraId="3B2B940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3,518,625,480.03</w:t>
            </w:r>
          </w:p>
        </w:tc>
      </w:tr>
      <w:tr w:rsidR="001D26E7" w:rsidRPr="00F614F9" w14:paraId="25E279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DB0B5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4F3399"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7B1506" w14:textId="77777777" w:rsidR="001D26E7" w:rsidRPr="00F614F9" w:rsidRDefault="001D26E7">
            <w:pPr>
              <w:rPr>
                <w:rFonts w:ascii="Times New Roman" w:hAnsi="Times New Roman"/>
              </w:rPr>
            </w:pPr>
          </w:p>
        </w:tc>
      </w:tr>
      <w:tr w:rsidR="001D26E7" w:rsidRPr="00F614F9" w14:paraId="5D8C6C6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6E036B"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2386286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1,079,159,832.00</w:t>
            </w:r>
          </w:p>
        </w:tc>
        <w:tc>
          <w:tcPr>
            <w:tcW w:w="3213" w:type="dxa"/>
            <w:tcBorders>
              <w:top w:val="single" w:sz="2" w:space="0" w:color="auto"/>
              <w:left w:val="single" w:sz="2" w:space="0" w:color="auto"/>
              <w:bottom w:val="single" w:sz="2" w:space="0" w:color="auto"/>
              <w:right w:val="single" w:sz="2" w:space="0" w:color="auto"/>
            </w:tcBorders>
            <w:vAlign w:val="center"/>
          </w:tcPr>
          <w:p w14:paraId="6CC85C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1,079,128,488.00</w:t>
            </w:r>
          </w:p>
        </w:tc>
      </w:tr>
      <w:tr w:rsidR="001D26E7" w:rsidRPr="00F614F9" w14:paraId="6144D13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274E68"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51F7E55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171,570,881.98</w:t>
            </w:r>
          </w:p>
        </w:tc>
        <w:tc>
          <w:tcPr>
            <w:tcW w:w="3213" w:type="dxa"/>
            <w:tcBorders>
              <w:top w:val="single" w:sz="2" w:space="0" w:color="auto"/>
              <w:left w:val="single" w:sz="2" w:space="0" w:color="auto"/>
              <w:bottom w:val="single" w:sz="2" w:space="0" w:color="auto"/>
              <w:right w:val="single" w:sz="2" w:space="0" w:color="auto"/>
            </w:tcBorders>
            <w:vAlign w:val="center"/>
          </w:tcPr>
          <w:p w14:paraId="2E251FE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171,571,679.93</w:t>
            </w:r>
          </w:p>
        </w:tc>
      </w:tr>
      <w:tr w:rsidR="001D26E7" w:rsidRPr="00F614F9" w14:paraId="4D478BE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1AA942" w14:textId="77777777" w:rsidR="001D26E7" w:rsidRPr="00F614F9" w:rsidRDefault="00000000">
            <w:pPr>
              <w:spacing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21DC1C00"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42AE95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8D0F09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CFAF3B" w14:textId="77777777" w:rsidR="001D26E7" w:rsidRPr="00F614F9" w:rsidRDefault="00000000">
            <w:pPr>
              <w:spacing w:line="240" w:lineRule="exact"/>
              <w:ind w:firstLineChars="500" w:firstLine="900"/>
              <w:rPr>
                <w:rFonts w:ascii="Times New Roman" w:eastAsia="宋体" w:hAnsi="Times New Roman" w:cs="宋体"/>
                <w:sz w:val="18"/>
                <w:szCs w:val="18"/>
              </w:rPr>
            </w:pPr>
            <w:r w:rsidRPr="00F614F9">
              <w:rPr>
                <w:rFonts w:ascii="Times New Roman" w:eastAsia="宋体" w:hAnsi="Times New Roman"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568243BF"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6DE401"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8D1520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AB0F8C"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3780524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830,435,511.92</w:t>
            </w:r>
          </w:p>
        </w:tc>
        <w:tc>
          <w:tcPr>
            <w:tcW w:w="3213" w:type="dxa"/>
            <w:tcBorders>
              <w:top w:val="single" w:sz="2" w:space="0" w:color="auto"/>
              <w:left w:val="single" w:sz="2" w:space="0" w:color="auto"/>
              <w:bottom w:val="single" w:sz="2" w:space="0" w:color="auto"/>
              <w:right w:val="single" w:sz="2" w:space="0" w:color="auto"/>
            </w:tcBorders>
            <w:vAlign w:val="center"/>
          </w:tcPr>
          <w:p w14:paraId="50E0BD7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830,246,509.95</w:t>
            </w:r>
          </w:p>
        </w:tc>
      </w:tr>
      <w:tr w:rsidR="001D26E7" w:rsidRPr="00F614F9" w14:paraId="00084E8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43A6AF"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4B5E7BD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330,025,083.29</w:t>
            </w:r>
          </w:p>
        </w:tc>
        <w:tc>
          <w:tcPr>
            <w:tcW w:w="3213" w:type="dxa"/>
            <w:tcBorders>
              <w:top w:val="single" w:sz="2" w:space="0" w:color="auto"/>
              <w:left w:val="single" w:sz="2" w:space="0" w:color="auto"/>
              <w:bottom w:val="single" w:sz="2" w:space="0" w:color="auto"/>
              <w:right w:val="single" w:sz="2" w:space="0" w:color="auto"/>
            </w:tcBorders>
            <w:vAlign w:val="center"/>
          </w:tcPr>
          <w:p w14:paraId="02C2A38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37,244,672.24</w:t>
            </w:r>
          </w:p>
        </w:tc>
      </w:tr>
      <w:tr w:rsidR="001D26E7" w:rsidRPr="00F614F9" w14:paraId="39073DF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B88A40"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179C8C7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-12,100,000.00</w:t>
            </w:r>
          </w:p>
        </w:tc>
        <w:tc>
          <w:tcPr>
            <w:tcW w:w="3213" w:type="dxa"/>
            <w:tcBorders>
              <w:top w:val="single" w:sz="2" w:space="0" w:color="auto"/>
              <w:left w:val="single" w:sz="2" w:space="0" w:color="auto"/>
              <w:bottom w:val="single" w:sz="2" w:space="0" w:color="auto"/>
              <w:right w:val="single" w:sz="2" w:space="0" w:color="auto"/>
            </w:tcBorders>
            <w:vAlign w:val="center"/>
          </w:tcPr>
          <w:p w14:paraId="6BC67F1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-11,777,820.33</w:t>
            </w:r>
          </w:p>
        </w:tc>
      </w:tr>
      <w:tr w:rsidR="001D26E7" w:rsidRPr="00F614F9" w14:paraId="6DF0772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E23DF8"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3370473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7569911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522E7B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17CB71"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54E4716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263,717,929.16</w:t>
            </w:r>
          </w:p>
        </w:tc>
        <w:tc>
          <w:tcPr>
            <w:tcW w:w="3213" w:type="dxa"/>
            <w:tcBorders>
              <w:top w:val="single" w:sz="2" w:space="0" w:color="auto"/>
              <w:left w:val="single" w:sz="2" w:space="0" w:color="auto"/>
              <w:bottom w:val="single" w:sz="2" w:space="0" w:color="auto"/>
              <w:right w:val="single" w:sz="2" w:space="0" w:color="auto"/>
            </w:tcBorders>
            <w:vAlign w:val="center"/>
          </w:tcPr>
          <w:p w14:paraId="5ADFAE4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263,717,929.16</w:t>
            </w:r>
          </w:p>
        </w:tc>
      </w:tr>
      <w:tr w:rsidR="001D26E7" w:rsidRPr="00F614F9" w14:paraId="31B05F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4C0639"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6B97992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-810,843,308.94</w:t>
            </w:r>
          </w:p>
        </w:tc>
        <w:tc>
          <w:tcPr>
            <w:tcW w:w="3213" w:type="dxa"/>
            <w:tcBorders>
              <w:top w:val="single" w:sz="2" w:space="0" w:color="auto"/>
              <w:left w:val="single" w:sz="2" w:space="0" w:color="auto"/>
              <w:bottom w:val="single" w:sz="2" w:space="0" w:color="auto"/>
              <w:right w:val="single" w:sz="2" w:space="0" w:color="auto"/>
            </w:tcBorders>
            <w:vAlign w:val="center"/>
          </w:tcPr>
          <w:p w14:paraId="31DACB2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15,229,917.37</w:t>
            </w:r>
          </w:p>
        </w:tc>
      </w:tr>
      <w:tr w:rsidR="001D26E7" w:rsidRPr="00F614F9" w14:paraId="63D1D4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45C9E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4E60233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1,191,915,762.83</w:t>
            </w:r>
          </w:p>
        </w:tc>
        <w:tc>
          <w:tcPr>
            <w:tcW w:w="3213" w:type="dxa"/>
            <w:tcBorders>
              <w:top w:val="single" w:sz="2" w:space="0" w:color="auto"/>
              <w:left w:val="single" w:sz="2" w:space="0" w:color="auto"/>
              <w:bottom w:val="single" w:sz="2" w:space="0" w:color="auto"/>
              <w:right w:val="single" w:sz="2" w:space="0" w:color="auto"/>
            </w:tcBorders>
            <w:vAlign w:val="center"/>
          </w:tcPr>
          <w:p w14:paraId="593510C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2,310,872,031.84</w:t>
            </w:r>
          </w:p>
        </w:tc>
      </w:tr>
      <w:tr w:rsidR="001D26E7" w:rsidRPr="00F614F9" w14:paraId="1F69AE6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C85DF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38C88C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5,667,691,431.75</w:t>
            </w:r>
          </w:p>
        </w:tc>
        <w:tc>
          <w:tcPr>
            <w:tcW w:w="3213" w:type="dxa"/>
            <w:tcBorders>
              <w:top w:val="single" w:sz="2" w:space="0" w:color="auto"/>
              <w:left w:val="single" w:sz="2" w:space="0" w:color="auto"/>
              <w:bottom w:val="single" w:sz="2" w:space="0" w:color="auto"/>
              <w:right w:val="single" w:sz="2" w:space="0" w:color="auto"/>
            </w:tcBorders>
            <w:vAlign w:val="center"/>
          </w:tcPr>
          <w:p w14:paraId="00D5A6B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5,829,497,511.87</w:t>
            </w:r>
          </w:p>
        </w:tc>
      </w:tr>
    </w:tbl>
    <w:p w14:paraId="34543275" w14:textId="77777777" w:rsidR="001D26E7" w:rsidRPr="00F614F9" w:rsidRDefault="00000000">
      <w:pPr>
        <w:pStyle w:val="3"/>
        <w:spacing w:line="280" w:lineRule="exact"/>
        <w:jc w:val="left"/>
        <w:rPr>
          <w:rFonts w:ascii="Times New Roman" w:hAnsi="Times New Roman" w:cs="宋体"/>
          <w:b/>
          <w:bCs/>
        </w:rPr>
      </w:pPr>
      <w:bookmarkStart w:id="238" w:name="_Toc989056"/>
      <w:r w:rsidRPr="00F614F9">
        <w:rPr>
          <w:rFonts w:ascii="Times New Roman" w:hAnsi="Times New Roman" w:cs="宋体"/>
          <w:b/>
          <w:bCs/>
        </w:rPr>
        <w:lastRenderedPageBreak/>
        <w:t>3</w:t>
      </w:r>
      <w:r w:rsidRPr="00F614F9">
        <w:rPr>
          <w:rFonts w:ascii="Times New Roman" w:hAnsi="Times New Roman" w:cs="宋体"/>
          <w:b/>
          <w:bCs/>
        </w:rPr>
        <w:t>、合并利润表</w:t>
      </w:r>
      <w:bookmarkEnd w:id="238"/>
    </w:p>
    <w:p w14:paraId="1D2088B6"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35E57D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2973E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50A64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07877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年度</w:t>
            </w:r>
          </w:p>
        </w:tc>
      </w:tr>
      <w:tr w:rsidR="001D26E7" w:rsidRPr="00F614F9" w14:paraId="079B52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FD659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14:paraId="772EA06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13,318,473,211.90</w:t>
            </w:r>
          </w:p>
        </w:tc>
        <w:tc>
          <w:tcPr>
            <w:tcW w:w="3213" w:type="dxa"/>
            <w:tcBorders>
              <w:top w:val="single" w:sz="2" w:space="0" w:color="auto"/>
              <w:left w:val="single" w:sz="2" w:space="0" w:color="auto"/>
              <w:bottom w:val="single" w:sz="2" w:space="0" w:color="auto"/>
              <w:right w:val="single" w:sz="2" w:space="0" w:color="auto"/>
            </w:tcBorders>
            <w:vAlign w:val="center"/>
          </w:tcPr>
          <w:p w14:paraId="52CC6DC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16,116,307,059.41</w:t>
            </w:r>
          </w:p>
        </w:tc>
      </w:tr>
      <w:tr w:rsidR="001D26E7" w:rsidRPr="00F614F9" w14:paraId="6D5D44B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CA9D01"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14:paraId="33F60FF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13,318,473,211.90</w:t>
            </w:r>
          </w:p>
        </w:tc>
        <w:tc>
          <w:tcPr>
            <w:tcW w:w="3213" w:type="dxa"/>
            <w:tcBorders>
              <w:top w:val="single" w:sz="2" w:space="0" w:color="auto"/>
              <w:left w:val="single" w:sz="2" w:space="0" w:color="auto"/>
              <w:bottom w:val="single" w:sz="2" w:space="0" w:color="auto"/>
              <w:right w:val="single" w:sz="2" w:space="0" w:color="auto"/>
            </w:tcBorders>
            <w:vAlign w:val="center"/>
          </w:tcPr>
          <w:p w14:paraId="01CE960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16,116,307,059.41</w:t>
            </w:r>
          </w:p>
        </w:tc>
      </w:tr>
      <w:tr w:rsidR="001D26E7" w:rsidRPr="00F614F9" w14:paraId="2A7AFB9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22A5C2"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023DDC92"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A437F65"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47921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11CB28"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14:paraId="04ABA370"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7A9B45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BF9D9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14D91A"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14:paraId="28D98EAB"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D42EFE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86687C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15A9D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14:paraId="1920A4A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14,076,554,847.79</w:t>
            </w:r>
          </w:p>
        </w:tc>
        <w:tc>
          <w:tcPr>
            <w:tcW w:w="3213" w:type="dxa"/>
            <w:tcBorders>
              <w:top w:val="single" w:sz="2" w:space="0" w:color="auto"/>
              <w:left w:val="single" w:sz="2" w:space="0" w:color="auto"/>
              <w:bottom w:val="single" w:sz="2" w:space="0" w:color="auto"/>
              <w:right w:val="single" w:sz="2" w:space="0" w:color="auto"/>
            </w:tcBorders>
            <w:vAlign w:val="center"/>
          </w:tcPr>
          <w:p w14:paraId="14583E9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15,971,635,787.21</w:t>
            </w:r>
          </w:p>
        </w:tc>
      </w:tr>
      <w:tr w:rsidR="001D26E7" w:rsidRPr="00F614F9" w14:paraId="63EF54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74352A"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14:paraId="75284B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13,528,667,434.43</w:t>
            </w:r>
          </w:p>
        </w:tc>
        <w:tc>
          <w:tcPr>
            <w:tcW w:w="3213" w:type="dxa"/>
            <w:tcBorders>
              <w:top w:val="single" w:sz="2" w:space="0" w:color="auto"/>
              <w:left w:val="single" w:sz="2" w:space="0" w:color="auto"/>
              <w:bottom w:val="single" w:sz="2" w:space="0" w:color="auto"/>
              <w:right w:val="single" w:sz="2" w:space="0" w:color="auto"/>
            </w:tcBorders>
            <w:vAlign w:val="center"/>
          </w:tcPr>
          <w:p w14:paraId="25E52CA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15,466,849,168.78</w:t>
            </w:r>
          </w:p>
        </w:tc>
      </w:tr>
      <w:tr w:rsidR="001D26E7" w:rsidRPr="00F614F9" w14:paraId="3F9391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8569F9"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14:paraId="6C3F7A01"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A385EA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C2678F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35056D"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14:paraId="5C1DE22A"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7A4E9C"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0A21E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FC2BDE"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14:paraId="372BE487"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9EAD2B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43A29E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67D0AF"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14:paraId="67BD9BFE"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01657F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DC26EB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6738BF"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提取保险责任合同准备金净额</w:t>
            </w:r>
          </w:p>
        </w:tc>
        <w:tc>
          <w:tcPr>
            <w:tcW w:w="3213" w:type="dxa"/>
            <w:tcBorders>
              <w:top w:val="single" w:sz="2" w:space="0" w:color="auto"/>
              <w:left w:val="single" w:sz="2" w:space="0" w:color="auto"/>
              <w:bottom w:val="single" w:sz="2" w:space="0" w:color="auto"/>
              <w:right w:val="single" w:sz="2" w:space="0" w:color="auto"/>
            </w:tcBorders>
            <w:vAlign w:val="center"/>
          </w:tcPr>
          <w:p w14:paraId="20F8D473"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4FB0A2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5BCDD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1E1A74"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14:paraId="78E9A1EA"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5F57CA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DFBF44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8F28BA"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14:paraId="641A4D19"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00C96A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FBAD3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D66A49"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14:paraId="2DB831F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23,123,394.46</w:t>
            </w:r>
          </w:p>
        </w:tc>
        <w:tc>
          <w:tcPr>
            <w:tcW w:w="3213" w:type="dxa"/>
            <w:tcBorders>
              <w:top w:val="single" w:sz="2" w:space="0" w:color="auto"/>
              <w:left w:val="single" w:sz="2" w:space="0" w:color="auto"/>
              <w:bottom w:val="single" w:sz="2" w:space="0" w:color="auto"/>
              <w:right w:val="single" w:sz="2" w:space="0" w:color="auto"/>
            </w:tcBorders>
            <w:vAlign w:val="center"/>
          </w:tcPr>
          <w:p w14:paraId="0E62649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22,098,116.20</w:t>
            </w:r>
          </w:p>
        </w:tc>
      </w:tr>
      <w:tr w:rsidR="001D26E7" w:rsidRPr="00F614F9" w14:paraId="2023E6B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545205"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14:paraId="56DB87E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151,290,525.18</w:t>
            </w:r>
          </w:p>
        </w:tc>
        <w:tc>
          <w:tcPr>
            <w:tcW w:w="3213" w:type="dxa"/>
            <w:tcBorders>
              <w:top w:val="single" w:sz="2" w:space="0" w:color="auto"/>
              <w:left w:val="single" w:sz="2" w:space="0" w:color="auto"/>
              <w:bottom w:val="single" w:sz="2" w:space="0" w:color="auto"/>
              <w:right w:val="single" w:sz="2" w:space="0" w:color="auto"/>
            </w:tcBorders>
            <w:vAlign w:val="center"/>
          </w:tcPr>
          <w:p w14:paraId="3EFA372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172,414,558.87</w:t>
            </w:r>
          </w:p>
        </w:tc>
      </w:tr>
      <w:tr w:rsidR="001D26E7" w:rsidRPr="00F614F9" w14:paraId="0A21D1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5779EA"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14:paraId="62ECC1A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289,373,279.33</w:t>
            </w:r>
          </w:p>
        </w:tc>
        <w:tc>
          <w:tcPr>
            <w:tcW w:w="3213" w:type="dxa"/>
            <w:tcBorders>
              <w:top w:val="single" w:sz="2" w:space="0" w:color="auto"/>
              <w:left w:val="single" w:sz="2" w:space="0" w:color="auto"/>
              <w:bottom w:val="single" w:sz="2" w:space="0" w:color="auto"/>
              <w:right w:val="single" w:sz="2" w:space="0" w:color="auto"/>
            </w:tcBorders>
            <w:vAlign w:val="center"/>
          </w:tcPr>
          <w:p w14:paraId="2FCDEDA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266,503,688.37</w:t>
            </w:r>
          </w:p>
        </w:tc>
      </w:tr>
      <w:tr w:rsidR="001D26E7" w:rsidRPr="00F614F9" w14:paraId="40E7B63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67E11F"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14:paraId="0234542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9,617,710.52</w:t>
            </w:r>
          </w:p>
        </w:tc>
        <w:tc>
          <w:tcPr>
            <w:tcW w:w="3213" w:type="dxa"/>
            <w:tcBorders>
              <w:top w:val="single" w:sz="2" w:space="0" w:color="auto"/>
              <w:left w:val="single" w:sz="2" w:space="0" w:color="auto"/>
              <w:bottom w:val="single" w:sz="2" w:space="0" w:color="auto"/>
              <w:right w:val="single" w:sz="2" w:space="0" w:color="auto"/>
            </w:tcBorders>
            <w:vAlign w:val="center"/>
          </w:tcPr>
          <w:p w14:paraId="2C8D399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8,002,970.35</w:t>
            </w:r>
          </w:p>
        </w:tc>
      </w:tr>
      <w:tr w:rsidR="001D26E7" w:rsidRPr="00F614F9" w14:paraId="0ECD269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456034"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14:paraId="44885BA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74,482,503.87</w:t>
            </w:r>
          </w:p>
        </w:tc>
        <w:tc>
          <w:tcPr>
            <w:tcW w:w="3213" w:type="dxa"/>
            <w:tcBorders>
              <w:top w:val="single" w:sz="2" w:space="0" w:color="auto"/>
              <w:left w:val="single" w:sz="2" w:space="0" w:color="auto"/>
              <w:bottom w:val="single" w:sz="2" w:space="0" w:color="auto"/>
              <w:right w:val="single" w:sz="2" w:space="0" w:color="auto"/>
            </w:tcBorders>
            <w:vAlign w:val="center"/>
          </w:tcPr>
          <w:p w14:paraId="3E31927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35,767,284.64</w:t>
            </w:r>
          </w:p>
        </w:tc>
      </w:tr>
      <w:tr w:rsidR="001D26E7" w:rsidRPr="00F614F9" w14:paraId="49BE79B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4F3C22" w14:textId="77777777" w:rsidR="001D26E7" w:rsidRPr="00F614F9" w:rsidRDefault="00000000">
            <w:pPr>
              <w:spacing w:before="40" w:after="40" w:line="240" w:lineRule="exact"/>
              <w:ind w:firstLineChars="500" w:firstLine="900"/>
              <w:rPr>
                <w:rFonts w:ascii="Times New Roman" w:eastAsia="宋体" w:hAnsi="Times New Roman" w:cs="宋体"/>
                <w:sz w:val="18"/>
                <w:szCs w:val="18"/>
              </w:rPr>
            </w:pPr>
            <w:r w:rsidRPr="00F614F9">
              <w:rPr>
                <w:rFonts w:ascii="Times New Roman" w:eastAsia="宋体" w:hAnsi="Times New Roman"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14:paraId="4DC2E22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105,181,377.18</w:t>
            </w:r>
          </w:p>
        </w:tc>
        <w:tc>
          <w:tcPr>
            <w:tcW w:w="3213" w:type="dxa"/>
            <w:tcBorders>
              <w:top w:val="single" w:sz="2" w:space="0" w:color="auto"/>
              <w:left w:val="single" w:sz="2" w:space="0" w:color="auto"/>
              <w:bottom w:val="single" w:sz="2" w:space="0" w:color="auto"/>
              <w:right w:val="single" w:sz="2" w:space="0" w:color="auto"/>
            </w:tcBorders>
            <w:vAlign w:val="center"/>
          </w:tcPr>
          <w:p w14:paraId="486AF17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104,392,145.37</w:t>
            </w:r>
          </w:p>
        </w:tc>
      </w:tr>
      <w:tr w:rsidR="001D26E7" w:rsidRPr="00F614F9" w14:paraId="6922F8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5105C7" w14:textId="77777777" w:rsidR="001D26E7" w:rsidRPr="00F614F9" w:rsidRDefault="00000000">
            <w:pPr>
              <w:spacing w:before="40" w:after="40" w:line="240" w:lineRule="exact"/>
              <w:ind w:firstLineChars="800" w:firstLine="1440"/>
              <w:rPr>
                <w:rFonts w:ascii="Times New Roman" w:eastAsia="宋体" w:hAnsi="Times New Roman" w:cs="宋体"/>
                <w:sz w:val="18"/>
                <w:szCs w:val="18"/>
              </w:rPr>
            </w:pPr>
            <w:r w:rsidRPr="00F614F9">
              <w:rPr>
                <w:rFonts w:ascii="Times New Roman" w:eastAsia="宋体" w:hAnsi="Times New Roman"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5E576D0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32,828,995.68</w:t>
            </w:r>
          </w:p>
        </w:tc>
        <w:tc>
          <w:tcPr>
            <w:tcW w:w="3213" w:type="dxa"/>
            <w:tcBorders>
              <w:top w:val="single" w:sz="2" w:space="0" w:color="auto"/>
              <w:left w:val="single" w:sz="2" w:space="0" w:color="auto"/>
              <w:bottom w:val="single" w:sz="2" w:space="0" w:color="auto"/>
              <w:right w:val="single" w:sz="2" w:space="0" w:color="auto"/>
            </w:tcBorders>
            <w:vAlign w:val="center"/>
          </w:tcPr>
          <w:p w14:paraId="5AFE4ED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75,587,016.26</w:t>
            </w:r>
          </w:p>
        </w:tc>
      </w:tr>
      <w:tr w:rsidR="001D26E7" w:rsidRPr="00F614F9" w14:paraId="34467F5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93E1AA"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2D45451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23,632,654.65</w:t>
            </w:r>
          </w:p>
        </w:tc>
        <w:tc>
          <w:tcPr>
            <w:tcW w:w="3213" w:type="dxa"/>
            <w:tcBorders>
              <w:top w:val="single" w:sz="2" w:space="0" w:color="auto"/>
              <w:left w:val="single" w:sz="2" w:space="0" w:color="auto"/>
              <w:bottom w:val="single" w:sz="2" w:space="0" w:color="auto"/>
              <w:right w:val="single" w:sz="2" w:space="0" w:color="auto"/>
            </w:tcBorders>
            <w:vAlign w:val="center"/>
          </w:tcPr>
          <w:p w14:paraId="5579949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19,357,356.95</w:t>
            </w:r>
          </w:p>
        </w:tc>
      </w:tr>
      <w:tr w:rsidR="001D26E7" w:rsidRPr="00F614F9" w14:paraId="485D23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90B4BB"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投资收益（损失以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D722846"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7FE41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966,929.31</w:t>
            </w:r>
          </w:p>
        </w:tc>
      </w:tr>
      <w:tr w:rsidR="001D26E7" w:rsidRPr="00F614F9" w14:paraId="0E2B0DE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26440E" w14:textId="77777777" w:rsidR="001D26E7" w:rsidRPr="00F614F9" w:rsidRDefault="00000000">
            <w:pPr>
              <w:spacing w:before="40" w:after="40" w:line="240" w:lineRule="exact"/>
              <w:ind w:firstLineChars="500" w:firstLine="900"/>
              <w:rPr>
                <w:rFonts w:ascii="Times New Roman" w:eastAsia="宋体" w:hAnsi="Times New Roman" w:cs="宋体"/>
                <w:sz w:val="18"/>
                <w:szCs w:val="18"/>
              </w:rPr>
            </w:pPr>
            <w:r w:rsidRPr="00F614F9">
              <w:rPr>
                <w:rFonts w:ascii="Times New Roman" w:eastAsia="宋体" w:hAnsi="Times New Roman"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2F0D8CED"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5E430A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BC96F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C0EFDF" w14:textId="77777777" w:rsidR="001D26E7" w:rsidRPr="00F614F9" w:rsidRDefault="00000000">
            <w:pPr>
              <w:spacing w:before="40" w:after="40" w:line="240" w:lineRule="exact"/>
              <w:ind w:firstLineChars="800" w:firstLine="1440"/>
              <w:rPr>
                <w:rFonts w:ascii="Times New Roman" w:eastAsia="宋体" w:hAnsi="Times New Roman" w:cs="宋体"/>
                <w:sz w:val="18"/>
                <w:szCs w:val="18"/>
              </w:rPr>
            </w:pPr>
            <w:r w:rsidRPr="00F614F9">
              <w:rPr>
                <w:rFonts w:ascii="Times New Roman" w:eastAsia="宋体" w:hAnsi="Times New Roman" w:cs="宋体"/>
                <w:sz w:val="18"/>
                <w:szCs w:val="18"/>
              </w:rPr>
              <w:t>以摊</w:t>
            </w:r>
            <w:proofErr w:type="gramStart"/>
            <w:r w:rsidRPr="00F614F9">
              <w:rPr>
                <w:rFonts w:ascii="Times New Roman" w:eastAsia="宋体" w:hAnsi="Times New Roman" w:cs="宋体"/>
                <w:sz w:val="18"/>
                <w:szCs w:val="18"/>
              </w:rPr>
              <w:t>余成本</w:t>
            </w:r>
            <w:proofErr w:type="gramEnd"/>
            <w:r w:rsidRPr="00F614F9">
              <w:rPr>
                <w:rFonts w:ascii="Times New Roman" w:eastAsia="宋体" w:hAnsi="Times New Roman" w:cs="宋体"/>
                <w:sz w:val="18"/>
                <w:szCs w:val="18"/>
              </w:rPr>
              <w:t>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14:paraId="18BF0426"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30ED9E1"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A66B4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D29DAF"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汇兑收益（损失以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FF7FB5F"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7733937"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676EA8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207041"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净敞口套期收益（损失以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47F2582"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CCED96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07C13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1134E3"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公允价值变动收益（损失以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E26A023"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ADA36FC"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90DFB4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171AA9"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信用减值损失（损失以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866B21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-37,324,026.87</w:t>
            </w:r>
          </w:p>
        </w:tc>
        <w:tc>
          <w:tcPr>
            <w:tcW w:w="3213" w:type="dxa"/>
            <w:tcBorders>
              <w:top w:val="single" w:sz="2" w:space="0" w:color="auto"/>
              <w:left w:val="single" w:sz="2" w:space="0" w:color="auto"/>
              <w:bottom w:val="single" w:sz="2" w:space="0" w:color="auto"/>
              <w:right w:val="single" w:sz="2" w:space="0" w:color="auto"/>
            </w:tcBorders>
            <w:vAlign w:val="center"/>
          </w:tcPr>
          <w:p w14:paraId="76CBF1F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-7,314,695.71</w:t>
            </w:r>
          </w:p>
        </w:tc>
      </w:tr>
      <w:tr w:rsidR="001D26E7" w:rsidRPr="00F614F9" w14:paraId="30D71F1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6E94E8"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资产减值损失（损失以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455383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-450,175,106.41</w:t>
            </w:r>
          </w:p>
        </w:tc>
        <w:tc>
          <w:tcPr>
            <w:tcW w:w="3213" w:type="dxa"/>
            <w:tcBorders>
              <w:top w:val="single" w:sz="2" w:space="0" w:color="auto"/>
              <w:left w:val="single" w:sz="2" w:space="0" w:color="auto"/>
              <w:bottom w:val="single" w:sz="2" w:space="0" w:color="auto"/>
              <w:right w:val="single" w:sz="2" w:space="0" w:color="auto"/>
            </w:tcBorders>
            <w:vAlign w:val="center"/>
          </w:tcPr>
          <w:p w14:paraId="2FECF74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46,468,338.93</w:t>
            </w:r>
          </w:p>
        </w:tc>
      </w:tr>
      <w:tr w:rsidR="001D26E7" w:rsidRPr="00F614F9" w14:paraId="58D3D8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D03CA0"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资产处置收益（损失以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1AB2915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-128,746,923.35</w:t>
            </w:r>
          </w:p>
        </w:tc>
        <w:tc>
          <w:tcPr>
            <w:tcW w:w="3213" w:type="dxa"/>
            <w:tcBorders>
              <w:top w:val="single" w:sz="2" w:space="0" w:color="auto"/>
              <w:left w:val="single" w:sz="2" w:space="0" w:color="auto"/>
              <w:bottom w:val="single" w:sz="2" w:space="0" w:color="auto"/>
              <w:right w:val="single" w:sz="2" w:space="0" w:color="auto"/>
            </w:tcBorders>
            <w:vAlign w:val="center"/>
          </w:tcPr>
          <w:p w14:paraId="4F7F119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-85,474,446.37</w:t>
            </w:r>
          </w:p>
        </w:tc>
      </w:tr>
      <w:tr w:rsidR="001D26E7" w:rsidRPr="00F614F9" w14:paraId="17C1F94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173BE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三、营业利润（亏损以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0613B6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-1,350,695,037.87</w:t>
            </w:r>
          </w:p>
        </w:tc>
        <w:tc>
          <w:tcPr>
            <w:tcW w:w="3213" w:type="dxa"/>
            <w:tcBorders>
              <w:top w:val="single" w:sz="2" w:space="0" w:color="auto"/>
              <w:left w:val="single" w:sz="2" w:space="0" w:color="auto"/>
              <w:bottom w:val="single" w:sz="2" w:space="0" w:color="auto"/>
              <w:right w:val="single" w:sz="2" w:space="0" w:color="auto"/>
            </w:tcBorders>
            <w:vAlign w:val="center"/>
          </w:tcPr>
          <w:p w14:paraId="0D3079E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118,674,755.31</w:t>
            </w:r>
          </w:p>
        </w:tc>
      </w:tr>
      <w:tr w:rsidR="001D26E7" w:rsidRPr="00F614F9" w14:paraId="0D498FF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83CDAB"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lastRenderedPageBreak/>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14:paraId="6675BC2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8,134,702.69</w:t>
            </w:r>
          </w:p>
        </w:tc>
        <w:tc>
          <w:tcPr>
            <w:tcW w:w="3213" w:type="dxa"/>
            <w:tcBorders>
              <w:top w:val="single" w:sz="2" w:space="0" w:color="auto"/>
              <w:left w:val="single" w:sz="2" w:space="0" w:color="auto"/>
              <w:bottom w:val="single" w:sz="2" w:space="0" w:color="auto"/>
              <w:right w:val="single" w:sz="2" w:space="0" w:color="auto"/>
            </w:tcBorders>
            <w:vAlign w:val="center"/>
          </w:tcPr>
          <w:p w14:paraId="4DC157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4,574,994.57</w:t>
            </w:r>
          </w:p>
        </w:tc>
      </w:tr>
      <w:tr w:rsidR="001D26E7" w:rsidRPr="00F614F9" w14:paraId="504CF15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24262E"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14:paraId="37D9A8C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83,703,864.56</w:t>
            </w:r>
          </w:p>
        </w:tc>
        <w:tc>
          <w:tcPr>
            <w:tcW w:w="3213" w:type="dxa"/>
            <w:tcBorders>
              <w:top w:val="single" w:sz="2" w:space="0" w:color="auto"/>
              <w:left w:val="single" w:sz="2" w:space="0" w:color="auto"/>
              <w:bottom w:val="single" w:sz="2" w:space="0" w:color="auto"/>
              <w:right w:val="single" w:sz="2" w:space="0" w:color="auto"/>
            </w:tcBorders>
            <w:vAlign w:val="center"/>
          </w:tcPr>
          <w:p w14:paraId="342D7E2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12,393,757.09</w:t>
            </w:r>
          </w:p>
        </w:tc>
      </w:tr>
      <w:tr w:rsidR="001D26E7" w:rsidRPr="00F614F9" w14:paraId="05144C4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D43EC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四、利润总额（亏损总额以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1379F2E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-1,426,264,199.74</w:t>
            </w:r>
          </w:p>
        </w:tc>
        <w:tc>
          <w:tcPr>
            <w:tcW w:w="3213" w:type="dxa"/>
            <w:tcBorders>
              <w:top w:val="single" w:sz="2" w:space="0" w:color="auto"/>
              <w:left w:val="single" w:sz="2" w:space="0" w:color="auto"/>
              <w:bottom w:val="single" w:sz="2" w:space="0" w:color="auto"/>
              <w:right w:val="single" w:sz="2" w:space="0" w:color="auto"/>
            </w:tcBorders>
            <w:vAlign w:val="center"/>
          </w:tcPr>
          <w:p w14:paraId="4869274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110,855,992.79</w:t>
            </w:r>
          </w:p>
        </w:tc>
      </w:tr>
      <w:tr w:rsidR="001D26E7" w:rsidRPr="00F614F9" w14:paraId="3E9DDB0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BDDFFB"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6D468AE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57,405,960.11</w:t>
            </w:r>
          </w:p>
        </w:tc>
        <w:tc>
          <w:tcPr>
            <w:tcW w:w="3213" w:type="dxa"/>
            <w:tcBorders>
              <w:top w:val="single" w:sz="2" w:space="0" w:color="auto"/>
              <w:left w:val="single" w:sz="2" w:space="0" w:color="auto"/>
              <w:bottom w:val="single" w:sz="2" w:space="0" w:color="auto"/>
              <w:right w:val="single" w:sz="2" w:space="0" w:color="auto"/>
            </w:tcBorders>
            <w:vAlign w:val="center"/>
          </w:tcPr>
          <w:p w14:paraId="464ACCC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11,213,917.07</w:t>
            </w:r>
          </w:p>
        </w:tc>
      </w:tr>
      <w:tr w:rsidR="001D26E7" w:rsidRPr="00F614F9" w14:paraId="7BD58CF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E9AB3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五、净利润（净亏损以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475A0B8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-1,483,670,159.85</w:t>
            </w:r>
          </w:p>
        </w:tc>
        <w:tc>
          <w:tcPr>
            <w:tcW w:w="3213" w:type="dxa"/>
            <w:tcBorders>
              <w:top w:val="single" w:sz="2" w:space="0" w:color="auto"/>
              <w:left w:val="single" w:sz="2" w:space="0" w:color="auto"/>
              <w:bottom w:val="single" w:sz="2" w:space="0" w:color="auto"/>
              <w:right w:val="single" w:sz="2" w:space="0" w:color="auto"/>
            </w:tcBorders>
            <w:vAlign w:val="center"/>
          </w:tcPr>
          <w:p w14:paraId="647872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99,642,075.72</w:t>
            </w:r>
          </w:p>
        </w:tc>
      </w:tr>
      <w:tr w:rsidR="001D26E7" w:rsidRPr="00F614F9" w14:paraId="3AF9FD4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8D4881"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234B04"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019D3D" w14:textId="77777777" w:rsidR="001D26E7" w:rsidRPr="00F614F9" w:rsidRDefault="001D26E7">
            <w:pPr>
              <w:rPr>
                <w:rFonts w:ascii="Times New Roman" w:hAnsi="Times New Roman"/>
              </w:rPr>
            </w:pPr>
          </w:p>
        </w:tc>
      </w:tr>
      <w:tr w:rsidR="001D26E7" w:rsidRPr="00F614F9" w14:paraId="6197A7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75AD7C" w14:textId="77777777" w:rsidR="001D26E7" w:rsidRPr="00F614F9" w:rsidRDefault="00000000">
            <w:pPr>
              <w:spacing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持续经营净利润（净亏损以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48D461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-1,483,670,159.85</w:t>
            </w:r>
          </w:p>
        </w:tc>
        <w:tc>
          <w:tcPr>
            <w:tcW w:w="3213" w:type="dxa"/>
            <w:tcBorders>
              <w:top w:val="single" w:sz="2" w:space="0" w:color="auto"/>
              <w:left w:val="single" w:sz="2" w:space="0" w:color="auto"/>
              <w:bottom w:val="single" w:sz="2" w:space="0" w:color="auto"/>
              <w:right w:val="single" w:sz="2" w:space="0" w:color="auto"/>
            </w:tcBorders>
            <w:vAlign w:val="center"/>
          </w:tcPr>
          <w:p w14:paraId="6AC6A4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99,642,075.72</w:t>
            </w:r>
          </w:p>
        </w:tc>
      </w:tr>
      <w:tr w:rsidR="001D26E7" w:rsidRPr="00F614F9" w14:paraId="1B9278A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1035FD" w14:textId="77777777" w:rsidR="001D26E7" w:rsidRPr="00F614F9" w:rsidRDefault="00000000">
            <w:pPr>
              <w:spacing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终止经营净利润（净亏损以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12F3D6D2"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F84FAB3"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893605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2B470E"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51BA40"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63251B" w14:textId="77777777" w:rsidR="001D26E7" w:rsidRPr="00F614F9" w:rsidRDefault="001D26E7">
            <w:pPr>
              <w:rPr>
                <w:rFonts w:ascii="Times New Roman" w:hAnsi="Times New Roman"/>
              </w:rPr>
            </w:pPr>
          </w:p>
        </w:tc>
      </w:tr>
      <w:tr w:rsidR="001D26E7" w:rsidRPr="00F614F9" w14:paraId="77475CD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E2BF4C" w14:textId="77777777" w:rsidR="001D26E7" w:rsidRPr="00F614F9" w:rsidRDefault="00000000">
            <w:pPr>
              <w:spacing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归属于母公司股东的净利润</w:t>
            </w:r>
          </w:p>
        </w:tc>
        <w:tc>
          <w:tcPr>
            <w:tcW w:w="3213" w:type="dxa"/>
            <w:tcBorders>
              <w:top w:val="single" w:sz="2" w:space="0" w:color="auto"/>
              <w:left w:val="single" w:sz="2" w:space="0" w:color="auto"/>
              <w:bottom w:val="single" w:sz="2" w:space="0" w:color="auto"/>
              <w:right w:val="single" w:sz="2" w:space="0" w:color="auto"/>
            </w:tcBorders>
            <w:vAlign w:val="center"/>
          </w:tcPr>
          <w:p w14:paraId="4DD17F1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-1,538,353,704.08</w:t>
            </w:r>
          </w:p>
        </w:tc>
        <w:tc>
          <w:tcPr>
            <w:tcW w:w="3213" w:type="dxa"/>
            <w:tcBorders>
              <w:top w:val="single" w:sz="2" w:space="0" w:color="auto"/>
              <w:left w:val="single" w:sz="2" w:space="0" w:color="auto"/>
              <w:bottom w:val="single" w:sz="2" w:space="0" w:color="auto"/>
              <w:right w:val="single" w:sz="2" w:space="0" w:color="auto"/>
            </w:tcBorders>
            <w:vAlign w:val="center"/>
          </w:tcPr>
          <w:p w14:paraId="790606F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75,375,610.30</w:t>
            </w:r>
          </w:p>
        </w:tc>
      </w:tr>
      <w:tr w:rsidR="001D26E7" w:rsidRPr="00F614F9" w14:paraId="129C88A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C0CB9E" w14:textId="77777777" w:rsidR="001D26E7" w:rsidRPr="00F614F9" w:rsidRDefault="00000000">
            <w:pPr>
              <w:spacing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少数股东损益</w:t>
            </w:r>
          </w:p>
        </w:tc>
        <w:tc>
          <w:tcPr>
            <w:tcW w:w="3213" w:type="dxa"/>
            <w:tcBorders>
              <w:top w:val="single" w:sz="2" w:space="0" w:color="auto"/>
              <w:left w:val="single" w:sz="2" w:space="0" w:color="auto"/>
              <w:bottom w:val="single" w:sz="2" w:space="0" w:color="auto"/>
              <w:right w:val="single" w:sz="2" w:space="0" w:color="auto"/>
            </w:tcBorders>
            <w:vAlign w:val="center"/>
          </w:tcPr>
          <w:p w14:paraId="0A5032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54,683,544.23</w:t>
            </w:r>
          </w:p>
        </w:tc>
        <w:tc>
          <w:tcPr>
            <w:tcW w:w="3213" w:type="dxa"/>
            <w:tcBorders>
              <w:top w:val="single" w:sz="2" w:space="0" w:color="auto"/>
              <w:left w:val="single" w:sz="2" w:space="0" w:color="auto"/>
              <w:bottom w:val="single" w:sz="2" w:space="0" w:color="auto"/>
              <w:right w:val="single" w:sz="2" w:space="0" w:color="auto"/>
            </w:tcBorders>
            <w:vAlign w:val="center"/>
          </w:tcPr>
          <w:p w14:paraId="41AC85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24,266,465.42</w:t>
            </w:r>
          </w:p>
        </w:tc>
      </w:tr>
      <w:tr w:rsidR="001D26E7" w:rsidRPr="00F614F9" w14:paraId="13064B6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328D4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2062181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3213" w:type="dxa"/>
            <w:tcBorders>
              <w:top w:val="single" w:sz="2" w:space="0" w:color="auto"/>
              <w:left w:val="single" w:sz="2" w:space="0" w:color="auto"/>
              <w:bottom w:val="single" w:sz="2" w:space="0" w:color="auto"/>
              <w:right w:val="single" w:sz="2" w:space="0" w:color="auto"/>
            </w:tcBorders>
            <w:vAlign w:val="center"/>
          </w:tcPr>
          <w:p w14:paraId="6E42C82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-2,944,455.09</w:t>
            </w:r>
          </w:p>
        </w:tc>
      </w:tr>
      <w:tr w:rsidR="001D26E7" w:rsidRPr="00F614F9" w14:paraId="2FCC877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886FC8"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54354E0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3213" w:type="dxa"/>
            <w:tcBorders>
              <w:top w:val="single" w:sz="2" w:space="0" w:color="auto"/>
              <w:left w:val="single" w:sz="2" w:space="0" w:color="auto"/>
              <w:bottom w:val="single" w:sz="2" w:space="0" w:color="auto"/>
              <w:right w:val="single" w:sz="2" w:space="0" w:color="auto"/>
            </w:tcBorders>
            <w:vAlign w:val="center"/>
          </w:tcPr>
          <w:p w14:paraId="1BFF64D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-2,944,455.09</w:t>
            </w:r>
          </w:p>
        </w:tc>
      </w:tr>
      <w:tr w:rsidR="001D26E7" w:rsidRPr="00F614F9" w14:paraId="5D4FF53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74ACC7" w14:textId="77777777" w:rsidR="001D26E7" w:rsidRPr="00F614F9" w:rsidRDefault="00000000">
            <w:pPr>
              <w:spacing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1B15270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3213" w:type="dxa"/>
            <w:tcBorders>
              <w:top w:val="single" w:sz="2" w:space="0" w:color="auto"/>
              <w:left w:val="single" w:sz="2" w:space="0" w:color="auto"/>
              <w:bottom w:val="single" w:sz="2" w:space="0" w:color="auto"/>
              <w:right w:val="single" w:sz="2" w:space="0" w:color="auto"/>
            </w:tcBorders>
            <w:vAlign w:val="center"/>
          </w:tcPr>
          <w:p w14:paraId="158653F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-2,944,455.09</w:t>
            </w:r>
          </w:p>
        </w:tc>
      </w:tr>
      <w:tr w:rsidR="001D26E7" w:rsidRPr="00F614F9" w14:paraId="3CF2514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7EE139"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14:paraId="219321EC"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48928E3"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396CF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23D459"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74963AD6"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25C2225"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49585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AD6261"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35A3E45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3213" w:type="dxa"/>
            <w:tcBorders>
              <w:top w:val="single" w:sz="2" w:space="0" w:color="auto"/>
              <w:left w:val="single" w:sz="2" w:space="0" w:color="auto"/>
              <w:bottom w:val="single" w:sz="2" w:space="0" w:color="auto"/>
              <w:right w:val="single" w:sz="2" w:space="0" w:color="auto"/>
            </w:tcBorders>
            <w:vAlign w:val="center"/>
          </w:tcPr>
          <w:p w14:paraId="6B7C24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-2,944,455.09</w:t>
            </w:r>
          </w:p>
        </w:tc>
      </w:tr>
      <w:tr w:rsidR="001D26E7" w:rsidRPr="00F614F9" w14:paraId="6C679C6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356A27"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67363820"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6141B4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7256E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E90ACA"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5.</w:t>
            </w:r>
            <w:r w:rsidRPr="00F614F9">
              <w:rPr>
                <w:rFonts w:ascii="Times New Roman" w:eastAsia="宋体" w:hAnsi="Times New Roman"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504FD7B3"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12D295"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B897C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19868C" w14:textId="77777777" w:rsidR="001D26E7" w:rsidRPr="00F614F9" w:rsidRDefault="00000000">
            <w:pPr>
              <w:spacing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284B5FEF"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AC1AB5"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DA93A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6CBB4F"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1A5AA90F"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3145262"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A4A105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2FF30C"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0A8BEC3A"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4F230E2"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3A7E03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61A2F7"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14:paraId="3AB58A8A"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909B6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FDB78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519796"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07314E21"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98F0C67"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38F371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B15399"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5.</w:t>
            </w:r>
            <w:r w:rsidRPr="00F614F9">
              <w:rPr>
                <w:rFonts w:ascii="Times New Roman" w:eastAsia="宋体" w:hAnsi="Times New Roman" w:cs="宋体"/>
                <w:sz w:val="18"/>
                <w:szCs w:val="18"/>
              </w:rPr>
              <w:t>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14:paraId="7AE0EABF"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9A9D3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34620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41C9A4"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6.</w:t>
            </w:r>
            <w:r w:rsidRPr="00F614F9">
              <w:rPr>
                <w:rFonts w:ascii="Times New Roman" w:eastAsia="宋体" w:hAnsi="Times New Roman" w:cs="宋体"/>
                <w:sz w:val="18"/>
                <w:szCs w:val="18"/>
              </w:rPr>
              <w:t>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14:paraId="3EE199AE"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FD180C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42AC5D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5D3A04"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7.</w:t>
            </w:r>
            <w:r w:rsidRPr="00F614F9">
              <w:rPr>
                <w:rFonts w:ascii="Times New Roman" w:eastAsia="宋体" w:hAnsi="Times New Roman"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47877A47"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36AD2E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B68A5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F46043"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151DA2B0"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CF70431"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5CB0BB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AFF5D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3177EC5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-1,483,992,339.52</w:t>
            </w:r>
          </w:p>
        </w:tc>
        <w:tc>
          <w:tcPr>
            <w:tcW w:w="3213" w:type="dxa"/>
            <w:tcBorders>
              <w:top w:val="single" w:sz="2" w:space="0" w:color="auto"/>
              <w:left w:val="single" w:sz="2" w:space="0" w:color="auto"/>
              <w:bottom w:val="single" w:sz="2" w:space="0" w:color="auto"/>
              <w:right w:val="single" w:sz="2" w:space="0" w:color="auto"/>
            </w:tcBorders>
            <w:vAlign w:val="center"/>
          </w:tcPr>
          <w:p w14:paraId="60B1886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96,697,620.63</w:t>
            </w:r>
          </w:p>
        </w:tc>
      </w:tr>
      <w:tr w:rsidR="001D26E7" w:rsidRPr="00F614F9" w14:paraId="31B801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8C868E"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0F12B5B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-1,538,675,883.75</w:t>
            </w:r>
          </w:p>
        </w:tc>
        <w:tc>
          <w:tcPr>
            <w:tcW w:w="3213" w:type="dxa"/>
            <w:tcBorders>
              <w:top w:val="single" w:sz="2" w:space="0" w:color="auto"/>
              <w:left w:val="single" w:sz="2" w:space="0" w:color="auto"/>
              <w:bottom w:val="single" w:sz="2" w:space="0" w:color="auto"/>
              <w:right w:val="single" w:sz="2" w:space="0" w:color="auto"/>
            </w:tcBorders>
            <w:vAlign w:val="center"/>
          </w:tcPr>
          <w:p w14:paraId="5BD266A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72,431,155.21</w:t>
            </w:r>
          </w:p>
        </w:tc>
      </w:tr>
      <w:tr w:rsidR="001D26E7" w:rsidRPr="00F614F9" w14:paraId="240564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2FFB2D"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7AC3F21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54,683,544.23</w:t>
            </w:r>
          </w:p>
        </w:tc>
        <w:tc>
          <w:tcPr>
            <w:tcW w:w="3213" w:type="dxa"/>
            <w:tcBorders>
              <w:top w:val="single" w:sz="2" w:space="0" w:color="auto"/>
              <w:left w:val="single" w:sz="2" w:space="0" w:color="auto"/>
              <w:bottom w:val="single" w:sz="2" w:space="0" w:color="auto"/>
              <w:right w:val="single" w:sz="2" w:space="0" w:color="auto"/>
            </w:tcBorders>
            <w:vAlign w:val="center"/>
          </w:tcPr>
          <w:p w14:paraId="4A2C640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24,266,465.42</w:t>
            </w:r>
          </w:p>
        </w:tc>
      </w:tr>
      <w:tr w:rsidR="001D26E7" w:rsidRPr="00F614F9" w14:paraId="7ACE4B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00039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96B535"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B2AE1C" w14:textId="77777777" w:rsidR="001D26E7" w:rsidRPr="00F614F9" w:rsidRDefault="001D26E7">
            <w:pPr>
              <w:rPr>
                <w:rFonts w:ascii="Times New Roman" w:hAnsi="Times New Roman"/>
              </w:rPr>
            </w:pPr>
          </w:p>
        </w:tc>
      </w:tr>
      <w:tr w:rsidR="001D26E7" w:rsidRPr="00F614F9" w14:paraId="2E7A58A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3A0E14"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693AF43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-1.43</w:t>
            </w:r>
          </w:p>
        </w:tc>
        <w:tc>
          <w:tcPr>
            <w:tcW w:w="3213" w:type="dxa"/>
            <w:tcBorders>
              <w:top w:val="single" w:sz="2" w:space="0" w:color="auto"/>
              <w:left w:val="single" w:sz="2" w:space="0" w:color="auto"/>
              <w:bottom w:val="single" w:sz="2" w:space="0" w:color="auto"/>
              <w:right w:val="single" w:sz="2" w:space="0" w:color="auto"/>
            </w:tcBorders>
            <w:vAlign w:val="center"/>
          </w:tcPr>
          <w:p w14:paraId="15B727B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0.07</w:t>
            </w:r>
          </w:p>
        </w:tc>
      </w:tr>
      <w:tr w:rsidR="001D26E7" w:rsidRPr="00F614F9" w14:paraId="43645C8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A74CEB"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7B3E95D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-1.28</w:t>
            </w:r>
          </w:p>
        </w:tc>
        <w:tc>
          <w:tcPr>
            <w:tcW w:w="3213" w:type="dxa"/>
            <w:tcBorders>
              <w:top w:val="single" w:sz="2" w:space="0" w:color="auto"/>
              <w:left w:val="single" w:sz="2" w:space="0" w:color="auto"/>
              <w:bottom w:val="single" w:sz="2" w:space="0" w:color="auto"/>
              <w:right w:val="single" w:sz="2" w:space="0" w:color="auto"/>
            </w:tcBorders>
            <w:vAlign w:val="center"/>
          </w:tcPr>
          <w:p w14:paraId="2B06EAA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0.07</w:t>
            </w:r>
          </w:p>
        </w:tc>
      </w:tr>
    </w:tbl>
    <w:p w14:paraId="7C3ECE2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本期发生同</w:t>
      </w:r>
      <w:proofErr w:type="gramStart"/>
      <w:r w:rsidRPr="00F614F9">
        <w:rPr>
          <w:rFonts w:ascii="Times New Roman" w:eastAsia="宋体" w:hAnsi="Times New Roman" w:cs="宋体"/>
          <w:sz w:val="18"/>
          <w:szCs w:val="18"/>
        </w:rPr>
        <w:t>一控制</w:t>
      </w:r>
      <w:proofErr w:type="gramEnd"/>
      <w:r w:rsidRPr="00F614F9">
        <w:rPr>
          <w:rFonts w:ascii="Times New Roman" w:eastAsia="宋体" w:hAnsi="Times New Roman" w:cs="宋体"/>
          <w:sz w:val="18"/>
          <w:szCs w:val="18"/>
        </w:rPr>
        <w:t>下企业合并的，被合并方在合并前实现的净利润为：</w:t>
      </w:r>
      <w:r w:rsidR="000441DC" w:rsidRPr="00F614F9">
        <w:rPr>
          <w:rFonts w:ascii="Times New Roman" w:eastAsia="宋体" w:hAnsi="Times New Roman" w:cs="宋体" w:hint="eastAsia"/>
          <w:sz w:val="18"/>
          <w:szCs w:val="18"/>
        </w:rPr>
        <w:t>0</w:t>
      </w:r>
      <w:r w:rsidRPr="00F614F9">
        <w:rPr>
          <w:rFonts w:ascii="Times New Roman" w:eastAsia="宋体" w:hAnsi="Times New Roman" w:cs="宋体"/>
          <w:sz w:val="18"/>
          <w:szCs w:val="18"/>
        </w:rPr>
        <w:t>元，上期被合并方实现的净利润为：</w:t>
      </w:r>
      <w:r w:rsidR="000441DC" w:rsidRPr="00F614F9">
        <w:rPr>
          <w:rFonts w:ascii="Times New Roman" w:eastAsia="宋体" w:hAnsi="Times New Roman" w:cs="宋体" w:hint="eastAsia"/>
          <w:sz w:val="18"/>
          <w:szCs w:val="18"/>
        </w:rPr>
        <w:t>0</w:t>
      </w:r>
      <w:r w:rsidRPr="00F614F9">
        <w:rPr>
          <w:rFonts w:ascii="Times New Roman" w:eastAsia="宋体" w:hAnsi="Times New Roman" w:cs="宋体"/>
          <w:sz w:val="18"/>
          <w:szCs w:val="18"/>
        </w:rPr>
        <w:t>元。</w:t>
      </w:r>
    </w:p>
    <w:p w14:paraId="1076CA7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法定代表人：杨晓初</w:t>
      </w:r>
      <w:r w:rsidRPr="00F614F9">
        <w:rPr>
          <w:rFonts w:ascii="Times New Roman" w:eastAsia="宋体" w:hAnsi="Times New Roman" w:cs="宋体"/>
          <w:sz w:val="18"/>
          <w:szCs w:val="18"/>
        </w:rPr>
        <w:t xml:space="preserve"> </w:t>
      </w:r>
      <w:r w:rsidR="000441DC" w:rsidRPr="00F614F9">
        <w:rPr>
          <w:rFonts w:ascii="Times New Roman" w:eastAsia="宋体" w:hAnsi="Times New Roman" w:cs="宋体"/>
          <w:sz w:val="18"/>
          <w:szCs w:val="18"/>
        </w:rPr>
        <w:t xml:space="preserve">    </w:t>
      </w:r>
      <w:r w:rsidR="000441DC" w:rsidRPr="00F614F9">
        <w:rPr>
          <w:rFonts w:ascii="Times New Roman" w:eastAsia="宋体" w:hAnsi="Times New Roman" w:cs="宋体" w:hint="eastAsia"/>
          <w:sz w:val="18"/>
          <w:szCs w:val="18"/>
        </w:rPr>
        <w:t xml:space="preserve">                                     </w:t>
      </w:r>
      <w:r w:rsidRPr="00F614F9">
        <w:rPr>
          <w:rFonts w:ascii="Times New Roman" w:eastAsia="宋体" w:hAnsi="Times New Roman" w:cs="宋体"/>
          <w:sz w:val="18"/>
          <w:szCs w:val="18"/>
        </w:rPr>
        <w:t>主管会计工作负责人：</w:t>
      </w:r>
      <w:proofErr w:type="gramStart"/>
      <w:r w:rsidRPr="00F614F9">
        <w:rPr>
          <w:rFonts w:ascii="Times New Roman" w:eastAsia="宋体" w:hAnsi="Times New Roman" w:cs="宋体"/>
          <w:sz w:val="18"/>
          <w:szCs w:val="18"/>
        </w:rPr>
        <w:t>张凌</w:t>
      </w:r>
      <w:proofErr w:type="gramEnd"/>
      <w:r w:rsidR="000441DC" w:rsidRPr="00F614F9">
        <w:rPr>
          <w:rFonts w:ascii="Times New Roman" w:eastAsia="宋体" w:hAnsi="Times New Roman" w:cs="宋体"/>
          <w:sz w:val="18"/>
          <w:szCs w:val="18"/>
        </w:rPr>
        <w:t xml:space="preserve">    </w:t>
      </w:r>
      <w:r w:rsidR="000441DC" w:rsidRPr="00F614F9">
        <w:rPr>
          <w:rFonts w:ascii="Times New Roman" w:eastAsia="宋体" w:hAnsi="Times New Roman" w:cs="宋体" w:hint="eastAsia"/>
          <w:sz w:val="18"/>
          <w:szCs w:val="18"/>
        </w:rPr>
        <w:t xml:space="preserve">                                     </w:t>
      </w:r>
      <w:r w:rsidRPr="00F614F9">
        <w:rPr>
          <w:rFonts w:ascii="Times New Roman" w:eastAsia="宋体" w:hAnsi="Times New Roman" w:cs="宋体"/>
          <w:sz w:val="18"/>
          <w:szCs w:val="18"/>
        </w:rPr>
        <w:t>会计机构负责人：刘璐希</w:t>
      </w:r>
    </w:p>
    <w:p w14:paraId="38410DAB" w14:textId="77777777" w:rsidR="001D26E7" w:rsidRPr="00F614F9" w:rsidRDefault="00000000">
      <w:pPr>
        <w:pStyle w:val="3"/>
        <w:spacing w:line="280" w:lineRule="exact"/>
        <w:jc w:val="left"/>
        <w:rPr>
          <w:rFonts w:ascii="Times New Roman" w:hAnsi="Times New Roman" w:cs="宋体"/>
          <w:b/>
          <w:bCs/>
        </w:rPr>
      </w:pPr>
      <w:bookmarkStart w:id="239" w:name="_Toc989057"/>
      <w:r w:rsidRPr="00F614F9">
        <w:rPr>
          <w:rFonts w:ascii="Times New Roman" w:hAnsi="Times New Roman" w:cs="宋体"/>
          <w:b/>
          <w:bCs/>
        </w:rPr>
        <w:t>4</w:t>
      </w:r>
      <w:r w:rsidRPr="00F614F9">
        <w:rPr>
          <w:rFonts w:ascii="Times New Roman" w:hAnsi="Times New Roman" w:cs="宋体"/>
          <w:b/>
          <w:bCs/>
        </w:rPr>
        <w:t>、母公司利润表</w:t>
      </w:r>
      <w:bookmarkEnd w:id="239"/>
    </w:p>
    <w:p w14:paraId="32B630F0"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0C5E2C9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803C8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9F02F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41F4E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年度</w:t>
            </w:r>
          </w:p>
        </w:tc>
      </w:tr>
      <w:tr w:rsidR="001D26E7" w:rsidRPr="00F614F9" w14:paraId="7D5A249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E0BC4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一、营业收入</w:t>
            </w:r>
          </w:p>
        </w:tc>
        <w:tc>
          <w:tcPr>
            <w:tcW w:w="3213" w:type="dxa"/>
            <w:tcBorders>
              <w:top w:val="single" w:sz="2" w:space="0" w:color="auto"/>
              <w:left w:val="single" w:sz="2" w:space="0" w:color="auto"/>
              <w:bottom w:val="single" w:sz="2" w:space="0" w:color="auto"/>
              <w:right w:val="single" w:sz="2" w:space="0" w:color="auto"/>
            </w:tcBorders>
            <w:vAlign w:val="center"/>
          </w:tcPr>
          <w:p w14:paraId="2FA39E1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5,220,779,738.98</w:t>
            </w:r>
          </w:p>
        </w:tc>
        <w:tc>
          <w:tcPr>
            <w:tcW w:w="3213" w:type="dxa"/>
            <w:tcBorders>
              <w:top w:val="single" w:sz="2" w:space="0" w:color="auto"/>
              <w:left w:val="single" w:sz="2" w:space="0" w:color="auto"/>
              <w:bottom w:val="single" w:sz="2" w:space="0" w:color="auto"/>
              <w:right w:val="single" w:sz="2" w:space="0" w:color="auto"/>
            </w:tcBorders>
            <w:vAlign w:val="center"/>
          </w:tcPr>
          <w:p w14:paraId="32F508A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5,474,673,735.67</w:t>
            </w:r>
          </w:p>
        </w:tc>
      </w:tr>
      <w:tr w:rsidR="001D26E7" w:rsidRPr="00F614F9" w14:paraId="57FDA9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3AB5F6"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减：营业成本</w:t>
            </w:r>
          </w:p>
        </w:tc>
        <w:tc>
          <w:tcPr>
            <w:tcW w:w="3213" w:type="dxa"/>
            <w:tcBorders>
              <w:top w:val="single" w:sz="2" w:space="0" w:color="auto"/>
              <w:left w:val="single" w:sz="2" w:space="0" w:color="auto"/>
              <w:bottom w:val="single" w:sz="2" w:space="0" w:color="auto"/>
              <w:right w:val="single" w:sz="2" w:space="0" w:color="auto"/>
            </w:tcBorders>
            <w:vAlign w:val="center"/>
          </w:tcPr>
          <w:p w14:paraId="156350A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5,030,144,201.25</w:t>
            </w:r>
          </w:p>
        </w:tc>
        <w:tc>
          <w:tcPr>
            <w:tcW w:w="3213" w:type="dxa"/>
            <w:tcBorders>
              <w:top w:val="single" w:sz="2" w:space="0" w:color="auto"/>
              <w:left w:val="single" w:sz="2" w:space="0" w:color="auto"/>
              <w:bottom w:val="single" w:sz="2" w:space="0" w:color="auto"/>
              <w:right w:val="single" w:sz="2" w:space="0" w:color="auto"/>
            </w:tcBorders>
            <w:vAlign w:val="center"/>
          </w:tcPr>
          <w:p w14:paraId="1E199F3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5,238,862,453.01</w:t>
            </w:r>
          </w:p>
        </w:tc>
      </w:tr>
      <w:tr w:rsidR="001D26E7" w:rsidRPr="00F614F9" w14:paraId="68F183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519193"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14:paraId="094A922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7,554,237.50</w:t>
            </w:r>
          </w:p>
        </w:tc>
        <w:tc>
          <w:tcPr>
            <w:tcW w:w="3213" w:type="dxa"/>
            <w:tcBorders>
              <w:top w:val="single" w:sz="2" w:space="0" w:color="auto"/>
              <w:left w:val="single" w:sz="2" w:space="0" w:color="auto"/>
              <w:bottom w:val="single" w:sz="2" w:space="0" w:color="auto"/>
              <w:right w:val="single" w:sz="2" w:space="0" w:color="auto"/>
            </w:tcBorders>
            <w:vAlign w:val="center"/>
          </w:tcPr>
          <w:p w14:paraId="0CD52B7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6,591,618.36</w:t>
            </w:r>
          </w:p>
        </w:tc>
      </w:tr>
      <w:tr w:rsidR="001D26E7" w:rsidRPr="00F614F9" w14:paraId="761A545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5CBD5C"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14:paraId="44D920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103,440,119.26</w:t>
            </w:r>
          </w:p>
        </w:tc>
        <w:tc>
          <w:tcPr>
            <w:tcW w:w="3213" w:type="dxa"/>
            <w:tcBorders>
              <w:top w:val="single" w:sz="2" w:space="0" w:color="auto"/>
              <w:left w:val="single" w:sz="2" w:space="0" w:color="auto"/>
              <w:bottom w:val="single" w:sz="2" w:space="0" w:color="auto"/>
              <w:right w:val="single" w:sz="2" w:space="0" w:color="auto"/>
            </w:tcBorders>
            <w:vAlign w:val="center"/>
          </w:tcPr>
          <w:p w14:paraId="58C0C38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111,473,411.67</w:t>
            </w:r>
          </w:p>
        </w:tc>
      </w:tr>
      <w:tr w:rsidR="001D26E7" w:rsidRPr="00F614F9" w14:paraId="2E7D70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221A7E"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14:paraId="165F36E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132,800,663.09</w:t>
            </w:r>
          </w:p>
        </w:tc>
        <w:tc>
          <w:tcPr>
            <w:tcW w:w="3213" w:type="dxa"/>
            <w:tcBorders>
              <w:top w:val="single" w:sz="2" w:space="0" w:color="auto"/>
              <w:left w:val="single" w:sz="2" w:space="0" w:color="auto"/>
              <w:bottom w:val="single" w:sz="2" w:space="0" w:color="auto"/>
              <w:right w:val="single" w:sz="2" w:space="0" w:color="auto"/>
            </w:tcBorders>
            <w:vAlign w:val="center"/>
          </w:tcPr>
          <w:p w14:paraId="5DCA21B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117,829,644.85</w:t>
            </w:r>
          </w:p>
        </w:tc>
      </w:tr>
      <w:tr w:rsidR="001D26E7" w:rsidRPr="00F614F9" w14:paraId="653262A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500AB4"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14:paraId="22B758D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305,520.37</w:t>
            </w:r>
          </w:p>
        </w:tc>
        <w:tc>
          <w:tcPr>
            <w:tcW w:w="3213" w:type="dxa"/>
            <w:tcBorders>
              <w:top w:val="single" w:sz="2" w:space="0" w:color="auto"/>
              <w:left w:val="single" w:sz="2" w:space="0" w:color="auto"/>
              <w:bottom w:val="single" w:sz="2" w:space="0" w:color="auto"/>
              <w:right w:val="single" w:sz="2" w:space="0" w:color="auto"/>
            </w:tcBorders>
            <w:vAlign w:val="center"/>
          </w:tcPr>
          <w:p w14:paraId="6ED7BB1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8,246,604.74</w:t>
            </w:r>
          </w:p>
        </w:tc>
      </w:tr>
      <w:tr w:rsidR="001D26E7" w:rsidRPr="00F614F9" w14:paraId="598490D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FEE10D"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14:paraId="450CA7C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75,116,592.03</w:t>
            </w:r>
          </w:p>
        </w:tc>
        <w:tc>
          <w:tcPr>
            <w:tcW w:w="3213" w:type="dxa"/>
            <w:tcBorders>
              <w:top w:val="single" w:sz="2" w:space="0" w:color="auto"/>
              <w:left w:val="single" w:sz="2" w:space="0" w:color="auto"/>
              <w:bottom w:val="single" w:sz="2" w:space="0" w:color="auto"/>
              <w:right w:val="single" w:sz="2" w:space="0" w:color="auto"/>
            </w:tcBorders>
            <w:vAlign w:val="center"/>
          </w:tcPr>
          <w:p w14:paraId="118C96D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57,696,686.39</w:t>
            </w:r>
          </w:p>
        </w:tc>
      </w:tr>
      <w:tr w:rsidR="001D26E7" w:rsidRPr="00F614F9" w14:paraId="134BF5A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B6AD21"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14:paraId="741C96F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84,404,271.37</w:t>
            </w:r>
          </w:p>
        </w:tc>
        <w:tc>
          <w:tcPr>
            <w:tcW w:w="3213" w:type="dxa"/>
            <w:tcBorders>
              <w:top w:val="single" w:sz="2" w:space="0" w:color="auto"/>
              <w:left w:val="single" w:sz="2" w:space="0" w:color="auto"/>
              <w:bottom w:val="single" w:sz="2" w:space="0" w:color="auto"/>
              <w:right w:val="single" w:sz="2" w:space="0" w:color="auto"/>
            </w:tcBorders>
            <w:vAlign w:val="center"/>
          </w:tcPr>
          <w:p w14:paraId="07D8629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80,759,049.35</w:t>
            </w:r>
          </w:p>
        </w:tc>
      </w:tr>
      <w:tr w:rsidR="001D26E7" w:rsidRPr="00F614F9" w14:paraId="6F515BE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1AFE19" w14:textId="77777777" w:rsidR="001D26E7" w:rsidRPr="00F614F9" w:rsidRDefault="00000000">
            <w:pPr>
              <w:spacing w:before="40" w:after="40" w:line="240" w:lineRule="exact"/>
              <w:ind w:firstLineChars="700" w:firstLine="1260"/>
              <w:rPr>
                <w:rFonts w:ascii="Times New Roman" w:eastAsia="宋体" w:hAnsi="Times New Roman" w:cs="宋体"/>
                <w:sz w:val="18"/>
                <w:szCs w:val="18"/>
              </w:rPr>
            </w:pPr>
            <w:r w:rsidRPr="00F614F9">
              <w:rPr>
                <w:rFonts w:ascii="Times New Roman" w:eastAsia="宋体" w:hAnsi="Times New Roman"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7A92F26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10,379,592.34</w:t>
            </w:r>
          </w:p>
        </w:tc>
        <w:tc>
          <w:tcPr>
            <w:tcW w:w="3213" w:type="dxa"/>
            <w:tcBorders>
              <w:top w:val="single" w:sz="2" w:space="0" w:color="auto"/>
              <w:left w:val="single" w:sz="2" w:space="0" w:color="auto"/>
              <w:bottom w:val="single" w:sz="2" w:space="0" w:color="auto"/>
              <w:right w:val="single" w:sz="2" w:space="0" w:color="auto"/>
            </w:tcBorders>
            <w:vAlign w:val="center"/>
          </w:tcPr>
          <w:p w14:paraId="726A33C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24,727,217.35</w:t>
            </w:r>
          </w:p>
        </w:tc>
      </w:tr>
      <w:tr w:rsidR="001D26E7" w:rsidRPr="00F614F9" w14:paraId="59CE1E4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3F2ABF"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5557B10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4,634,562.34</w:t>
            </w:r>
          </w:p>
        </w:tc>
        <w:tc>
          <w:tcPr>
            <w:tcW w:w="3213" w:type="dxa"/>
            <w:tcBorders>
              <w:top w:val="single" w:sz="2" w:space="0" w:color="auto"/>
              <w:left w:val="single" w:sz="2" w:space="0" w:color="auto"/>
              <w:bottom w:val="single" w:sz="2" w:space="0" w:color="auto"/>
              <w:right w:val="single" w:sz="2" w:space="0" w:color="auto"/>
            </w:tcBorders>
            <w:vAlign w:val="center"/>
          </w:tcPr>
          <w:p w14:paraId="202F835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6,514,071.09</w:t>
            </w:r>
          </w:p>
        </w:tc>
      </w:tr>
      <w:tr w:rsidR="001D26E7" w:rsidRPr="00F614F9" w14:paraId="639F5BE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6C9828"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投资收益（损失以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81614D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2,240,000.00</w:t>
            </w:r>
          </w:p>
        </w:tc>
        <w:tc>
          <w:tcPr>
            <w:tcW w:w="3213" w:type="dxa"/>
            <w:tcBorders>
              <w:top w:val="single" w:sz="2" w:space="0" w:color="auto"/>
              <w:left w:val="single" w:sz="2" w:space="0" w:color="auto"/>
              <w:bottom w:val="single" w:sz="2" w:space="0" w:color="auto"/>
              <w:right w:val="single" w:sz="2" w:space="0" w:color="auto"/>
            </w:tcBorders>
            <w:vAlign w:val="center"/>
          </w:tcPr>
          <w:p w14:paraId="522B566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1,526,929.31</w:t>
            </w:r>
          </w:p>
        </w:tc>
      </w:tr>
      <w:tr w:rsidR="001D26E7" w:rsidRPr="00F614F9" w14:paraId="7182BA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95919E"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4C005F65"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5588F6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2757B7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3FC77A" w14:textId="77777777" w:rsidR="001D26E7" w:rsidRPr="00F614F9" w:rsidRDefault="00000000">
            <w:pPr>
              <w:spacing w:before="40" w:after="40" w:line="240" w:lineRule="exact"/>
              <w:ind w:firstLineChars="700" w:firstLine="1260"/>
              <w:rPr>
                <w:rFonts w:ascii="Times New Roman" w:eastAsia="宋体" w:hAnsi="Times New Roman" w:cs="宋体"/>
                <w:sz w:val="18"/>
                <w:szCs w:val="18"/>
              </w:rPr>
            </w:pPr>
            <w:r w:rsidRPr="00F614F9">
              <w:rPr>
                <w:rFonts w:ascii="Times New Roman" w:eastAsia="宋体" w:hAnsi="Times New Roman" w:cs="宋体"/>
                <w:sz w:val="18"/>
                <w:szCs w:val="18"/>
              </w:rPr>
              <w:t>以摊</w:t>
            </w:r>
            <w:proofErr w:type="gramStart"/>
            <w:r w:rsidRPr="00F614F9">
              <w:rPr>
                <w:rFonts w:ascii="Times New Roman" w:eastAsia="宋体" w:hAnsi="Times New Roman" w:cs="宋体"/>
                <w:sz w:val="18"/>
                <w:szCs w:val="18"/>
              </w:rPr>
              <w:t>余成本</w:t>
            </w:r>
            <w:proofErr w:type="gramEnd"/>
            <w:r w:rsidRPr="00F614F9">
              <w:rPr>
                <w:rFonts w:ascii="Times New Roman" w:eastAsia="宋体" w:hAnsi="Times New Roman" w:cs="宋体"/>
                <w:sz w:val="18"/>
                <w:szCs w:val="18"/>
              </w:rPr>
              <w:t>计量的金融资产终止确认收益（损失以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CD46452"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B195ED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C024EE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396D79"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净敞口套期收益（损失以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1529A6A2"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9EA491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197AF7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997DBB"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公允价值变动收益（损失以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E796744"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27B911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5D14DFA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7B8DA6"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信用减值损失（损失以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7F5D3D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-538,525,922.38</w:t>
            </w:r>
          </w:p>
        </w:tc>
        <w:tc>
          <w:tcPr>
            <w:tcW w:w="3213" w:type="dxa"/>
            <w:tcBorders>
              <w:top w:val="single" w:sz="2" w:space="0" w:color="auto"/>
              <w:left w:val="single" w:sz="2" w:space="0" w:color="auto"/>
              <w:bottom w:val="single" w:sz="2" w:space="0" w:color="auto"/>
              <w:right w:val="single" w:sz="2" w:space="0" w:color="auto"/>
            </w:tcBorders>
            <w:vAlign w:val="center"/>
          </w:tcPr>
          <w:p w14:paraId="1CCC1A2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-1,309,998.53</w:t>
            </w:r>
          </w:p>
        </w:tc>
      </w:tr>
      <w:tr w:rsidR="001D26E7" w:rsidRPr="00F614F9" w14:paraId="3EBD16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D3EE92"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资产减值损失（损失以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1740AA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-118,382,725.63</w:t>
            </w:r>
          </w:p>
        </w:tc>
        <w:tc>
          <w:tcPr>
            <w:tcW w:w="3213" w:type="dxa"/>
            <w:tcBorders>
              <w:top w:val="single" w:sz="2" w:space="0" w:color="auto"/>
              <w:left w:val="single" w:sz="2" w:space="0" w:color="auto"/>
              <w:bottom w:val="single" w:sz="2" w:space="0" w:color="auto"/>
              <w:right w:val="single" w:sz="2" w:space="0" w:color="auto"/>
            </w:tcBorders>
            <w:vAlign w:val="center"/>
          </w:tcPr>
          <w:p w14:paraId="6BC9FB5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-42,928,390.94</w:t>
            </w:r>
          </w:p>
        </w:tc>
      </w:tr>
      <w:tr w:rsidR="001D26E7" w:rsidRPr="00F614F9" w14:paraId="08C2DF6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0D30A8"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资产处置收益（损失以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0108F1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-328,666.28</w:t>
            </w:r>
          </w:p>
        </w:tc>
        <w:tc>
          <w:tcPr>
            <w:tcW w:w="3213" w:type="dxa"/>
            <w:tcBorders>
              <w:top w:val="single" w:sz="2" w:space="0" w:color="auto"/>
              <w:left w:val="single" w:sz="2" w:space="0" w:color="auto"/>
              <w:bottom w:val="single" w:sz="2" w:space="0" w:color="auto"/>
              <w:right w:val="single" w:sz="2" w:space="0" w:color="auto"/>
            </w:tcBorders>
            <w:vAlign w:val="center"/>
          </w:tcPr>
          <w:p w14:paraId="264D911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26,960.24</w:t>
            </w:r>
          </w:p>
        </w:tc>
      </w:tr>
      <w:tr w:rsidR="001D26E7" w:rsidRPr="00F614F9" w14:paraId="2FD9CB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00CB3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二、营业利润（亏损以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481705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-778,944,346.47</w:t>
            </w:r>
          </w:p>
        </w:tc>
        <w:tc>
          <w:tcPr>
            <w:tcW w:w="3213" w:type="dxa"/>
            <w:tcBorders>
              <w:top w:val="single" w:sz="2" w:space="0" w:color="auto"/>
              <w:left w:val="single" w:sz="2" w:space="0" w:color="auto"/>
              <w:bottom w:val="single" w:sz="2" w:space="0" w:color="auto"/>
              <w:right w:val="single" w:sz="2" w:space="0" w:color="auto"/>
            </w:tcBorders>
            <w:vAlign w:val="center"/>
          </w:tcPr>
          <w:p w14:paraId="64BFDEF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-102,197,112.18</w:t>
            </w:r>
          </w:p>
        </w:tc>
      </w:tr>
      <w:tr w:rsidR="001D26E7" w:rsidRPr="00F614F9" w14:paraId="0F229F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696D2B"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14:paraId="548DF9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1,150,633.84</w:t>
            </w:r>
          </w:p>
        </w:tc>
        <w:tc>
          <w:tcPr>
            <w:tcW w:w="3213" w:type="dxa"/>
            <w:tcBorders>
              <w:top w:val="single" w:sz="2" w:space="0" w:color="auto"/>
              <w:left w:val="single" w:sz="2" w:space="0" w:color="auto"/>
              <w:bottom w:val="single" w:sz="2" w:space="0" w:color="auto"/>
              <w:right w:val="single" w:sz="2" w:space="0" w:color="auto"/>
            </w:tcBorders>
            <w:vAlign w:val="center"/>
          </w:tcPr>
          <w:p w14:paraId="659E90B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539,695.97</w:t>
            </w:r>
          </w:p>
        </w:tc>
      </w:tr>
      <w:tr w:rsidR="001D26E7" w:rsidRPr="00F614F9" w14:paraId="1E10228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43AA12"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14:paraId="44E0563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17,008,036.80</w:t>
            </w:r>
          </w:p>
        </w:tc>
        <w:tc>
          <w:tcPr>
            <w:tcW w:w="3213" w:type="dxa"/>
            <w:tcBorders>
              <w:top w:val="single" w:sz="2" w:space="0" w:color="auto"/>
              <w:left w:val="single" w:sz="2" w:space="0" w:color="auto"/>
              <w:bottom w:val="single" w:sz="2" w:space="0" w:color="auto"/>
              <w:right w:val="single" w:sz="2" w:space="0" w:color="auto"/>
            </w:tcBorders>
            <w:vAlign w:val="center"/>
          </w:tcPr>
          <w:p w14:paraId="6D59835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4,262,492.05</w:t>
            </w:r>
          </w:p>
        </w:tc>
      </w:tr>
      <w:tr w:rsidR="001D26E7" w:rsidRPr="00F614F9" w14:paraId="2BEFB01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0A70E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三、利润总额（亏损总额以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79B685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-794,801,749.43</w:t>
            </w:r>
          </w:p>
        </w:tc>
        <w:tc>
          <w:tcPr>
            <w:tcW w:w="3213" w:type="dxa"/>
            <w:tcBorders>
              <w:top w:val="single" w:sz="2" w:space="0" w:color="auto"/>
              <w:left w:val="single" w:sz="2" w:space="0" w:color="auto"/>
              <w:bottom w:val="single" w:sz="2" w:space="0" w:color="auto"/>
              <w:right w:val="single" w:sz="2" w:space="0" w:color="auto"/>
            </w:tcBorders>
            <w:vAlign w:val="center"/>
          </w:tcPr>
          <w:p w14:paraId="500005E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-105,919,908.26</w:t>
            </w:r>
          </w:p>
        </w:tc>
      </w:tr>
      <w:tr w:rsidR="001D26E7" w:rsidRPr="00F614F9" w14:paraId="229CE4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42F9CF"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15764E6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31,271,476.88</w:t>
            </w:r>
          </w:p>
        </w:tc>
        <w:tc>
          <w:tcPr>
            <w:tcW w:w="3213" w:type="dxa"/>
            <w:tcBorders>
              <w:top w:val="single" w:sz="2" w:space="0" w:color="auto"/>
              <w:left w:val="single" w:sz="2" w:space="0" w:color="auto"/>
              <w:bottom w:val="single" w:sz="2" w:space="0" w:color="auto"/>
              <w:right w:val="single" w:sz="2" w:space="0" w:color="auto"/>
            </w:tcBorders>
            <w:vAlign w:val="center"/>
          </w:tcPr>
          <w:p w14:paraId="76AB3F0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17,901,564.38</w:t>
            </w:r>
          </w:p>
        </w:tc>
      </w:tr>
      <w:tr w:rsidR="001D26E7" w:rsidRPr="00F614F9" w14:paraId="016571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0730B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四、净利润（净亏损以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46E597E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-826,073,226.31</w:t>
            </w:r>
          </w:p>
        </w:tc>
        <w:tc>
          <w:tcPr>
            <w:tcW w:w="3213" w:type="dxa"/>
            <w:tcBorders>
              <w:top w:val="single" w:sz="2" w:space="0" w:color="auto"/>
              <w:left w:val="single" w:sz="2" w:space="0" w:color="auto"/>
              <w:bottom w:val="single" w:sz="2" w:space="0" w:color="auto"/>
              <w:right w:val="single" w:sz="2" w:space="0" w:color="auto"/>
            </w:tcBorders>
            <w:vAlign w:val="center"/>
          </w:tcPr>
          <w:p w14:paraId="7102543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-123,821,472.64</w:t>
            </w:r>
          </w:p>
        </w:tc>
      </w:tr>
      <w:tr w:rsidR="001D26E7" w:rsidRPr="00F614F9" w14:paraId="3B13E9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CB01AA"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（一）持续经营净利润（净亏损以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60BA1D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-826,073,226.31</w:t>
            </w:r>
          </w:p>
        </w:tc>
        <w:tc>
          <w:tcPr>
            <w:tcW w:w="3213" w:type="dxa"/>
            <w:tcBorders>
              <w:top w:val="single" w:sz="2" w:space="0" w:color="auto"/>
              <w:left w:val="single" w:sz="2" w:space="0" w:color="auto"/>
              <w:bottom w:val="single" w:sz="2" w:space="0" w:color="auto"/>
              <w:right w:val="single" w:sz="2" w:space="0" w:color="auto"/>
            </w:tcBorders>
            <w:vAlign w:val="center"/>
          </w:tcPr>
          <w:p w14:paraId="274C743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-123,821,472.64</w:t>
            </w:r>
          </w:p>
        </w:tc>
      </w:tr>
      <w:tr w:rsidR="001D26E7" w:rsidRPr="00F614F9" w14:paraId="776D0BD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F8FCDD"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（二）终止经营净利润（净亏损以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C096614"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F9DE528"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B805B5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6C2EE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五、其他综合收益的税后净额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2A50B1E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3213" w:type="dxa"/>
            <w:tcBorders>
              <w:top w:val="single" w:sz="2" w:space="0" w:color="auto"/>
              <w:left w:val="single" w:sz="2" w:space="0" w:color="auto"/>
              <w:bottom w:val="single" w:sz="2" w:space="0" w:color="auto"/>
              <w:right w:val="single" w:sz="2" w:space="0" w:color="auto"/>
            </w:tcBorders>
            <w:vAlign w:val="center"/>
          </w:tcPr>
          <w:p w14:paraId="74C6D90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-2,944,455.09</w:t>
            </w:r>
          </w:p>
        </w:tc>
      </w:tr>
      <w:tr w:rsidR="001D26E7" w:rsidRPr="00F614F9" w14:paraId="6EE780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3C5625" w14:textId="77777777" w:rsidR="001D26E7" w:rsidRPr="00F614F9" w:rsidRDefault="00000000">
            <w:pPr>
              <w:spacing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63C19ED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3213" w:type="dxa"/>
            <w:tcBorders>
              <w:top w:val="single" w:sz="2" w:space="0" w:color="auto"/>
              <w:left w:val="single" w:sz="2" w:space="0" w:color="auto"/>
              <w:bottom w:val="single" w:sz="2" w:space="0" w:color="auto"/>
              <w:right w:val="single" w:sz="2" w:space="0" w:color="auto"/>
            </w:tcBorders>
            <w:vAlign w:val="center"/>
          </w:tcPr>
          <w:p w14:paraId="15F83A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-2,944,455.09</w:t>
            </w:r>
          </w:p>
        </w:tc>
      </w:tr>
      <w:tr w:rsidR="001D26E7" w:rsidRPr="00F614F9" w14:paraId="034C9B0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47300B"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14:paraId="400AF1C9"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EEA730C"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8CAA0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E54021"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71D9F5DF"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1BA7295"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94D92E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8247C4"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7107F2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3213" w:type="dxa"/>
            <w:tcBorders>
              <w:top w:val="single" w:sz="2" w:space="0" w:color="auto"/>
              <w:left w:val="single" w:sz="2" w:space="0" w:color="auto"/>
              <w:bottom w:val="single" w:sz="2" w:space="0" w:color="auto"/>
              <w:right w:val="single" w:sz="2" w:space="0" w:color="auto"/>
            </w:tcBorders>
            <w:vAlign w:val="center"/>
          </w:tcPr>
          <w:p w14:paraId="58DE0AB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-2,944,455.09</w:t>
            </w:r>
          </w:p>
        </w:tc>
      </w:tr>
      <w:tr w:rsidR="001D26E7" w:rsidRPr="00F614F9" w14:paraId="4068E6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0976E5"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企业自身信用风险公允价值</w:t>
            </w:r>
            <w:r w:rsidRPr="00F614F9">
              <w:rPr>
                <w:rFonts w:ascii="Times New Roman" w:eastAsia="宋体" w:hAnsi="Times New Roman" w:cs="宋体"/>
                <w:sz w:val="18"/>
                <w:szCs w:val="18"/>
              </w:rPr>
              <w:lastRenderedPageBreak/>
              <w:t>变动</w:t>
            </w:r>
          </w:p>
        </w:tc>
        <w:tc>
          <w:tcPr>
            <w:tcW w:w="3213" w:type="dxa"/>
            <w:tcBorders>
              <w:top w:val="single" w:sz="2" w:space="0" w:color="auto"/>
              <w:left w:val="single" w:sz="2" w:space="0" w:color="auto"/>
              <w:bottom w:val="single" w:sz="2" w:space="0" w:color="auto"/>
              <w:right w:val="single" w:sz="2" w:space="0" w:color="auto"/>
            </w:tcBorders>
            <w:vAlign w:val="center"/>
          </w:tcPr>
          <w:p w14:paraId="5622F3E6"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5F3AE0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8E1BE7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724F94"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5.</w:t>
            </w:r>
            <w:r w:rsidRPr="00F614F9">
              <w:rPr>
                <w:rFonts w:ascii="Times New Roman" w:eastAsia="宋体" w:hAnsi="Times New Roman"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2363A82D"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1377DC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8C48B6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54E6BF" w14:textId="77777777" w:rsidR="001D26E7" w:rsidRPr="00F614F9" w:rsidRDefault="00000000">
            <w:pPr>
              <w:spacing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6F250F77"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BCF3F83"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BA8BE1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24261E"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10D6F583"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95674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A85A5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91D014"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5BE840A4"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804C850"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D7938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1C33B6"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14:paraId="68F88F5A"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A05F6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8C95F6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803684"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07B82E90"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FDEFE2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4788F8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5E03EF"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5.</w:t>
            </w:r>
            <w:r w:rsidRPr="00F614F9">
              <w:rPr>
                <w:rFonts w:ascii="Times New Roman" w:eastAsia="宋体" w:hAnsi="Times New Roman" w:cs="宋体"/>
                <w:sz w:val="18"/>
                <w:szCs w:val="18"/>
              </w:rPr>
              <w:t>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14:paraId="01C99190"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CE1FB75"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3F3C6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27C8BF"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6.</w:t>
            </w:r>
            <w:r w:rsidRPr="00F614F9">
              <w:rPr>
                <w:rFonts w:ascii="Times New Roman" w:eastAsia="宋体" w:hAnsi="Times New Roman" w:cs="宋体"/>
                <w:sz w:val="18"/>
                <w:szCs w:val="18"/>
              </w:rPr>
              <w:t>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14:paraId="214D2DF7"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E929C2"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E4401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1F7435" w14:textId="77777777" w:rsidR="001D26E7" w:rsidRPr="00F614F9" w:rsidRDefault="00000000">
            <w:pPr>
              <w:spacing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7.</w:t>
            </w:r>
            <w:r w:rsidRPr="00F614F9">
              <w:rPr>
                <w:rFonts w:ascii="Times New Roman" w:eastAsia="宋体" w:hAnsi="Times New Roman"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73B9C9C7"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97EBDCC"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45914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EDA21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六、综合收益总额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3470338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-826,395,405.98</w:t>
            </w:r>
          </w:p>
        </w:tc>
        <w:tc>
          <w:tcPr>
            <w:tcW w:w="3213" w:type="dxa"/>
            <w:tcBorders>
              <w:top w:val="single" w:sz="2" w:space="0" w:color="auto"/>
              <w:left w:val="single" w:sz="2" w:space="0" w:color="auto"/>
              <w:bottom w:val="single" w:sz="2" w:space="0" w:color="auto"/>
              <w:right w:val="single" w:sz="2" w:space="0" w:color="auto"/>
            </w:tcBorders>
            <w:vAlign w:val="center"/>
          </w:tcPr>
          <w:p w14:paraId="4F75C6D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-126,765,927.73</w:t>
            </w:r>
          </w:p>
        </w:tc>
      </w:tr>
      <w:tr w:rsidR="001D26E7" w:rsidRPr="00F614F9" w14:paraId="0AC3D26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7ACEA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七、每股收益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575B5A"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584E62" w14:textId="77777777" w:rsidR="001D26E7" w:rsidRPr="00F614F9" w:rsidRDefault="001D26E7">
            <w:pPr>
              <w:rPr>
                <w:rFonts w:ascii="Times New Roman" w:hAnsi="Times New Roman"/>
              </w:rPr>
            </w:pPr>
          </w:p>
        </w:tc>
      </w:tr>
      <w:tr w:rsidR="001D26E7" w:rsidRPr="00F614F9" w14:paraId="7671CEB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6B9A3A"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5C08709F"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AD55D87"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5E671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1552E7"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581A0F67"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ACDD80D" w14:textId="77777777" w:rsidR="001D26E7" w:rsidRPr="00F614F9" w:rsidRDefault="001D26E7">
            <w:pPr>
              <w:spacing w:line="240" w:lineRule="exact"/>
              <w:jc w:val="right"/>
              <w:rPr>
                <w:rFonts w:ascii="Times New Roman" w:eastAsia="宋体" w:hAnsi="Times New Roman" w:cs="宋体"/>
                <w:sz w:val="18"/>
                <w:szCs w:val="18"/>
              </w:rPr>
            </w:pPr>
          </w:p>
        </w:tc>
      </w:tr>
    </w:tbl>
    <w:p w14:paraId="34A38C35" w14:textId="77777777" w:rsidR="001D26E7" w:rsidRPr="00F614F9" w:rsidRDefault="00000000">
      <w:pPr>
        <w:pStyle w:val="3"/>
        <w:spacing w:line="280" w:lineRule="exact"/>
        <w:jc w:val="left"/>
        <w:rPr>
          <w:rFonts w:ascii="Times New Roman" w:hAnsi="Times New Roman" w:cs="宋体"/>
          <w:b/>
          <w:bCs/>
        </w:rPr>
      </w:pPr>
      <w:bookmarkStart w:id="240" w:name="_Toc989058"/>
      <w:r w:rsidRPr="00F614F9">
        <w:rPr>
          <w:rFonts w:ascii="Times New Roman" w:hAnsi="Times New Roman" w:cs="宋体"/>
          <w:b/>
          <w:bCs/>
        </w:rPr>
        <w:t>5</w:t>
      </w:r>
      <w:r w:rsidRPr="00F614F9">
        <w:rPr>
          <w:rFonts w:ascii="Times New Roman" w:hAnsi="Times New Roman" w:cs="宋体"/>
          <w:b/>
          <w:bCs/>
        </w:rPr>
        <w:t>、合并现金流量表</w:t>
      </w:r>
      <w:bookmarkEnd w:id="240"/>
    </w:p>
    <w:p w14:paraId="014693FE"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2EC0166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A8165F" w14:textId="77777777" w:rsidR="001D26E7" w:rsidRPr="00F614F9" w:rsidRDefault="00000000">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6EFC99" w14:textId="77777777" w:rsidR="001D26E7" w:rsidRPr="00F614F9" w:rsidRDefault="00000000">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DD66DE" w14:textId="77777777" w:rsidR="001D26E7" w:rsidRPr="00F614F9" w:rsidRDefault="00000000">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年度</w:t>
            </w:r>
          </w:p>
        </w:tc>
      </w:tr>
      <w:tr w:rsidR="001D26E7" w:rsidRPr="00F614F9" w14:paraId="7FE6BDF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278F3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AEBE45"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C6563A" w14:textId="77777777" w:rsidR="001D26E7" w:rsidRPr="00F614F9" w:rsidRDefault="001D26E7">
            <w:pPr>
              <w:rPr>
                <w:rFonts w:ascii="Times New Roman" w:hAnsi="Times New Roman"/>
              </w:rPr>
            </w:pPr>
          </w:p>
        </w:tc>
      </w:tr>
      <w:tr w:rsidR="001D26E7" w:rsidRPr="00F614F9" w14:paraId="0879400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12B732"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330AECC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14,294,718,462.37</w:t>
            </w:r>
          </w:p>
        </w:tc>
        <w:tc>
          <w:tcPr>
            <w:tcW w:w="3213" w:type="dxa"/>
            <w:tcBorders>
              <w:top w:val="single" w:sz="2" w:space="0" w:color="auto"/>
              <w:left w:val="single" w:sz="2" w:space="0" w:color="auto"/>
              <w:bottom w:val="single" w:sz="2" w:space="0" w:color="auto"/>
              <w:right w:val="single" w:sz="2" w:space="0" w:color="auto"/>
            </w:tcBorders>
            <w:vAlign w:val="center"/>
          </w:tcPr>
          <w:p w14:paraId="452A728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15,536,318,636.31</w:t>
            </w:r>
          </w:p>
        </w:tc>
      </w:tr>
      <w:tr w:rsidR="001D26E7" w:rsidRPr="00F614F9" w14:paraId="42B9A87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9AE85F"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7D16074"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6DF0C0"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EF5635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812909"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61101A81"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1D5B7B5"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32027E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F19AA2"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5DC62D5D"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6C733E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E2AE28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A8693E"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14:paraId="5EDA4790"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6F8498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D6B0ED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40CDA0"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571D4DA3"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A38503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E8C67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248641"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73F17C0"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A7ED3B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741325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711B2E"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7D2C7F4F"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F1D0478"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50CAD8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35A0D3"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367C1B5"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E7EE46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54E24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6A5F78"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75DD84B6"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E393FB7"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84AD38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D08942"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582E67B1"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4CCC6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9E4E6B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A2A848"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14:paraId="501EA6C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38,689,208.73</w:t>
            </w:r>
          </w:p>
        </w:tc>
        <w:tc>
          <w:tcPr>
            <w:tcW w:w="3213" w:type="dxa"/>
            <w:tcBorders>
              <w:top w:val="single" w:sz="2" w:space="0" w:color="auto"/>
              <w:left w:val="single" w:sz="2" w:space="0" w:color="auto"/>
              <w:bottom w:val="single" w:sz="2" w:space="0" w:color="auto"/>
              <w:right w:val="single" w:sz="2" w:space="0" w:color="auto"/>
            </w:tcBorders>
            <w:vAlign w:val="center"/>
          </w:tcPr>
          <w:p w14:paraId="42EFF05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58,310,071.45</w:t>
            </w:r>
          </w:p>
        </w:tc>
      </w:tr>
      <w:tr w:rsidR="001D26E7" w:rsidRPr="00F614F9" w14:paraId="525F795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74E163"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77F76F0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222,912,636.28</w:t>
            </w:r>
          </w:p>
        </w:tc>
        <w:tc>
          <w:tcPr>
            <w:tcW w:w="3213" w:type="dxa"/>
            <w:tcBorders>
              <w:top w:val="single" w:sz="2" w:space="0" w:color="auto"/>
              <w:left w:val="single" w:sz="2" w:space="0" w:color="auto"/>
              <w:bottom w:val="single" w:sz="2" w:space="0" w:color="auto"/>
              <w:right w:val="single" w:sz="2" w:space="0" w:color="auto"/>
            </w:tcBorders>
            <w:vAlign w:val="center"/>
          </w:tcPr>
          <w:p w14:paraId="6A6C28A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159,705,370.89</w:t>
            </w:r>
          </w:p>
        </w:tc>
      </w:tr>
      <w:tr w:rsidR="001D26E7" w:rsidRPr="00F614F9" w14:paraId="06D88D0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BEB1B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35B441F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14,556,320,307.38</w:t>
            </w:r>
          </w:p>
        </w:tc>
        <w:tc>
          <w:tcPr>
            <w:tcW w:w="3213" w:type="dxa"/>
            <w:tcBorders>
              <w:top w:val="single" w:sz="2" w:space="0" w:color="auto"/>
              <w:left w:val="single" w:sz="2" w:space="0" w:color="auto"/>
              <w:bottom w:val="single" w:sz="2" w:space="0" w:color="auto"/>
              <w:right w:val="single" w:sz="2" w:space="0" w:color="auto"/>
            </w:tcBorders>
            <w:vAlign w:val="center"/>
          </w:tcPr>
          <w:p w14:paraId="5F52CEE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15,754,334,078.65</w:t>
            </w:r>
          </w:p>
        </w:tc>
      </w:tr>
      <w:tr w:rsidR="001D26E7" w:rsidRPr="00F614F9" w14:paraId="61BAE3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A5EFFF"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44F4EFE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14,291,607,544.28</w:t>
            </w:r>
          </w:p>
        </w:tc>
        <w:tc>
          <w:tcPr>
            <w:tcW w:w="3213" w:type="dxa"/>
            <w:tcBorders>
              <w:top w:val="single" w:sz="2" w:space="0" w:color="auto"/>
              <w:left w:val="single" w:sz="2" w:space="0" w:color="auto"/>
              <w:bottom w:val="single" w:sz="2" w:space="0" w:color="auto"/>
              <w:right w:val="single" w:sz="2" w:space="0" w:color="auto"/>
            </w:tcBorders>
            <w:vAlign w:val="center"/>
          </w:tcPr>
          <w:p w14:paraId="03A4BB8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13,935,734,552.23</w:t>
            </w:r>
          </w:p>
        </w:tc>
      </w:tr>
      <w:tr w:rsidR="001D26E7" w:rsidRPr="00F614F9" w14:paraId="1666F8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B6FEA4"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5C53C28D"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45B876C"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ABD1CE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639DA7"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13A3C698"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066E2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152ADF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0A5CA6"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14:paraId="2C9135E1"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9CCCFF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93F52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E8ACE7"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83E0165"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DC853A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4DE553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3FFD2F"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2AE0CB71"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CE97FF3"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640E8E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77BA7B"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14:paraId="5C39CDA2"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092AE99"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CB33BC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334D58"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622AECA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498,639,640.35</w:t>
            </w:r>
          </w:p>
        </w:tc>
        <w:tc>
          <w:tcPr>
            <w:tcW w:w="3213" w:type="dxa"/>
            <w:tcBorders>
              <w:top w:val="single" w:sz="2" w:space="0" w:color="auto"/>
              <w:left w:val="single" w:sz="2" w:space="0" w:color="auto"/>
              <w:bottom w:val="single" w:sz="2" w:space="0" w:color="auto"/>
              <w:right w:val="single" w:sz="2" w:space="0" w:color="auto"/>
            </w:tcBorders>
            <w:vAlign w:val="center"/>
          </w:tcPr>
          <w:p w14:paraId="23C4B72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537,916,394.25</w:t>
            </w:r>
          </w:p>
        </w:tc>
      </w:tr>
      <w:tr w:rsidR="001D26E7" w:rsidRPr="00F614F9" w14:paraId="40BD97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08BDED"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14:paraId="516AD9E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35,104,307.66</w:t>
            </w:r>
          </w:p>
        </w:tc>
        <w:tc>
          <w:tcPr>
            <w:tcW w:w="3213" w:type="dxa"/>
            <w:tcBorders>
              <w:top w:val="single" w:sz="2" w:space="0" w:color="auto"/>
              <w:left w:val="single" w:sz="2" w:space="0" w:color="auto"/>
              <w:bottom w:val="single" w:sz="2" w:space="0" w:color="auto"/>
              <w:right w:val="single" w:sz="2" w:space="0" w:color="auto"/>
            </w:tcBorders>
            <w:vAlign w:val="center"/>
          </w:tcPr>
          <w:p w14:paraId="0B36649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43,597,291.04</w:t>
            </w:r>
          </w:p>
        </w:tc>
      </w:tr>
      <w:tr w:rsidR="001D26E7" w:rsidRPr="00F614F9" w14:paraId="7BE298E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57946D"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6EE5EBD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319,687,293.78</w:t>
            </w:r>
          </w:p>
        </w:tc>
        <w:tc>
          <w:tcPr>
            <w:tcW w:w="3213" w:type="dxa"/>
            <w:tcBorders>
              <w:top w:val="single" w:sz="2" w:space="0" w:color="auto"/>
              <w:left w:val="single" w:sz="2" w:space="0" w:color="auto"/>
              <w:bottom w:val="single" w:sz="2" w:space="0" w:color="auto"/>
              <w:right w:val="single" w:sz="2" w:space="0" w:color="auto"/>
            </w:tcBorders>
            <w:vAlign w:val="center"/>
          </w:tcPr>
          <w:p w14:paraId="05968E6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295,983,378.97</w:t>
            </w:r>
          </w:p>
        </w:tc>
      </w:tr>
      <w:tr w:rsidR="001D26E7" w:rsidRPr="00F614F9" w14:paraId="06B3D5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11B82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25D38EC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15,145,038,786.07</w:t>
            </w:r>
          </w:p>
        </w:tc>
        <w:tc>
          <w:tcPr>
            <w:tcW w:w="3213" w:type="dxa"/>
            <w:tcBorders>
              <w:top w:val="single" w:sz="2" w:space="0" w:color="auto"/>
              <w:left w:val="single" w:sz="2" w:space="0" w:color="auto"/>
              <w:bottom w:val="single" w:sz="2" w:space="0" w:color="auto"/>
              <w:right w:val="single" w:sz="2" w:space="0" w:color="auto"/>
            </w:tcBorders>
            <w:vAlign w:val="center"/>
          </w:tcPr>
          <w:p w14:paraId="40187E5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14,813,231,616.49</w:t>
            </w:r>
          </w:p>
        </w:tc>
      </w:tr>
      <w:tr w:rsidR="001D26E7" w:rsidRPr="00F614F9" w14:paraId="5AA23BF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23BF4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426D747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-588,718,478.69</w:t>
            </w:r>
          </w:p>
        </w:tc>
        <w:tc>
          <w:tcPr>
            <w:tcW w:w="3213" w:type="dxa"/>
            <w:tcBorders>
              <w:top w:val="single" w:sz="2" w:space="0" w:color="auto"/>
              <w:left w:val="single" w:sz="2" w:space="0" w:color="auto"/>
              <w:bottom w:val="single" w:sz="2" w:space="0" w:color="auto"/>
              <w:right w:val="single" w:sz="2" w:space="0" w:color="auto"/>
            </w:tcBorders>
            <w:vAlign w:val="center"/>
          </w:tcPr>
          <w:p w14:paraId="7C18B34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941,102,462.16</w:t>
            </w:r>
          </w:p>
        </w:tc>
      </w:tr>
      <w:tr w:rsidR="001D26E7" w:rsidRPr="00F614F9" w14:paraId="7D7C09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E2CA0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6DEFFF"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9CE7F8" w14:textId="77777777" w:rsidR="001D26E7" w:rsidRPr="00F614F9" w:rsidRDefault="001D26E7">
            <w:pPr>
              <w:rPr>
                <w:rFonts w:ascii="Times New Roman" w:hAnsi="Times New Roman"/>
              </w:rPr>
            </w:pPr>
          </w:p>
        </w:tc>
      </w:tr>
      <w:tr w:rsidR="001D26E7" w:rsidRPr="00F614F9" w14:paraId="386ADD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7B0B41"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7D6B88F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1,200,000,000.00</w:t>
            </w:r>
          </w:p>
        </w:tc>
        <w:tc>
          <w:tcPr>
            <w:tcW w:w="3213" w:type="dxa"/>
            <w:tcBorders>
              <w:top w:val="single" w:sz="2" w:space="0" w:color="auto"/>
              <w:left w:val="single" w:sz="2" w:space="0" w:color="auto"/>
              <w:bottom w:val="single" w:sz="2" w:space="0" w:color="auto"/>
              <w:right w:val="single" w:sz="2" w:space="0" w:color="auto"/>
            </w:tcBorders>
            <w:vAlign w:val="center"/>
          </w:tcPr>
          <w:p w14:paraId="2172491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830,000,000.00</w:t>
            </w:r>
          </w:p>
        </w:tc>
      </w:tr>
      <w:tr w:rsidR="001D26E7" w:rsidRPr="00F614F9" w14:paraId="72846C6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CB271B"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6AA834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24,000,000.00</w:t>
            </w:r>
          </w:p>
        </w:tc>
        <w:tc>
          <w:tcPr>
            <w:tcW w:w="3213" w:type="dxa"/>
            <w:tcBorders>
              <w:top w:val="single" w:sz="2" w:space="0" w:color="auto"/>
              <w:left w:val="single" w:sz="2" w:space="0" w:color="auto"/>
              <w:bottom w:val="single" w:sz="2" w:space="0" w:color="auto"/>
              <w:right w:val="single" w:sz="2" w:space="0" w:color="auto"/>
            </w:tcBorders>
            <w:vAlign w:val="center"/>
          </w:tcPr>
          <w:p w14:paraId="51FD03B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12,966,929.31</w:t>
            </w:r>
          </w:p>
        </w:tc>
      </w:tr>
      <w:tr w:rsidR="001D26E7" w:rsidRPr="00F614F9" w14:paraId="05BFFF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3EAA77"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lastRenderedPageBreak/>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481E805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118,872,222.49</w:t>
            </w:r>
          </w:p>
        </w:tc>
        <w:tc>
          <w:tcPr>
            <w:tcW w:w="3213" w:type="dxa"/>
            <w:tcBorders>
              <w:top w:val="single" w:sz="2" w:space="0" w:color="auto"/>
              <w:left w:val="single" w:sz="2" w:space="0" w:color="auto"/>
              <w:bottom w:val="single" w:sz="2" w:space="0" w:color="auto"/>
              <w:right w:val="single" w:sz="2" w:space="0" w:color="auto"/>
            </w:tcBorders>
            <w:vAlign w:val="center"/>
          </w:tcPr>
          <w:p w14:paraId="552EF6D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54,478,054.62</w:t>
            </w:r>
          </w:p>
        </w:tc>
      </w:tr>
      <w:tr w:rsidR="001D26E7" w:rsidRPr="00F614F9" w14:paraId="1D8DD2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C16A51"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64187BAB"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A4D2B9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40EAE7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D1CE32"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5FE02F8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368B2B73"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E3C599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482DA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760D17E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1,342,872,222.49</w:t>
            </w:r>
          </w:p>
        </w:tc>
        <w:tc>
          <w:tcPr>
            <w:tcW w:w="3213" w:type="dxa"/>
            <w:tcBorders>
              <w:top w:val="single" w:sz="2" w:space="0" w:color="auto"/>
              <w:left w:val="single" w:sz="2" w:space="0" w:color="auto"/>
              <w:bottom w:val="single" w:sz="2" w:space="0" w:color="auto"/>
              <w:right w:val="single" w:sz="2" w:space="0" w:color="auto"/>
            </w:tcBorders>
            <w:vAlign w:val="center"/>
          </w:tcPr>
          <w:p w14:paraId="6F5A82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897,444,983.93</w:t>
            </w:r>
          </w:p>
        </w:tc>
      </w:tr>
      <w:tr w:rsidR="001D26E7" w:rsidRPr="00F614F9" w14:paraId="11B359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4584C4"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420332B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424,592,421.14</w:t>
            </w:r>
          </w:p>
        </w:tc>
        <w:tc>
          <w:tcPr>
            <w:tcW w:w="3213" w:type="dxa"/>
            <w:tcBorders>
              <w:top w:val="single" w:sz="2" w:space="0" w:color="auto"/>
              <w:left w:val="single" w:sz="2" w:space="0" w:color="auto"/>
              <w:bottom w:val="single" w:sz="2" w:space="0" w:color="auto"/>
              <w:right w:val="single" w:sz="2" w:space="0" w:color="auto"/>
            </w:tcBorders>
            <w:vAlign w:val="center"/>
          </w:tcPr>
          <w:p w14:paraId="0FBE46E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669,058,334.22</w:t>
            </w:r>
          </w:p>
        </w:tc>
      </w:tr>
      <w:tr w:rsidR="001D26E7" w:rsidRPr="00F614F9" w14:paraId="3001AD0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6CEE1E"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75F7C1E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623,313,809.04</w:t>
            </w:r>
          </w:p>
        </w:tc>
        <w:tc>
          <w:tcPr>
            <w:tcW w:w="3213" w:type="dxa"/>
            <w:tcBorders>
              <w:top w:val="single" w:sz="2" w:space="0" w:color="auto"/>
              <w:left w:val="single" w:sz="2" w:space="0" w:color="auto"/>
              <w:bottom w:val="single" w:sz="2" w:space="0" w:color="auto"/>
              <w:right w:val="single" w:sz="2" w:space="0" w:color="auto"/>
            </w:tcBorders>
            <w:vAlign w:val="center"/>
          </w:tcPr>
          <w:p w14:paraId="3CD7707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1,430,000,000.00</w:t>
            </w:r>
          </w:p>
        </w:tc>
      </w:tr>
      <w:tr w:rsidR="001D26E7" w:rsidRPr="00F614F9" w14:paraId="5CF545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583A7D"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12C8AFCB"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80CC52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CCCEF1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7E36F7"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2D0F8204"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6FB9697"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A8F46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FDA6E4"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49F848A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55070D1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23876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9B75C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2801DDD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1,047,906,230.18</w:t>
            </w:r>
          </w:p>
        </w:tc>
        <w:tc>
          <w:tcPr>
            <w:tcW w:w="3213" w:type="dxa"/>
            <w:tcBorders>
              <w:top w:val="single" w:sz="2" w:space="0" w:color="auto"/>
              <w:left w:val="single" w:sz="2" w:space="0" w:color="auto"/>
              <w:bottom w:val="single" w:sz="2" w:space="0" w:color="auto"/>
              <w:right w:val="single" w:sz="2" w:space="0" w:color="auto"/>
            </w:tcBorders>
            <w:vAlign w:val="center"/>
          </w:tcPr>
          <w:p w14:paraId="6AA90BD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2,099,058,334.22</w:t>
            </w:r>
          </w:p>
        </w:tc>
      </w:tr>
      <w:tr w:rsidR="001D26E7" w:rsidRPr="00F614F9" w14:paraId="142CA0C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1D36B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2AC9C13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294,965,992.31</w:t>
            </w:r>
          </w:p>
        </w:tc>
        <w:tc>
          <w:tcPr>
            <w:tcW w:w="3213" w:type="dxa"/>
            <w:tcBorders>
              <w:top w:val="single" w:sz="2" w:space="0" w:color="auto"/>
              <w:left w:val="single" w:sz="2" w:space="0" w:color="auto"/>
              <w:bottom w:val="single" w:sz="2" w:space="0" w:color="auto"/>
              <w:right w:val="single" w:sz="2" w:space="0" w:color="auto"/>
            </w:tcBorders>
            <w:vAlign w:val="center"/>
          </w:tcPr>
          <w:p w14:paraId="1905F24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-1,201,613,350.29</w:t>
            </w:r>
          </w:p>
        </w:tc>
      </w:tr>
      <w:tr w:rsidR="001D26E7" w:rsidRPr="00F614F9" w14:paraId="2CE8FE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21C0D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F01FA6"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FADC7A" w14:textId="77777777" w:rsidR="001D26E7" w:rsidRPr="00F614F9" w:rsidRDefault="001D26E7">
            <w:pPr>
              <w:rPr>
                <w:rFonts w:ascii="Times New Roman" w:hAnsi="Times New Roman"/>
              </w:rPr>
            </w:pPr>
          </w:p>
        </w:tc>
      </w:tr>
      <w:tr w:rsidR="001D26E7" w:rsidRPr="00F614F9" w14:paraId="579B94A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78479A"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7E5F7CE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3,786,675.95</w:t>
            </w:r>
          </w:p>
        </w:tc>
        <w:tc>
          <w:tcPr>
            <w:tcW w:w="3213" w:type="dxa"/>
            <w:tcBorders>
              <w:top w:val="single" w:sz="2" w:space="0" w:color="auto"/>
              <w:left w:val="single" w:sz="2" w:space="0" w:color="auto"/>
              <w:bottom w:val="single" w:sz="2" w:space="0" w:color="auto"/>
              <w:right w:val="single" w:sz="2" w:space="0" w:color="auto"/>
            </w:tcBorders>
            <w:vAlign w:val="center"/>
          </w:tcPr>
          <w:p w14:paraId="3048100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35,971,181.49</w:t>
            </w:r>
          </w:p>
        </w:tc>
      </w:tr>
      <w:tr w:rsidR="001D26E7" w:rsidRPr="00F614F9" w14:paraId="535B0E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A31979"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3A14F705"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155604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4,000,000.00</w:t>
            </w:r>
          </w:p>
        </w:tc>
      </w:tr>
      <w:tr w:rsidR="001D26E7" w:rsidRPr="00F614F9" w14:paraId="5BA1370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4E29D5"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3CA7B25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1,951,771,588.17</w:t>
            </w:r>
          </w:p>
        </w:tc>
        <w:tc>
          <w:tcPr>
            <w:tcW w:w="3213" w:type="dxa"/>
            <w:tcBorders>
              <w:top w:val="single" w:sz="2" w:space="0" w:color="auto"/>
              <w:left w:val="single" w:sz="2" w:space="0" w:color="auto"/>
              <w:bottom w:val="single" w:sz="2" w:space="0" w:color="auto"/>
              <w:right w:val="single" w:sz="2" w:space="0" w:color="auto"/>
            </w:tcBorders>
            <w:vAlign w:val="center"/>
          </w:tcPr>
          <w:p w14:paraId="08706A0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1,249,456,610.91</w:t>
            </w:r>
          </w:p>
        </w:tc>
      </w:tr>
      <w:tr w:rsidR="001D26E7" w:rsidRPr="00F614F9" w14:paraId="4E59386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C92498"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098DAA4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1,455,322,585.49</w:t>
            </w:r>
          </w:p>
        </w:tc>
        <w:tc>
          <w:tcPr>
            <w:tcW w:w="3213" w:type="dxa"/>
            <w:tcBorders>
              <w:top w:val="single" w:sz="2" w:space="0" w:color="auto"/>
              <w:left w:val="single" w:sz="2" w:space="0" w:color="auto"/>
              <w:bottom w:val="single" w:sz="2" w:space="0" w:color="auto"/>
              <w:right w:val="single" w:sz="2" w:space="0" w:color="auto"/>
            </w:tcBorders>
            <w:vAlign w:val="center"/>
          </w:tcPr>
          <w:p w14:paraId="1AC9E4B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850,043,520.53</w:t>
            </w:r>
          </w:p>
        </w:tc>
      </w:tr>
      <w:tr w:rsidR="001D26E7" w:rsidRPr="00F614F9" w14:paraId="06E4D07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D55FB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47C503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3,410,880,849.61</w:t>
            </w:r>
          </w:p>
        </w:tc>
        <w:tc>
          <w:tcPr>
            <w:tcW w:w="3213" w:type="dxa"/>
            <w:tcBorders>
              <w:top w:val="single" w:sz="2" w:space="0" w:color="auto"/>
              <w:left w:val="single" w:sz="2" w:space="0" w:color="auto"/>
              <w:bottom w:val="single" w:sz="2" w:space="0" w:color="auto"/>
              <w:right w:val="single" w:sz="2" w:space="0" w:color="auto"/>
            </w:tcBorders>
            <w:vAlign w:val="center"/>
          </w:tcPr>
          <w:p w14:paraId="6C2FF55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2,135,471,312.93</w:t>
            </w:r>
          </w:p>
        </w:tc>
      </w:tr>
      <w:tr w:rsidR="001D26E7" w:rsidRPr="00F614F9" w14:paraId="7AF20A4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1E63CA"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0FE6E7D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1,583,809,757.37</w:t>
            </w:r>
          </w:p>
        </w:tc>
        <w:tc>
          <w:tcPr>
            <w:tcW w:w="3213" w:type="dxa"/>
            <w:tcBorders>
              <w:top w:val="single" w:sz="2" w:space="0" w:color="auto"/>
              <w:left w:val="single" w:sz="2" w:space="0" w:color="auto"/>
              <w:bottom w:val="single" w:sz="2" w:space="0" w:color="auto"/>
              <w:right w:val="single" w:sz="2" w:space="0" w:color="auto"/>
            </w:tcBorders>
            <w:vAlign w:val="center"/>
          </w:tcPr>
          <w:p w14:paraId="28590A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1,449,922,162.82</w:t>
            </w:r>
          </w:p>
        </w:tc>
      </w:tr>
      <w:tr w:rsidR="001D26E7" w:rsidRPr="00F614F9" w14:paraId="46294E1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824534"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4AA5A0E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67,400,303.16</w:t>
            </w:r>
          </w:p>
        </w:tc>
        <w:tc>
          <w:tcPr>
            <w:tcW w:w="3213" w:type="dxa"/>
            <w:tcBorders>
              <w:top w:val="single" w:sz="2" w:space="0" w:color="auto"/>
              <w:left w:val="single" w:sz="2" w:space="0" w:color="auto"/>
              <w:bottom w:val="single" w:sz="2" w:space="0" w:color="auto"/>
              <w:right w:val="single" w:sz="2" w:space="0" w:color="auto"/>
            </w:tcBorders>
            <w:vAlign w:val="center"/>
          </w:tcPr>
          <w:p w14:paraId="4F1A7C8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82,046,252.06</w:t>
            </w:r>
          </w:p>
        </w:tc>
      </w:tr>
      <w:tr w:rsidR="001D26E7" w:rsidRPr="00F614F9" w14:paraId="5F480C9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A5C7E2"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14:paraId="27F208C9"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47DF2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420,000.00</w:t>
            </w:r>
          </w:p>
        </w:tc>
      </w:tr>
      <w:tr w:rsidR="001D26E7" w:rsidRPr="00F614F9" w14:paraId="4860AD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17021F"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0FB94B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1,311,786,153.70</w:t>
            </w:r>
          </w:p>
        </w:tc>
        <w:tc>
          <w:tcPr>
            <w:tcW w:w="3213" w:type="dxa"/>
            <w:tcBorders>
              <w:top w:val="single" w:sz="2" w:space="0" w:color="auto"/>
              <w:left w:val="single" w:sz="2" w:space="0" w:color="auto"/>
              <w:bottom w:val="single" w:sz="2" w:space="0" w:color="auto"/>
              <w:right w:val="single" w:sz="2" w:space="0" w:color="auto"/>
            </w:tcBorders>
            <w:vAlign w:val="center"/>
          </w:tcPr>
          <w:p w14:paraId="52880CD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1,338,989,436.86</w:t>
            </w:r>
          </w:p>
        </w:tc>
      </w:tr>
      <w:tr w:rsidR="001D26E7" w:rsidRPr="00F614F9" w14:paraId="6F6E61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F97A2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60D0FA3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2,962,996,214.23</w:t>
            </w:r>
          </w:p>
        </w:tc>
        <w:tc>
          <w:tcPr>
            <w:tcW w:w="3213" w:type="dxa"/>
            <w:tcBorders>
              <w:top w:val="single" w:sz="2" w:space="0" w:color="auto"/>
              <w:left w:val="single" w:sz="2" w:space="0" w:color="auto"/>
              <w:bottom w:val="single" w:sz="2" w:space="0" w:color="auto"/>
              <w:right w:val="single" w:sz="2" w:space="0" w:color="auto"/>
            </w:tcBorders>
            <w:vAlign w:val="center"/>
          </w:tcPr>
          <w:p w14:paraId="4C1C29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2,870,957,851.74</w:t>
            </w:r>
          </w:p>
        </w:tc>
      </w:tr>
      <w:tr w:rsidR="001D26E7" w:rsidRPr="00F614F9" w14:paraId="09593BA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9259E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2190D90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447,884,635.38</w:t>
            </w:r>
          </w:p>
        </w:tc>
        <w:tc>
          <w:tcPr>
            <w:tcW w:w="3213" w:type="dxa"/>
            <w:tcBorders>
              <w:top w:val="single" w:sz="2" w:space="0" w:color="auto"/>
              <w:left w:val="single" w:sz="2" w:space="0" w:color="auto"/>
              <w:bottom w:val="single" w:sz="2" w:space="0" w:color="auto"/>
              <w:right w:val="single" w:sz="2" w:space="0" w:color="auto"/>
            </w:tcBorders>
            <w:vAlign w:val="center"/>
          </w:tcPr>
          <w:p w14:paraId="4CE1B13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-735,486,538.81</w:t>
            </w:r>
          </w:p>
        </w:tc>
      </w:tr>
      <w:tr w:rsidR="001D26E7" w:rsidRPr="00F614F9" w14:paraId="409B13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51CB2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14:paraId="3FECA44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64,071.20</w:t>
            </w:r>
          </w:p>
        </w:tc>
        <w:tc>
          <w:tcPr>
            <w:tcW w:w="3213" w:type="dxa"/>
            <w:tcBorders>
              <w:top w:val="single" w:sz="2" w:space="0" w:color="auto"/>
              <w:left w:val="single" w:sz="2" w:space="0" w:color="auto"/>
              <w:bottom w:val="single" w:sz="2" w:space="0" w:color="auto"/>
              <w:right w:val="single" w:sz="2" w:space="0" w:color="auto"/>
            </w:tcBorders>
            <w:vAlign w:val="center"/>
          </w:tcPr>
          <w:p w14:paraId="7467790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-1,106,209.94</w:t>
            </w:r>
          </w:p>
        </w:tc>
      </w:tr>
      <w:tr w:rsidR="001D26E7" w:rsidRPr="00F614F9" w14:paraId="3DAF8B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36D05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9E33B5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154,196,220.20</w:t>
            </w:r>
          </w:p>
        </w:tc>
        <w:tc>
          <w:tcPr>
            <w:tcW w:w="3213" w:type="dxa"/>
            <w:tcBorders>
              <w:top w:val="single" w:sz="2" w:space="0" w:color="auto"/>
              <w:left w:val="single" w:sz="2" w:space="0" w:color="auto"/>
              <w:bottom w:val="single" w:sz="2" w:space="0" w:color="auto"/>
              <w:right w:val="single" w:sz="2" w:space="0" w:color="auto"/>
            </w:tcBorders>
            <w:vAlign w:val="center"/>
          </w:tcPr>
          <w:p w14:paraId="6D67AEF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-997,103,636.88</w:t>
            </w:r>
          </w:p>
        </w:tc>
      </w:tr>
      <w:tr w:rsidR="001D26E7" w:rsidRPr="00F614F9" w14:paraId="2759BA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7EE4F5"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29224D6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749,118,356.19</w:t>
            </w:r>
          </w:p>
        </w:tc>
        <w:tc>
          <w:tcPr>
            <w:tcW w:w="3213" w:type="dxa"/>
            <w:tcBorders>
              <w:top w:val="single" w:sz="2" w:space="0" w:color="auto"/>
              <w:left w:val="single" w:sz="2" w:space="0" w:color="auto"/>
              <w:bottom w:val="single" w:sz="2" w:space="0" w:color="auto"/>
              <w:right w:val="single" w:sz="2" w:space="0" w:color="auto"/>
            </w:tcBorders>
            <w:vAlign w:val="center"/>
          </w:tcPr>
          <w:p w14:paraId="23FFCC9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1,746,221,993.07</w:t>
            </w:r>
          </w:p>
        </w:tc>
      </w:tr>
      <w:tr w:rsidR="001D26E7" w:rsidRPr="00F614F9" w14:paraId="29F770F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5BE45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3854388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903,314,576.39</w:t>
            </w:r>
          </w:p>
        </w:tc>
        <w:tc>
          <w:tcPr>
            <w:tcW w:w="3213" w:type="dxa"/>
            <w:tcBorders>
              <w:top w:val="single" w:sz="2" w:space="0" w:color="auto"/>
              <w:left w:val="single" w:sz="2" w:space="0" w:color="auto"/>
              <w:bottom w:val="single" w:sz="2" w:space="0" w:color="auto"/>
              <w:right w:val="single" w:sz="2" w:space="0" w:color="auto"/>
            </w:tcBorders>
            <w:vAlign w:val="center"/>
          </w:tcPr>
          <w:p w14:paraId="120A234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749,118,356.19</w:t>
            </w:r>
          </w:p>
        </w:tc>
      </w:tr>
    </w:tbl>
    <w:p w14:paraId="14B6AE32" w14:textId="77777777" w:rsidR="001D26E7" w:rsidRPr="00F614F9" w:rsidRDefault="00000000">
      <w:pPr>
        <w:pStyle w:val="3"/>
        <w:spacing w:line="280" w:lineRule="exact"/>
        <w:jc w:val="left"/>
        <w:rPr>
          <w:rFonts w:ascii="Times New Roman" w:hAnsi="Times New Roman" w:cs="宋体"/>
          <w:b/>
          <w:bCs/>
        </w:rPr>
      </w:pPr>
      <w:bookmarkStart w:id="241" w:name="_Toc989059"/>
      <w:r w:rsidRPr="00F614F9">
        <w:rPr>
          <w:rFonts w:ascii="Times New Roman" w:hAnsi="Times New Roman" w:cs="宋体"/>
          <w:b/>
          <w:bCs/>
        </w:rPr>
        <w:t>6</w:t>
      </w:r>
      <w:r w:rsidRPr="00F614F9">
        <w:rPr>
          <w:rFonts w:ascii="Times New Roman" w:hAnsi="Times New Roman" w:cs="宋体"/>
          <w:b/>
          <w:bCs/>
        </w:rPr>
        <w:t>、母公司现金流量表</w:t>
      </w:r>
      <w:bookmarkEnd w:id="241"/>
    </w:p>
    <w:p w14:paraId="3F45798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0B59F8C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54D157" w14:textId="77777777" w:rsidR="001D26E7" w:rsidRPr="00F614F9" w:rsidRDefault="00000000">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EFDC82" w14:textId="77777777" w:rsidR="001D26E7" w:rsidRPr="00F614F9" w:rsidRDefault="00000000">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EB4243" w14:textId="77777777" w:rsidR="001D26E7" w:rsidRPr="00F614F9" w:rsidRDefault="00000000">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年度</w:t>
            </w:r>
          </w:p>
        </w:tc>
      </w:tr>
      <w:tr w:rsidR="001D26E7" w:rsidRPr="00F614F9" w14:paraId="717A7CA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A9CEA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688BEB"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CC8E42" w14:textId="77777777" w:rsidR="001D26E7" w:rsidRPr="00F614F9" w:rsidRDefault="001D26E7">
            <w:pPr>
              <w:rPr>
                <w:rFonts w:ascii="Times New Roman" w:hAnsi="Times New Roman"/>
              </w:rPr>
            </w:pPr>
          </w:p>
        </w:tc>
      </w:tr>
      <w:tr w:rsidR="001D26E7" w:rsidRPr="00F614F9" w14:paraId="023CD45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0CE41E"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209817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5,866,301,773.11</w:t>
            </w:r>
          </w:p>
        </w:tc>
        <w:tc>
          <w:tcPr>
            <w:tcW w:w="3213" w:type="dxa"/>
            <w:tcBorders>
              <w:top w:val="single" w:sz="2" w:space="0" w:color="auto"/>
              <w:left w:val="single" w:sz="2" w:space="0" w:color="auto"/>
              <w:bottom w:val="single" w:sz="2" w:space="0" w:color="auto"/>
              <w:right w:val="single" w:sz="2" w:space="0" w:color="auto"/>
            </w:tcBorders>
            <w:vAlign w:val="center"/>
          </w:tcPr>
          <w:p w14:paraId="05C8C51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6,197,516,889.66</w:t>
            </w:r>
          </w:p>
        </w:tc>
      </w:tr>
      <w:tr w:rsidR="001D26E7" w:rsidRPr="00F614F9" w14:paraId="448C694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AA4200"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14:paraId="08B2EFA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27,487,047.87</w:t>
            </w:r>
          </w:p>
        </w:tc>
        <w:tc>
          <w:tcPr>
            <w:tcW w:w="3213" w:type="dxa"/>
            <w:tcBorders>
              <w:top w:val="single" w:sz="2" w:space="0" w:color="auto"/>
              <w:left w:val="single" w:sz="2" w:space="0" w:color="auto"/>
              <w:bottom w:val="single" w:sz="2" w:space="0" w:color="auto"/>
              <w:right w:val="single" w:sz="2" w:space="0" w:color="auto"/>
            </w:tcBorders>
            <w:vAlign w:val="center"/>
          </w:tcPr>
          <w:p w14:paraId="53A037E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11,155,391.37</w:t>
            </w:r>
          </w:p>
        </w:tc>
      </w:tr>
      <w:tr w:rsidR="001D26E7" w:rsidRPr="00F614F9" w14:paraId="2E3660B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AFF859"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4ED75E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69,272,029.72</w:t>
            </w:r>
          </w:p>
        </w:tc>
        <w:tc>
          <w:tcPr>
            <w:tcW w:w="3213" w:type="dxa"/>
            <w:tcBorders>
              <w:top w:val="single" w:sz="2" w:space="0" w:color="auto"/>
              <w:left w:val="single" w:sz="2" w:space="0" w:color="auto"/>
              <w:bottom w:val="single" w:sz="2" w:space="0" w:color="auto"/>
              <w:right w:val="single" w:sz="2" w:space="0" w:color="auto"/>
            </w:tcBorders>
            <w:vAlign w:val="center"/>
          </w:tcPr>
          <w:p w14:paraId="37540A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90,103,281.65</w:t>
            </w:r>
          </w:p>
        </w:tc>
      </w:tr>
      <w:tr w:rsidR="001D26E7" w:rsidRPr="00F614F9" w14:paraId="199B027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29B11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157B79F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5,963,060,850.70</w:t>
            </w:r>
          </w:p>
        </w:tc>
        <w:tc>
          <w:tcPr>
            <w:tcW w:w="3213" w:type="dxa"/>
            <w:tcBorders>
              <w:top w:val="single" w:sz="2" w:space="0" w:color="auto"/>
              <w:left w:val="single" w:sz="2" w:space="0" w:color="auto"/>
              <w:bottom w:val="single" w:sz="2" w:space="0" w:color="auto"/>
              <w:right w:val="single" w:sz="2" w:space="0" w:color="auto"/>
            </w:tcBorders>
            <w:vAlign w:val="center"/>
          </w:tcPr>
          <w:p w14:paraId="3D023AE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6,298,775,562.68</w:t>
            </w:r>
          </w:p>
        </w:tc>
      </w:tr>
      <w:tr w:rsidR="001D26E7" w:rsidRPr="00F614F9" w14:paraId="3457238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BA78CD"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0EB94E0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5,607,436,579.78</w:t>
            </w:r>
          </w:p>
        </w:tc>
        <w:tc>
          <w:tcPr>
            <w:tcW w:w="3213" w:type="dxa"/>
            <w:tcBorders>
              <w:top w:val="single" w:sz="2" w:space="0" w:color="auto"/>
              <w:left w:val="single" w:sz="2" w:space="0" w:color="auto"/>
              <w:bottom w:val="single" w:sz="2" w:space="0" w:color="auto"/>
              <w:right w:val="single" w:sz="2" w:space="0" w:color="auto"/>
            </w:tcBorders>
            <w:vAlign w:val="center"/>
          </w:tcPr>
          <w:p w14:paraId="75F4330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5,898,514,640.47</w:t>
            </w:r>
          </w:p>
        </w:tc>
      </w:tr>
      <w:tr w:rsidR="001D26E7" w:rsidRPr="00F614F9" w14:paraId="261BD4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FB0009"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713D14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235,659,199.87</w:t>
            </w:r>
          </w:p>
        </w:tc>
        <w:tc>
          <w:tcPr>
            <w:tcW w:w="3213" w:type="dxa"/>
            <w:tcBorders>
              <w:top w:val="single" w:sz="2" w:space="0" w:color="auto"/>
              <w:left w:val="single" w:sz="2" w:space="0" w:color="auto"/>
              <w:bottom w:val="single" w:sz="2" w:space="0" w:color="auto"/>
              <w:right w:val="single" w:sz="2" w:space="0" w:color="auto"/>
            </w:tcBorders>
            <w:vAlign w:val="center"/>
          </w:tcPr>
          <w:p w14:paraId="4F525F3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241,641,515.95</w:t>
            </w:r>
          </w:p>
        </w:tc>
      </w:tr>
      <w:tr w:rsidR="001D26E7" w:rsidRPr="00F614F9" w14:paraId="20AC9E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A918E6"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14:paraId="362CFE0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7,357,882.47</w:t>
            </w:r>
          </w:p>
        </w:tc>
        <w:tc>
          <w:tcPr>
            <w:tcW w:w="3213" w:type="dxa"/>
            <w:tcBorders>
              <w:top w:val="single" w:sz="2" w:space="0" w:color="auto"/>
              <w:left w:val="single" w:sz="2" w:space="0" w:color="auto"/>
              <w:bottom w:val="single" w:sz="2" w:space="0" w:color="auto"/>
              <w:right w:val="single" w:sz="2" w:space="0" w:color="auto"/>
            </w:tcBorders>
            <w:vAlign w:val="center"/>
          </w:tcPr>
          <w:p w14:paraId="77194D0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-289,961.07</w:t>
            </w:r>
          </w:p>
        </w:tc>
      </w:tr>
      <w:tr w:rsidR="001D26E7" w:rsidRPr="00F614F9" w14:paraId="5A4E3BD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54B3D4"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61839CF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131,965,231.36</w:t>
            </w:r>
          </w:p>
        </w:tc>
        <w:tc>
          <w:tcPr>
            <w:tcW w:w="3213" w:type="dxa"/>
            <w:tcBorders>
              <w:top w:val="single" w:sz="2" w:space="0" w:color="auto"/>
              <w:left w:val="single" w:sz="2" w:space="0" w:color="auto"/>
              <w:bottom w:val="single" w:sz="2" w:space="0" w:color="auto"/>
              <w:right w:val="single" w:sz="2" w:space="0" w:color="auto"/>
            </w:tcBorders>
            <w:vAlign w:val="center"/>
          </w:tcPr>
          <w:p w14:paraId="112883A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134,772,171.15</w:t>
            </w:r>
          </w:p>
        </w:tc>
      </w:tr>
      <w:tr w:rsidR="001D26E7" w:rsidRPr="00F614F9" w14:paraId="2091D84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5A48C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50A5B69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5,982,418,893.48</w:t>
            </w:r>
          </w:p>
        </w:tc>
        <w:tc>
          <w:tcPr>
            <w:tcW w:w="3213" w:type="dxa"/>
            <w:tcBorders>
              <w:top w:val="single" w:sz="2" w:space="0" w:color="auto"/>
              <w:left w:val="single" w:sz="2" w:space="0" w:color="auto"/>
              <w:bottom w:val="single" w:sz="2" w:space="0" w:color="auto"/>
              <w:right w:val="single" w:sz="2" w:space="0" w:color="auto"/>
            </w:tcBorders>
            <w:vAlign w:val="center"/>
          </w:tcPr>
          <w:p w14:paraId="005A3AE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6,274,638,366.50</w:t>
            </w:r>
          </w:p>
        </w:tc>
      </w:tr>
      <w:tr w:rsidR="001D26E7" w:rsidRPr="00F614F9" w14:paraId="550A3DF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21FB8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30BB179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-19,358,042.78</w:t>
            </w:r>
          </w:p>
        </w:tc>
        <w:tc>
          <w:tcPr>
            <w:tcW w:w="3213" w:type="dxa"/>
            <w:tcBorders>
              <w:top w:val="single" w:sz="2" w:space="0" w:color="auto"/>
              <w:left w:val="single" w:sz="2" w:space="0" w:color="auto"/>
              <w:bottom w:val="single" w:sz="2" w:space="0" w:color="auto"/>
              <w:right w:val="single" w:sz="2" w:space="0" w:color="auto"/>
            </w:tcBorders>
            <w:vAlign w:val="center"/>
          </w:tcPr>
          <w:p w14:paraId="1485333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24,137,196.18</w:t>
            </w:r>
          </w:p>
        </w:tc>
      </w:tr>
      <w:tr w:rsidR="001D26E7" w:rsidRPr="00F614F9" w14:paraId="4CC6AE0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F6F72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757522"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1B4F86" w14:textId="77777777" w:rsidR="001D26E7" w:rsidRPr="00F614F9" w:rsidRDefault="001D26E7">
            <w:pPr>
              <w:rPr>
                <w:rFonts w:ascii="Times New Roman" w:hAnsi="Times New Roman"/>
              </w:rPr>
            </w:pPr>
          </w:p>
        </w:tc>
      </w:tr>
      <w:tr w:rsidR="001D26E7" w:rsidRPr="00F614F9" w14:paraId="77872DE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0F4763"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4E32A30A"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A59D1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230,000,000.00</w:t>
            </w:r>
          </w:p>
        </w:tc>
      </w:tr>
      <w:tr w:rsidR="001D26E7" w:rsidRPr="00F614F9" w14:paraId="645BE33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F8CE83"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3F17381A"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8D0265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1,526,929.31</w:t>
            </w:r>
          </w:p>
        </w:tc>
      </w:tr>
      <w:tr w:rsidR="001D26E7" w:rsidRPr="00F614F9" w14:paraId="3F4FF80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27DE4A"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处置固定资产、无形资产和其他长</w:t>
            </w:r>
            <w:r w:rsidRPr="00F614F9">
              <w:rPr>
                <w:rFonts w:ascii="Times New Roman" w:eastAsia="宋体" w:hAnsi="Times New Roman" w:cs="宋体"/>
                <w:sz w:val="18"/>
                <w:szCs w:val="18"/>
              </w:rPr>
              <w:lastRenderedPageBreak/>
              <w:t>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788790A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lastRenderedPageBreak/>
              <w:t>1,944,888.97</w:t>
            </w:r>
          </w:p>
        </w:tc>
        <w:tc>
          <w:tcPr>
            <w:tcW w:w="3213" w:type="dxa"/>
            <w:tcBorders>
              <w:top w:val="single" w:sz="2" w:space="0" w:color="auto"/>
              <w:left w:val="single" w:sz="2" w:space="0" w:color="auto"/>
              <w:bottom w:val="single" w:sz="2" w:space="0" w:color="auto"/>
              <w:right w:val="single" w:sz="2" w:space="0" w:color="auto"/>
            </w:tcBorders>
            <w:vAlign w:val="center"/>
          </w:tcPr>
          <w:p w14:paraId="03C5335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459,410.52</w:t>
            </w:r>
          </w:p>
        </w:tc>
      </w:tr>
      <w:tr w:rsidR="001D26E7" w:rsidRPr="00F614F9" w14:paraId="6AB6FB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EC34A8"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75AD0FBB"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417F22"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D4E8E4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CC777B"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27106B6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1,125,593,918.70</w:t>
            </w:r>
          </w:p>
        </w:tc>
        <w:tc>
          <w:tcPr>
            <w:tcW w:w="3213" w:type="dxa"/>
            <w:tcBorders>
              <w:top w:val="single" w:sz="2" w:space="0" w:color="auto"/>
              <w:left w:val="single" w:sz="2" w:space="0" w:color="auto"/>
              <w:bottom w:val="single" w:sz="2" w:space="0" w:color="auto"/>
              <w:right w:val="single" w:sz="2" w:space="0" w:color="auto"/>
            </w:tcBorders>
            <w:vAlign w:val="center"/>
          </w:tcPr>
          <w:p w14:paraId="3BF4E6F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1,031,698,780.29</w:t>
            </w:r>
          </w:p>
        </w:tc>
      </w:tr>
      <w:tr w:rsidR="001D26E7" w:rsidRPr="00F614F9" w14:paraId="33D10E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B59BE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172BB44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1,127,538,807.67</w:t>
            </w:r>
          </w:p>
        </w:tc>
        <w:tc>
          <w:tcPr>
            <w:tcW w:w="3213" w:type="dxa"/>
            <w:tcBorders>
              <w:top w:val="single" w:sz="2" w:space="0" w:color="auto"/>
              <w:left w:val="single" w:sz="2" w:space="0" w:color="auto"/>
              <w:bottom w:val="single" w:sz="2" w:space="0" w:color="auto"/>
              <w:right w:val="single" w:sz="2" w:space="0" w:color="auto"/>
            </w:tcBorders>
            <w:vAlign w:val="center"/>
          </w:tcPr>
          <w:p w14:paraId="02AFF83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1,263,685,120.12</w:t>
            </w:r>
          </w:p>
        </w:tc>
      </w:tr>
      <w:tr w:rsidR="001D26E7" w:rsidRPr="00F614F9" w14:paraId="60AC774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29D028"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3D2397C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6,767,431.76</w:t>
            </w:r>
          </w:p>
        </w:tc>
        <w:tc>
          <w:tcPr>
            <w:tcW w:w="3213" w:type="dxa"/>
            <w:tcBorders>
              <w:top w:val="single" w:sz="2" w:space="0" w:color="auto"/>
              <w:left w:val="single" w:sz="2" w:space="0" w:color="auto"/>
              <w:bottom w:val="single" w:sz="2" w:space="0" w:color="auto"/>
              <w:right w:val="single" w:sz="2" w:space="0" w:color="auto"/>
            </w:tcBorders>
            <w:vAlign w:val="center"/>
          </w:tcPr>
          <w:p w14:paraId="1983645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108,149,909.55</w:t>
            </w:r>
          </w:p>
        </w:tc>
      </w:tr>
      <w:tr w:rsidR="001D26E7" w:rsidRPr="00F614F9" w14:paraId="2CBF8B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67CDCE"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504F45D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173,313,809.04</w:t>
            </w:r>
          </w:p>
        </w:tc>
        <w:tc>
          <w:tcPr>
            <w:tcW w:w="3213" w:type="dxa"/>
            <w:tcBorders>
              <w:top w:val="single" w:sz="2" w:space="0" w:color="auto"/>
              <w:left w:val="single" w:sz="2" w:space="0" w:color="auto"/>
              <w:bottom w:val="single" w:sz="2" w:space="0" w:color="auto"/>
              <w:right w:val="single" w:sz="2" w:space="0" w:color="auto"/>
            </w:tcBorders>
            <w:vAlign w:val="center"/>
          </w:tcPr>
          <w:p w14:paraId="0C36C8B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396,000,000.00</w:t>
            </w:r>
          </w:p>
        </w:tc>
      </w:tr>
      <w:tr w:rsidR="001D26E7" w:rsidRPr="00F614F9" w14:paraId="5B9A5BB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4FA286"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491AC63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23324C00"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3F2687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BC57E9"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138571D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889,058,000.00</w:t>
            </w:r>
          </w:p>
        </w:tc>
        <w:tc>
          <w:tcPr>
            <w:tcW w:w="3213" w:type="dxa"/>
            <w:tcBorders>
              <w:top w:val="single" w:sz="2" w:space="0" w:color="auto"/>
              <w:left w:val="single" w:sz="2" w:space="0" w:color="auto"/>
              <w:bottom w:val="single" w:sz="2" w:space="0" w:color="auto"/>
              <w:right w:val="single" w:sz="2" w:space="0" w:color="auto"/>
            </w:tcBorders>
            <w:vAlign w:val="center"/>
          </w:tcPr>
          <w:p w14:paraId="016D2A0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896,060,000.00</w:t>
            </w:r>
          </w:p>
        </w:tc>
      </w:tr>
      <w:tr w:rsidR="001D26E7" w:rsidRPr="00F614F9" w14:paraId="0FCB4A7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9DBAB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5F104FC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1,069,139,240.80</w:t>
            </w:r>
          </w:p>
        </w:tc>
        <w:tc>
          <w:tcPr>
            <w:tcW w:w="3213" w:type="dxa"/>
            <w:tcBorders>
              <w:top w:val="single" w:sz="2" w:space="0" w:color="auto"/>
              <w:left w:val="single" w:sz="2" w:space="0" w:color="auto"/>
              <w:bottom w:val="single" w:sz="2" w:space="0" w:color="auto"/>
              <w:right w:val="single" w:sz="2" w:space="0" w:color="auto"/>
            </w:tcBorders>
            <w:vAlign w:val="center"/>
          </w:tcPr>
          <w:p w14:paraId="0FD23F1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1,400,209,909.55</w:t>
            </w:r>
          </w:p>
        </w:tc>
      </w:tr>
      <w:tr w:rsidR="001D26E7" w:rsidRPr="00F614F9" w14:paraId="61252ED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F4B3C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3AA1155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58,399,566.87</w:t>
            </w:r>
          </w:p>
        </w:tc>
        <w:tc>
          <w:tcPr>
            <w:tcW w:w="3213" w:type="dxa"/>
            <w:tcBorders>
              <w:top w:val="single" w:sz="2" w:space="0" w:color="auto"/>
              <w:left w:val="single" w:sz="2" w:space="0" w:color="auto"/>
              <w:bottom w:val="single" w:sz="2" w:space="0" w:color="auto"/>
              <w:right w:val="single" w:sz="2" w:space="0" w:color="auto"/>
            </w:tcBorders>
            <w:vAlign w:val="center"/>
          </w:tcPr>
          <w:p w14:paraId="50BC416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-136,524,789.43</w:t>
            </w:r>
          </w:p>
        </w:tc>
      </w:tr>
      <w:tr w:rsidR="001D26E7" w:rsidRPr="00F614F9" w14:paraId="671E61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82803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7E7C5A"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755A85" w14:textId="77777777" w:rsidR="001D26E7" w:rsidRPr="00F614F9" w:rsidRDefault="001D26E7">
            <w:pPr>
              <w:rPr>
                <w:rFonts w:ascii="Times New Roman" w:hAnsi="Times New Roman"/>
              </w:rPr>
            </w:pPr>
          </w:p>
        </w:tc>
      </w:tr>
      <w:tr w:rsidR="001D26E7" w:rsidRPr="00F614F9" w14:paraId="13C4D2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86CD24"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3578AA9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3,786,675.95</w:t>
            </w:r>
          </w:p>
        </w:tc>
        <w:tc>
          <w:tcPr>
            <w:tcW w:w="3213" w:type="dxa"/>
            <w:tcBorders>
              <w:top w:val="single" w:sz="2" w:space="0" w:color="auto"/>
              <w:left w:val="single" w:sz="2" w:space="0" w:color="auto"/>
              <w:bottom w:val="single" w:sz="2" w:space="0" w:color="auto"/>
              <w:right w:val="single" w:sz="2" w:space="0" w:color="auto"/>
            </w:tcBorders>
            <w:vAlign w:val="center"/>
          </w:tcPr>
          <w:p w14:paraId="7134DB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31,971,181.49</w:t>
            </w:r>
          </w:p>
        </w:tc>
      </w:tr>
      <w:tr w:rsidR="001D26E7" w:rsidRPr="00F614F9" w14:paraId="3A01AE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D9A72D"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38EF22B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784,200,000.00</w:t>
            </w:r>
          </w:p>
        </w:tc>
        <w:tc>
          <w:tcPr>
            <w:tcW w:w="3213" w:type="dxa"/>
            <w:tcBorders>
              <w:top w:val="single" w:sz="2" w:space="0" w:color="auto"/>
              <w:left w:val="single" w:sz="2" w:space="0" w:color="auto"/>
              <w:bottom w:val="single" w:sz="2" w:space="0" w:color="auto"/>
              <w:right w:val="single" w:sz="2" w:space="0" w:color="auto"/>
            </w:tcBorders>
            <w:vAlign w:val="center"/>
          </w:tcPr>
          <w:p w14:paraId="4914B21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810,000,000.00</w:t>
            </w:r>
          </w:p>
        </w:tc>
      </w:tr>
      <w:tr w:rsidR="001D26E7" w:rsidRPr="00F614F9" w14:paraId="11C22C6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8B2FF3"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0FBB7B6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1,720,622,765.08</w:t>
            </w:r>
          </w:p>
        </w:tc>
        <w:tc>
          <w:tcPr>
            <w:tcW w:w="3213" w:type="dxa"/>
            <w:tcBorders>
              <w:top w:val="single" w:sz="2" w:space="0" w:color="auto"/>
              <w:left w:val="single" w:sz="2" w:space="0" w:color="auto"/>
              <w:bottom w:val="single" w:sz="2" w:space="0" w:color="auto"/>
              <w:right w:val="single" w:sz="2" w:space="0" w:color="auto"/>
            </w:tcBorders>
            <w:vAlign w:val="center"/>
          </w:tcPr>
          <w:p w14:paraId="26792D0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173,697,500.00</w:t>
            </w:r>
          </w:p>
        </w:tc>
      </w:tr>
      <w:tr w:rsidR="001D26E7" w:rsidRPr="00F614F9" w14:paraId="121E77D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2D6B3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2676FE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2,508,609,441.03</w:t>
            </w:r>
          </w:p>
        </w:tc>
        <w:tc>
          <w:tcPr>
            <w:tcW w:w="3213" w:type="dxa"/>
            <w:tcBorders>
              <w:top w:val="single" w:sz="2" w:space="0" w:color="auto"/>
              <w:left w:val="single" w:sz="2" w:space="0" w:color="auto"/>
              <w:bottom w:val="single" w:sz="2" w:space="0" w:color="auto"/>
              <w:right w:val="single" w:sz="2" w:space="0" w:color="auto"/>
            </w:tcBorders>
            <w:vAlign w:val="center"/>
          </w:tcPr>
          <w:p w14:paraId="3E20F9D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1,015,668,681.49</w:t>
            </w:r>
          </w:p>
        </w:tc>
      </w:tr>
      <w:tr w:rsidR="001D26E7" w:rsidRPr="00F614F9" w14:paraId="10EB93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E843CE"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2A7E01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900,200,000.00</w:t>
            </w:r>
          </w:p>
        </w:tc>
        <w:tc>
          <w:tcPr>
            <w:tcW w:w="3213" w:type="dxa"/>
            <w:tcBorders>
              <w:top w:val="single" w:sz="2" w:space="0" w:color="auto"/>
              <w:left w:val="single" w:sz="2" w:space="0" w:color="auto"/>
              <w:bottom w:val="single" w:sz="2" w:space="0" w:color="auto"/>
              <w:right w:val="single" w:sz="2" w:space="0" w:color="auto"/>
            </w:tcBorders>
            <w:vAlign w:val="center"/>
          </w:tcPr>
          <w:p w14:paraId="3F072A3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828,500,000.00</w:t>
            </w:r>
          </w:p>
        </w:tc>
      </w:tr>
      <w:tr w:rsidR="001D26E7" w:rsidRPr="00F614F9" w14:paraId="6B44C2A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89DB40"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1BAD06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42,442,383.55</w:t>
            </w:r>
          </w:p>
        </w:tc>
        <w:tc>
          <w:tcPr>
            <w:tcW w:w="3213" w:type="dxa"/>
            <w:tcBorders>
              <w:top w:val="single" w:sz="2" w:space="0" w:color="auto"/>
              <w:left w:val="single" w:sz="2" w:space="0" w:color="auto"/>
              <w:bottom w:val="single" w:sz="2" w:space="0" w:color="auto"/>
              <w:right w:val="single" w:sz="2" w:space="0" w:color="auto"/>
            </w:tcBorders>
            <w:vAlign w:val="center"/>
          </w:tcPr>
          <w:p w14:paraId="57DD990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47,017,314.90</w:t>
            </w:r>
          </w:p>
        </w:tc>
      </w:tr>
      <w:tr w:rsidR="001D26E7" w:rsidRPr="00F614F9" w14:paraId="1BE7F1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EBD549"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3D6224E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1,351,112,676.00</w:t>
            </w:r>
          </w:p>
        </w:tc>
        <w:tc>
          <w:tcPr>
            <w:tcW w:w="3213" w:type="dxa"/>
            <w:tcBorders>
              <w:top w:val="single" w:sz="2" w:space="0" w:color="auto"/>
              <w:left w:val="single" w:sz="2" w:space="0" w:color="auto"/>
              <w:bottom w:val="single" w:sz="2" w:space="0" w:color="auto"/>
              <w:right w:val="single" w:sz="2" w:space="0" w:color="auto"/>
            </w:tcBorders>
            <w:vAlign w:val="center"/>
          </w:tcPr>
          <w:p w14:paraId="792F053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307,642,819.45</w:t>
            </w:r>
          </w:p>
        </w:tc>
      </w:tr>
      <w:tr w:rsidR="001D26E7" w:rsidRPr="00F614F9" w14:paraId="6EC3C7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29030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3C663EF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2,293,755,059.55</w:t>
            </w:r>
          </w:p>
        </w:tc>
        <w:tc>
          <w:tcPr>
            <w:tcW w:w="3213" w:type="dxa"/>
            <w:tcBorders>
              <w:top w:val="single" w:sz="2" w:space="0" w:color="auto"/>
              <w:left w:val="single" w:sz="2" w:space="0" w:color="auto"/>
              <w:bottom w:val="single" w:sz="2" w:space="0" w:color="auto"/>
              <w:right w:val="single" w:sz="2" w:space="0" w:color="auto"/>
            </w:tcBorders>
            <w:vAlign w:val="center"/>
          </w:tcPr>
          <w:p w14:paraId="3989991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1,183,160,134.35</w:t>
            </w:r>
          </w:p>
        </w:tc>
      </w:tr>
      <w:tr w:rsidR="001D26E7" w:rsidRPr="00F614F9" w14:paraId="49C597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BBDFE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2D8AB9A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214,854,381.48</w:t>
            </w:r>
          </w:p>
        </w:tc>
        <w:tc>
          <w:tcPr>
            <w:tcW w:w="3213" w:type="dxa"/>
            <w:tcBorders>
              <w:top w:val="single" w:sz="2" w:space="0" w:color="auto"/>
              <w:left w:val="single" w:sz="2" w:space="0" w:color="auto"/>
              <w:bottom w:val="single" w:sz="2" w:space="0" w:color="auto"/>
              <w:right w:val="single" w:sz="2" w:space="0" w:color="auto"/>
            </w:tcBorders>
            <w:vAlign w:val="center"/>
          </w:tcPr>
          <w:p w14:paraId="3E010FB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-167,491,452.86</w:t>
            </w:r>
          </w:p>
        </w:tc>
      </w:tr>
      <w:tr w:rsidR="001D26E7" w:rsidRPr="00F614F9" w14:paraId="69C2368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5F905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14:paraId="3932178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428.78</w:t>
            </w:r>
          </w:p>
        </w:tc>
        <w:tc>
          <w:tcPr>
            <w:tcW w:w="3213" w:type="dxa"/>
            <w:tcBorders>
              <w:top w:val="single" w:sz="2" w:space="0" w:color="auto"/>
              <w:left w:val="single" w:sz="2" w:space="0" w:color="auto"/>
              <w:bottom w:val="single" w:sz="2" w:space="0" w:color="auto"/>
              <w:right w:val="single" w:sz="2" w:space="0" w:color="auto"/>
            </w:tcBorders>
            <w:vAlign w:val="center"/>
          </w:tcPr>
          <w:p w14:paraId="51BD646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9,399.73</w:t>
            </w:r>
          </w:p>
        </w:tc>
      </w:tr>
      <w:tr w:rsidR="001D26E7" w:rsidRPr="00F614F9" w14:paraId="506484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B3F60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44F30BF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253,896,334.35</w:t>
            </w:r>
          </w:p>
        </w:tc>
        <w:tc>
          <w:tcPr>
            <w:tcW w:w="3213" w:type="dxa"/>
            <w:tcBorders>
              <w:top w:val="single" w:sz="2" w:space="0" w:color="auto"/>
              <w:left w:val="single" w:sz="2" w:space="0" w:color="auto"/>
              <w:bottom w:val="single" w:sz="2" w:space="0" w:color="auto"/>
              <w:right w:val="single" w:sz="2" w:space="0" w:color="auto"/>
            </w:tcBorders>
            <w:vAlign w:val="center"/>
          </w:tcPr>
          <w:p w14:paraId="3B1FDCC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-279,869,646.38</w:t>
            </w:r>
          </w:p>
        </w:tc>
      </w:tr>
      <w:tr w:rsidR="001D26E7" w:rsidRPr="00F614F9" w14:paraId="2DE4F1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3DBDAF" w14:textId="77777777" w:rsidR="001D26E7" w:rsidRPr="00F614F9" w:rsidRDefault="00000000">
            <w:pPr>
              <w:spacing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4AA2BF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418,215,505.68</w:t>
            </w:r>
          </w:p>
        </w:tc>
        <w:tc>
          <w:tcPr>
            <w:tcW w:w="3213" w:type="dxa"/>
            <w:tcBorders>
              <w:top w:val="single" w:sz="2" w:space="0" w:color="auto"/>
              <w:left w:val="single" w:sz="2" w:space="0" w:color="auto"/>
              <w:bottom w:val="single" w:sz="2" w:space="0" w:color="auto"/>
              <w:right w:val="single" w:sz="2" w:space="0" w:color="auto"/>
            </w:tcBorders>
            <w:vAlign w:val="center"/>
          </w:tcPr>
          <w:p w14:paraId="60A17A7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698,085,152.06</w:t>
            </w:r>
          </w:p>
        </w:tc>
      </w:tr>
      <w:tr w:rsidR="001D26E7" w:rsidRPr="00F614F9" w14:paraId="3170956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09829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5EE3CB7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672,111,840.03</w:t>
            </w:r>
          </w:p>
        </w:tc>
        <w:tc>
          <w:tcPr>
            <w:tcW w:w="3213" w:type="dxa"/>
            <w:tcBorders>
              <w:top w:val="single" w:sz="2" w:space="0" w:color="auto"/>
              <w:left w:val="single" w:sz="2" w:space="0" w:color="auto"/>
              <w:bottom w:val="single" w:sz="2" w:space="0" w:color="auto"/>
              <w:right w:val="single" w:sz="2" w:space="0" w:color="auto"/>
            </w:tcBorders>
            <w:vAlign w:val="center"/>
          </w:tcPr>
          <w:p w14:paraId="6401BB0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418,215,505.68</w:t>
            </w:r>
          </w:p>
        </w:tc>
      </w:tr>
    </w:tbl>
    <w:p w14:paraId="472010B8" w14:textId="77777777" w:rsidR="000441DC" w:rsidRPr="00F614F9" w:rsidRDefault="000441DC" w:rsidP="000441DC">
      <w:pPr>
        <w:rPr>
          <w:rFonts w:ascii="Times New Roman" w:hAnsi="Times New Roman"/>
        </w:rPr>
      </w:pPr>
      <w:bookmarkStart w:id="242" w:name="_Toc989060"/>
    </w:p>
    <w:p w14:paraId="342E3232" w14:textId="77777777" w:rsidR="006C7FCA" w:rsidRPr="00F614F9" w:rsidRDefault="006C7FCA" w:rsidP="000441DC">
      <w:pPr>
        <w:rPr>
          <w:rFonts w:ascii="Times New Roman" w:hAnsi="Times New Roman"/>
        </w:rPr>
        <w:sectPr w:rsidR="006C7FCA" w:rsidRPr="00F614F9" w:rsidSect="00732DE1">
          <w:headerReference w:type="default" r:id="rId9"/>
          <w:footerReference w:type="default" r:id="rId10"/>
          <w:pgSz w:w="11905" w:h="16840"/>
          <w:pgMar w:top="1440" w:right="1134" w:bottom="1440" w:left="1134" w:header="850" w:footer="992" w:gutter="0"/>
          <w:cols w:space="720"/>
          <w:docGrid w:type="linesAndChars" w:linePitch="312"/>
        </w:sectPr>
      </w:pPr>
    </w:p>
    <w:p w14:paraId="6B486959" w14:textId="77777777" w:rsidR="000441DC" w:rsidRPr="00F614F9" w:rsidRDefault="000441DC" w:rsidP="000441DC">
      <w:pPr>
        <w:rPr>
          <w:rFonts w:ascii="Times New Roman" w:hAnsi="Times New Roman"/>
        </w:rPr>
      </w:pPr>
    </w:p>
    <w:p w14:paraId="53FE7C95" w14:textId="77777777" w:rsidR="001D26E7" w:rsidRPr="00F614F9" w:rsidRDefault="00000000">
      <w:pPr>
        <w:pStyle w:val="3"/>
        <w:spacing w:line="280" w:lineRule="exact"/>
        <w:jc w:val="left"/>
        <w:rPr>
          <w:rFonts w:ascii="Times New Roman" w:hAnsi="Times New Roman" w:cs="宋体"/>
          <w:b/>
          <w:bCs/>
        </w:rPr>
      </w:pPr>
      <w:r w:rsidRPr="00F614F9">
        <w:rPr>
          <w:rFonts w:ascii="Times New Roman" w:hAnsi="Times New Roman" w:cs="宋体"/>
          <w:b/>
          <w:bCs/>
        </w:rPr>
        <w:t>7</w:t>
      </w:r>
      <w:r w:rsidRPr="00F614F9">
        <w:rPr>
          <w:rFonts w:ascii="Times New Roman" w:hAnsi="Times New Roman" w:cs="宋体"/>
          <w:b/>
          <w:bCs/>
        </w:rPr>
        <w:t>、合并所有者权益变动表</w:t>
      </w:r>
      <w:bookmarkEnd w:id="242"/>
    </w:p>
    <w:p w14:paraId="64FE46B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本期金额</w:t>
      </w:r>
    </w:p>
    <w:p w14:paraId="09EB5AC9"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14742"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28" w:type="dxa"/>
          <w:right w:w="57" w:type="dxa"/>
        </w:tblCellMar>
        <w:tblLook w:val="04A0" w:firstRow="1" w:lastRow="0" w:firstColumn="1" w:lastColumn="0" w:noHBand="0" w:noVBand="1"/>
      </w:tblPr>
      <w:tblGrid>
        <w:gridCol w:w="985"/>
        <w:gridCol w:w="1345"/>
        <w:gridCol w:w="400"/>
        <w:gridCol w:w="400"/>
        <w:gridCol w:w="1210"/>
        <w:gridCol w:w="1210"/>
        <w:gridCol w:w="1210"/>
        <w:gridCol w:w="1120"/>
        <w:gridCol w:w="400"/>
        <w:gridCol w:w="1210"/>
        <w:gridCol w:w="265"/>
        <w:gridCol w:w="1345"/>
        <w:gridCol w:w="400"/>
        <w:gridCol w:w="1345"/>
        <w:gridCol w:w="1210"/>
        <w:gridCol w:w="1345"/>
      </w:tblGrid>
      <w:tr w:rsidR="001D26E7" w:rsidRPr="00F614F9" w14:paraId="3F036EE5" w14:textId="77777777" w:rsidTr="006C7FCA">
        <w:trPr>
          <w:trHeight w:val="240"/>
          <w:jc w:val="center"/>
        </w:trPr>
        <w:tc>
          <w:tcPr>
            <w:tcW w:w="313"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067A0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4687" w:type="pct"/>
            <w:gridSpan w:val="15"/>
            <w:tcBorders>
              <w:top w:val="single" w:sz="2" w:space="0" w:color="auto"/>
              <w:left w:val="single" w:sz="2" w:space="0" w:color="auto"/>
              <w:bottom w:val="single" w:sz="2" w:space="0" w:color="auto"/>
              <w:right w:val="single" w:sz="2" w:space="0" w:color="auto"/>
            </w:tcBorders>
            <w:shd w:val="clear" w:color="auto" w:fill="D3D3D3"/>
            <w:vAlign w:val="center"/>
          </w:tcPr>
          <w:p w14:paraId="04835FE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年度</w:t>
            </w:r>
          </w:p>
        </w:tc>
      </w:tr>
      <w:tr w:rsidR="001D26E7" w:rsidRPr="00F614F9" w14:paraId="73BC23E2" w14:textId="77777777" w:rsidTr="006C7FCA">
        <w:trPr>
          <w:trHeight w:val="240"/>
          <w:jc w:val="center"/>
        </w:trPr>
        <w:tc>
          <w:tcPr>
            <w:tcW w:w="313"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01C22DB3" w14:textId="77777777" w:rsidR="001D26E7" w:rsidRPr="00F614F9" w:rsidRDefault="001D26E7">
            <w:pPr>
              <w:rPr>
                <w:rFonts w:ascii="Times New Roman" w:hAnsi="Times New Roman"/>
              </w:rPr>
            </w:pPr>
          </w:p>
        </w:tc>
        <w:tc>
          <w:tcPr>
            <w:tcW w:w="4062" w:type="pct"/>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115FCBB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归属于母公司所有者权益</w:t>
            </w:r>
          </w:p>
        </w:tc>
        <w:tc>
          <w:tcPr>
            <w:tcW w:w="3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3174BAE" w14:textId="77777777" w:rsidR="001D26E7" w:rsidRPr="00F614F9" w:rsidRDefault="00000000">
            <w:pPr>
              <w:spacing w:before="40" w:after="40" w:line="0" w:lineRule="atLeast"/>
              <w:jc w:val="center"/>
              <w:rPr>
                <w:rFonts w:ascii="Times New Roman" w:eastAsia="宋体" w:hAnsi="Times New Roman" w:cs="宋体"/>
                <w:sz w:val="18"/>
                <w:szCs w:val="18"/>
              </w:rPr>
            </w:pPr>
            <w:r w:rsidRPr="00F614F9">
              <w:rPr>
                <w:rFonts w:ascii="Times New Roman" w:eastAsia="宋体" w:hAnsi="Times New Roman" w:cs="宋体"/>
                <w:sz w:val="18"/>
                <w:szCs w:val="18"/>
              </w:rPr>
              <w:t>少数股东权益</w:t>
            </w:r>
          </w:p>
        </w:tc>
        <w:tc>
          <w:tcPr>
            <w:tcW w:w="313"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FBF2A0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所有者权益合计</w:t>
            </w:r>
          </w:p>
        </w:tc>
      </w:tr>
      <w:tr w:rsidR="006C7FCA" w:rsidRPr="00F614F9" w14:paraId="6E557B17" w14:textId="77777777" w:rsidTr="006C7FCA">
        <w:trPr>
          <w:trHeight w:val="240"/>
          <w:jc w:val="center"/>
        </w:trPr>
        <w:tc>
          <w:tcPr>
            <w:tcW w:w="313"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13B99109" w14:textId="77777777" w:rsidR="001D26E7" w:rsidRPr="00F614F9" w:rsidRDefault="001D26E7">
            <w:pPr>
              <w:rPr>
                <w:rFonts w:ascii="Times New Roman" w:hAnsi="Times New Roman"/>
              </w:rPr>
            </w:pPr>
          </w:p>
        </w:tc>
        <w:tc>
          <w:tcPr>
            <w:tcW w:w="3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0FDCA8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股本</w:t>
            </w:r>
          </w:p>
        </w:tc>
        <w:tc>
          <w:tcPr>
            <w:tcW w:w="937" w:type="pct"/>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34F891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其他权益工具</w:t>
            </w:r>
          </w:p>
        </w:tc>
        <w:tc>
          <w:tcPr>
            <w:tcW w:w="3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D4B0E5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资本公积</w:t>
            </w:r>
          </w:p>
        </w:tc>
        <w:tc>
          <w:tcPr>
            <w:tcW w:w="3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37241C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减：库存股</w:t>
            </w:r>
          </w:p>
        </w:tc>
        <w:tc>
          <w:tcPr>
            <w:tcW w:w="3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1513F4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其他综合收益</w:t>
            </w:r>
          </w:p>
        </w:tc>
        <w:tc>
          <w:tcPr>
            <w:tcW w:w="3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4F5B9D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专项储备</w:t>
            </w:r>
          </w:p>
        </w:tc>
        <w:tc>
          <w:tcPr>
            <w:tcW w:w="3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1E87E8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盈余公积</w:t>
            </w:r>
          </w:p>
        </w:tc>
        <w:tc>
          <w:tcPr>
            <w:tcW w:w="3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F49A9D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一般风险准备</w:t>
            </w:r>
          </w:p>
        </w:tc>
        <w:tc>
          <w:tcPr>
            <w:tcW w:w="3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805D04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未分配利润</w:t>
            </w:r>
          </w:p>
        </w:tc>
        <w:tc>
          <w:tcPr>
            <w:tcW w:w="3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213598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315"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B5D888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小计</w:t>
            </w:r>
          </w:p>
        </w:tc>
        <w:tc>
          <w:tcPr>
            <w:tcW w:w="3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1E4A59CA" w14:textId="77777777" w:rsidR="001D26E7" w:rsidRPr="00F614F9" w:rsidRDefault="001D26E7">
            <w:pPr>
              <w:rPr>
                <w:rFonts w:ascii="Times New Roman" w:hAnsi="Times New Roman"/>
              </w:rPr>
            </w:pPr>
          </w:p>
        </w:tc>
        <w:tc>
          <w:tcPr>
            <w:tcW w:w="313"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25635235" w14:textId="77777777" w:rsidR="001D26E7" w:rsidRPr="00F614F9" w:rsidRDefault="001D26E7">
            <w:pPr>
              <w:rPr>
                <w:rFonts w:ascii="Times New Roman" w:hAnsi="Times New Roman"/>
              </w:rPr>
            </w:pPr>
          </w:p>
        </w:tc>
      </w:tr>
      <w:tr w:rsidR="006C7FCA" w:rsidRPr="00F614F9" w14:paraId="2BB5ED3B" w14:textId="77777777" w:rsidTr="006C7FCA">
        <w:trPr>
          <w:trHeight w:val="240"/>
          <w:jc w:val="center"/>
        </w:trPr>
        <w:tc>
          <w:tcPr>
            <w:tcW w:w="313"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60601844" w14:textId="77777777" w:rsidR="001D26E7" w:rsidRPr="00F614F9" w:rsidRDefault="001D26E7">
            <w:pPr>
              <w:rPr>
                <w:rFonts w:ascii="Times New Roman" w:hAnsi="Times New Roman"/>
              </w:rPr>
            </w:pPr>
          </w:p>
        </w:tc>
        <w:tc>
          <w:tcPr>
            <w:tcW w:w="3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618FCCBB" w14:textId="77777777" w:rsidR="001D26E7" w:rsidRPr="00F614F9" w:rsidRDefault="001D26E7">
            <w:pPr>
              <w:rPr>
                <w:rFonts w:ascii="Times New Roman" w:hAnsi="Times New Roman"/>
              </w:rPr>
            </w:pPr>
          </w:p>
        </w:tc>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64AE0E9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优先股</w:t>
            </w:r>
          </w:p>
        </w:tc>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04722C2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永续债</w:t>
            </w:r>
          </w:p>
        </w:tc>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2B143BE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3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424A795D" w14:textId="77777777" w:rsidR="001D26E7" w:rsidRPr="00F614F9" w:rsidRDefault="001D26E7">
            <w:pPr>
              <w:rPr>
                <w:rFonts w:ascii="Times New Roman" w:hAnsi="Times New Roman"/>
              </w:rPr>
            </w:pPr>
          </w:p>
        </w:tc>
        <w:tc>
          <w:tcPr>
            <w:tcW w:w="3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3E1EAEF7" w14:textId="77777777" w:rsidR="001D26E7" w:rsidRPr="00F614F9" w:rsidRDefault="001D26E7">
            <w:pPr>
              <w:rPr>
                <w:rFonts w:ascii="Times New Roman" w:hAnsi="Times New Roman"/>
              </w:rPr>
            </w:pPr>
          </w:p>
        </w:tc>
        <w:tc>
          <w:tcPr>
            <w:tcW w:w="3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3A2B0CD4" w14:textId="77777777" w:rsidR="001D26E7" w:rsidRPr="00F614F9" w:rsidRDefault="001D26E7">
            <w:pPr>
              <w:rPr>
                <w:rFonts w:ascii="Times New Roman" w:hAnsi="Times New Roman"/>
              </w:rPr>
            </w:pPr>
          </w:p>
        </w:tc>
        <w:tc>
          <w:tcPr>
            <w:tcW w:w="312" w:type="pct"/>
            <w:vMerge/>
            <w:tcBorders>
              <w:top w:val="single" w:sz="2" w:space="0" w:color="auto"/>
              <w:left w:val="single" w:sz="2" w:space="0" w:color="auto"/>
              <w:bottom w:val="single" w:sz="2" w:space="0" w:color="auto"/>
              <w:right w:val="single" w:sz="2" w:space="0" w:color="auto"/>
            </w:tcBorders>
            <w:vAlign w:val="center"/>
          </w:tcPr>
          <w:p w14:paraId="2097E55A" w14:textId="77777777" w:rsidR="001D26E7" w:rsidRPr="00F614F9" w:rsidRDefault="001D26E7">
            <w:pPr>
              <w:rPr>
                <w:rFonts w:ascii="Times New Roman" w:hAnsi="Times New Roman"/>
              </w:rPr>
            </w:pPr>
          </w:p>
        </w:tc>
        <w:tc>
          <w:tcPr>
            <w:tcW w:w="3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7E467A58" w14:textId="77777777" w:rsidR="001D26E7" w:rsidRPr="00F614F9" w:rsidRDefault="001D26E7">
            <w:pPr>
              <w:rPr>
                <w:rFonts w:ascii="Times New Roman" w:hAnsi="Times New Roman"/>
              </w:rPr>
            </w:pPr>
          </w:p>
        </w:tc>
        <w:tc>
          <w:tcPr>
            <w:tcW w:w="3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70D07B33" w14:textId="77777777" w:rsidR="001D26E7" w:rsidRPr="00F614F9" w:rsidRDefault="001D26E7">
            <w:pPr>
              <w:rPr>
                <w:rFonts w:ascii="Times New Roman" w:hAnsi="Times New Roman"/>
              </w:rPr>
            </w:pPr>
          </w:p>
        </w:tc>
        <w:tc>
          <w:tcPr>
            <w:tcW w:w="3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09134FD6" w14:textId="77777777" w:rsidR="001D26E7" w:rsidRPr="00F614F9" w:rsidRDefault="001D26E7">
            <w:pPr>
              <w:rPr>
                <w:rFonts w:ascii="Times New Roman" w:hAnsi="Times New Roman"/>
              </w:rPr>
            </w:pPr>
          </w:p>
        </w:tc>
        <w:tc>
          <w:tcPr>
            <w:tcW w:w="3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44EA8568" w14:textId="77777777" w:rsidR="001D26E7" w:rsidRPr="00F614F9" w:rsidRDefault="001D26E7">
            <w:pPr>
              <w:rPr>
                <w:rFonts w:ascii="Times New Roman" w:hAnsi="Times New Roman"/>
              </w:rPr>
            </w:pPr>
          </w:p>
        </w:tc>
        <w:tc>
          <w:tcPr>
            <w:tcW w:w="315"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740CB740" w14:textId="77777777" w:rsidR="001D26E7" w:rsidRPr="00F614F9" w:rsidRDefault="001D26E7">
            <w:pPr>
              <w:rPr>
                <w:rFonts w:ascii="Times New Roman" w:hAnsi="Times New Roman"/>
              </w:rPr>
            </w:pPr>
          </w:p>
        </w:tc>
        <w:tc>
          <w:tcPr>
            <w:tcW w:w="3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26DF159A" w14:textId="77777777" w:rsidR="001D26E7" w:rsidRPr="00F614F9" w:rsidRDefault="001D26E7">
            <w:pPr>
              <w:rPr>
                <w:rFonts w:ascii="Times New Roman" w:hAnsi="Times New Roman"/>
              </w:rPr>
            </w:pPr>
          </w:p>
        </w:tc>
        <w:tc>
          <w:tcPr>
            <w:tcW w:w="313"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574C7874" w14:textId="77777777" w:rsidR="001D26E7" w:rsidRPr="00F614F9" w:rsidRDefault="001D26E7">
            <w:pPr>
              <w:rPr>
                <w:rFonts w:ascii="Times New Roman" w:hAnsi="Times New Roman"/>
              </w:rPr>
            </w:pPr>
          </w:p>
        </w:tc>
      </w:tr>
      <w:tr w:rsidR="001D26E7" w:rsidRPr="00F614F9" w14:paraId="6770F62C"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7D5ACA4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一、上年期末余额</w:t>
            </w:r>
          </w:p>
        </w:tc>
        <w:tc>
          <w:tcPr>
            <w:tcW w:w="312" w:type="pct"/>
            <w:tcBorders>
              <w:top w:val="single" w:sz="2" w:space="0" w:color="auto"/>
              <w:left w:val="single" w:sz="2" w:space="0" w:color="auto"/>
              <w:bottom w:val="single" w:sz="2" w:space="0" w:color="auto"/>
              <w:right w:val="single" w:sz="2" w:space="0" w:color="auto"/>
            </w:tcBorders>
            <w:vAlign w:val="center"/>
          </w:tcPr>
          <w:p w14:paraId="1F0EB11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1,079,128,488.00</w:t>
            </w:r>
          </w:p>
        </w:tc>
        <w:tc>
          <w:tcPr>
            <w:tcW w:w="312" w:type="pct"/>
            <w:tcBorders>
              <w:top w:val="single" w:sz="2" w:space="0" w:color="auto"/>
              <w:left w:val="single" w:sz="2" w:space="0" w:color="auto"/>
              <w:bottom w:val="single" w:sz="2" w:space="0" w:color="auto"/>
              <w:right w:val="single" w:sz="2" w:space="0" w:color="auto"/>
            </w:tcBorders>
            <w:vAlign w:val="center"/>
          </w:tcPr>
          <w:p w14:paraId="11AD0B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36B19E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57226FA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171,571,679.93</w:t>
            </w:r>
          </w:p>
        </w:tc>
        <w:tc>
          <w:tcPr>
            <w:tcW w:w="312" w:type="pct"/>
            <w:tcBorders>
              <w:top w:val="single" w:sz="2" w:space="0" w:color="auto"/>
              <w:left w:val="single" w:sz="2" w:space="0" w:color="auto"/>
              <w:bottom w:val="single" w:sz="2" w:space="0" w:color="auto"/>
              <w:right w:val="single" w:sz="2" w:space="0" w:color="auto"/>
            </w:tcBorders>
            <w:vAlign w:val="center"/>
          </w:tcPr>
          <w:p w14:paraId="5F2140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831,830,715.12</w:t>
            </w:r>
          </w:p>
        </w:tc>
        <w:tc>
          <w:tcPr>
            <w:tcW w:w="312" w:type="pct"/>
            <w:tcBorders>
              <w:top w:val="single" w:sz="2" w:space="0" w:color="auto"/>
              <w:left w:val="single" w:sz="2" w:space="0" w:color="auto"/>
              <w:bottom w:val="single" w:sz="2" w:space="0" w:color="auto"/>
              <w:right w:val="single" w:sz="2" w:space="0" w:color="auto"/>
            </w:tcBorders>
            <w:vAlign w:val="center"/>
          </w:tcPr>
          <w:p w14:paraId="19A957D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37,244,672.24</w:t>
            </w:r>
          </w:p>
        </w:tc>
        <w:tc>
          <w:tcPr>
            <w:tcW w:w="312" w:type="pct"/>
            <w:tcBorders>
              <w:top w:val="single" w:sz="2" w:space="0" w:color="auto"/>
              <w:left w:val="single" w:sz="2" w:space="0" w:color="auto"/>
              <w:bottom w:val="single" w:sz="2" w:space="0" w:color="auto"/>
              <w:right w:val="single" w:sz="2" w:space="0" w:color="auto"/>
            </w:tcBorders>
            <w:vAlign w:val="center"/>
          </w:tcPr>
          <w:p w14:paraId="109AE4F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-11,777,820.33</w:t>
            </w:r>
          </w:p>
        </w:tc>
        <w:tc>
          <w:tcPr>
            <w:tcW w:w="312" w:type="pct"/>
            <w:tcBorders>
              <w:top w:val="single" w:sz="2" w:space="0" w:color="auto"/>
              <w:left w:val="single" w:sz="2" w:space="0" w:color="auto"/>
              <w:bottom w:val="single" w:sz="2" w:space="0" w:color="auto"/>
              <w:right w:val="single" w:sz="2" w:space="0" w:color="auto"/>
            </w:tcBorders>
            <w:vAlign w:val="center"/>
          </w:tcPr>
          <w:p w14:paraId="214E8AC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5D2E02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263,717,929.16</w:t>
            </w:r>
          </w:p>
        </w:tc>
        <w:tc>
          <w:tcPr>
            <w:tcW w:w="312" w:type="pct"/>
            <w:tcBorders>
              <w:top w:val="single" w:sz="2" w:space="0" w:color="auto"/>
              <w:left w:val="single" w:sz="2" w:space="0" w:color="auto"/>
              <w:bottom w:val="single" w:sz="2" w:space="0" w:color="auto"/>
              <w:right w:val="single" w:sz="2" w:space="0" w:color="auto"/>
            </w:tcBorders>
            <w:vAlign w:val="center"/>
          </w:tcPr>
          <w:p w14:paraId="492A7F25"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E5C7A6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1,022,982,107.97</w:t>
            </w:r>
          </w:p>
        </w:tc>
        <w:tc>
          <w:tcPr>
            <w:tcW w:w="312" w:type="pct"/>
            <w:tcBorders>
              <w:top w:val="single" w:sz="2" w:space="0" w:color="auto"/>
              <w:left w:val="single" w:sz="2" w:space="0" w:color="auto"/>
              <w:bottom w:val="single" w:sz="2" w:space="0" w:color="auto"/>
              <w:right w:val="single" w:sz="2" w:space="0" w:color="auto"/>
            </w:tcBorders>
            <w:vAlign w:val="center"/>
          </w:tcPr>
          <w:p w14:paraId="3CD13BC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5" w:type="pct"/>
            <w:tcBorders>
              <w:top w:val="single" w:sz="2" w:space="0" w:color="auto"/>
              <w:left w:val="single" w:sz="2" w:space="0" w:color="auto"/>
              <w:bottom w:val="single" w:sz="2" w:space="0" w:color="auto"/>
              <w:right w:val="single" w:sz="2" w:space="0" w:color="auto"/>
            </w:tcBorders>
            <w:vAlign w:val="center"/>
          </w:tcPr>
          <w:p w14:paraId="41EE2F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3,320,208,427.61</w:t>
            </w:r>
          </w:p>
        </w:tc>
        <w:tc>
          <w:tcPr>
            <w:tcW w:w="312" w:type="pct"/>
            <w:tcBorders>
              <w:top w:val="single" w:sz="2" w:space="0" w:color="auto"/>
              <w:left w:val="single" w:sz="2" w:space="0" w:color="auto"/>
              <w:bottom w:val="single" w:sz="2" w:space="0" w:color="auto"/>
              <w:right w:val="single" w:sz="2" w:space="0" w:color="auto"/>
            </w:tcBorders>
            <w:vAlign w:val="center"/>
          </w:tcPr>
          <w:p w14:paraId="69A90F5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183,512,363.61</w:t>
            </w:r>
          </w:p>
        </w:tc>
        <w:tc>
          <w:tcPr>
            <w:tcW w:w="313" w:type="pct"/>
            <w:tcBorders>
              <w:top w:val="single" w:sz="2" w:space="0" w:color="auto"/>
              <w:left w:val="single" w:sz="2" w:space="0" w:color="auto"/>
              <w:bottom w:val="single" w:sz="2" w:space="0" w:color="auto"/>
              <w:right w:val="single" w:sz="2" w:space="0" w:color="auto"/>
            </w:tcBorders>
            <w:vAlign w:val="center"/>
          </w:tcPr>
          <w:p w14:paraId="15BF501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3,503,720,791.22</w:t>
            </w:r>
          </w:p>
        </w:tc>
      </w:tr>
      <w:tr w:rsidR="001D26E7" w:rsidRPr="00F614F9" w14:paraId="3E79BB5E"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73A0D212"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加：会计政策变更</w:t>
            </w:r>
          </w:p>
        </w:tc>
        <w:tc>
          <w:tcPr>
            <w:tcW w:w="312" w:type="pct"/>
            <w:tcBorders>
              <w:top w:val="single" w:sz="2" w:space="0" w:color="auto"/>
              <w:left w:val="single" w:sz="2" w:space="0" w:color="auto"/>
              <w:bottom w:val="single" w:sz="2" w:space="0" w:color="auto"/>
              <w:right w:val="single" w:sz="2" w:space="0" w:color="auto"/>
            </w:tcBorders>
            <w:vAlign w:val="center"/>
          </w:tcPr>
          <w:p w14:paraId="7BA7DF7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233E94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4C8888E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2CF7FBF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408A704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A03029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086C1F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4CCC885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5D97100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74EB81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1F9BC4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72,221.95</w:t>
            </w:r>
          </w:p>
        </w:tc>
        <w:tc>
          <w:tcPr>
            <w:tcW w:w="312" w:type="pct"/>
            <w:tcBorders>
              <w:top w:val="single" w:sz="2" w:space="0" w:color="auto"/>
              <w:left w:val="single" w:sz="2" w:space="0" w:color="auto"/>
              <w:bottom w:val="single" w:sz="2" w:space="0" w:color="auto"/>
              <w:right w:val="single" w:sz="2" w:space="0" w:color="auto"/>
            </w:tcBorders>
            <w:vAlign w:val="center"/>
          </w:tcPr>
          <w:p w14:paraId="14B99D4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5" w:type="pct"/>
            <w:tcBorders>
              <w:top w:val="single" w:sz="2" w:space="0" w:color="auto"/>
              <w:left w:val="single" w:sz="2" w:space="0" w:color="auto"/>
              <w:bottom w:val="single" w:sz="2" w:space="0" w:color="auto"/>
              <w:right w:val="single" w:sz="2" w:space="0" w:color="auto"/>
            </w:tcBorders>
            <w:vAlign w:val="center"/>
          </w:tcPr>
          <w:p w14:paraId="2FD4902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72,221.95</w:t>
            </w:r>
          </w:p>
        </w:tc>
        <w:tc>
          <w:tcPr>
            <w:tcW w:w="312" w:type="pct"/>
            <w:tcBorders>
              <w:top w:val="single" w:sz="2" w:space="0" w:color="auto"/>
              <w:left w:val="single" w:sz="2" w:space="0" w:color="auto"/>
              <w:bottom w:val="single" w:sz="2" w:space="0" w:color="auto"/>
              <w:right w:val="single" w:sz="2" w:space="0" w:color="auto"/>
            </w:tcBorders>
            <w:vAlign w:val="center"/>
          </w:tcPr>
          <w:p w14:paraId="08ABFC3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1,004.82</w:t>
            </w:r>
          </w:p>
        </w:tc>
        <w:tc>
          <w:tcPr>
            <w:tcW w:w="313" w:type="pct"/>
            <w:tcBorders>
              <w:top w:val="single" w:sz="2" w:space="0" w:color="auto"/>
              <w:left w:val="single" w:sz="2" w:space="0" w:color="auto"/>
              <w:bottom w:val="single" w:sz="2" w:space="0" w:color="auto"/>
              <w:right w:val="single" w:sz="2" w:space="0" w:color="auto"/>
            </w:tcBorders>
            <w:vAlign w:val="center"/>
          </w:tcPr>
          <w:p w14:paraId="48F6C89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73,226.77</w:t>
            </w:r>
          </w:p>
        </w:tc>
      </w:tr>
      <w:tr w:rsidR="001D26E7" w:rsidRPr="00F614F9" w14:paraId="36001EDE"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5F15EAAD"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前期差错更正</w:t>
            </w:r>
          </w:p>
        </w:tc>
        <w:tc>
          <w:tcPr>
            <w:tcW w:w="312" w:type="pct"/>
            <w:tcBorders>
              <w:top w:val="single" w:sz="2" w:space="0" w:color="auto"/>
              <w:left w:val="single" w:sz="2" w:space="0" w:color="auto"/>
              <w:bottom w:val="single" w:sz="2" w:space="0" w:color="auto"/>
              <w:right w:val="single" w:sz="2" w:space="0" w:color="auto"/>
            </w:tcBorders>
            <w:vAlign w:val="center"/>
          </w:tcPr>
          <w:p w14:paraId="66D8CD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264CF17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0D81E2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2E0A63D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5FA3F6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303C56E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5DF55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33CED23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2062DFB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C2E677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B44529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372054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5" w:type="pct"/>
            <w:tcBorders>
              <w:top w:val="single" w:sz="2" w:space="0" w:color="auto"/>
              <w:left w:val="single" w:sz="2" w:space="0" w:color="auto"/>
              <w:bottom w:val="single" w:sz="2" w:space="0" w:color="auto"/>
              <w:right w:val="single" w:sz="2" w:space="0" w:color="auto"/>
            </w:tcBorders>
            <w:vAlign w:val="center"/>
          </w:tcPr>
          <w:p w14:paraId="6E5E309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2E7A06D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1A6529C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6EBC0553"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3DACFC3F"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312" w:type="pct"/>
            <w:tcBorders>
              <w:top w:val="single" w:sz="2" w:space="0" w:color="auto"/>
              <w:left w:val="single" w:sz="2" w:space="0" w:color="auto"/>
              <w:bottom w:val="single" w:sz="2" w:space="0" w:color="auto"/>
              <w:right w:val="single" w:sz="2" w:space="0" w:color="auto"/>
            </w:tcBorders>
            <w:vAlign w:val="center"/>
          </w:tcPr>
          <w:p w14:paraId="3055CF4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66FEDC0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5A4C83B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4466B92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33DA290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536477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5047D11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6E2E514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1F0E16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1048A6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63F7F8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D0BEED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5" w:type="pct"/>
            <w:tcBorders>
              <w:top w:val="single" w:sz="2" w:space="0" w:color="auto"/>
              <w:left w:val="single" w:sz="2" w:space="0" w:color="auto"/>
              <w:bottom w:val="single" w:sz="2" w:space="0" w:color="auto"/>
              <w:right w:val="single" w:sz="2" w:space="0" w:color="auto"/>
            </w:tcBorders>
            <w:vAlign w:val="center"/>
          </w:tcPr>
          <w:p w14:paraId="4DD608D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271EFC0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6AB64D2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013C62E5"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3E2527A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二、本年期初余额</w:t>
            </w:r>
          </w:p>
        </w:tc>
        <w:tc>
          <w:tcPr>
            <w:tcW w:w="312" w:type="pct"/>
            <w:tcBorders>
              <w:top w:val="single" w:sz="2" w:space="0" w:color="auto"/>
              <w:left w:val="single" w:sz="2" w:space="0" w:color="auto"/>
              <w:bottom w:val="single" w:sz="2" w:space="0" w:color="auto"/>
              <w:right w:val="single" w:sz="2" w:space="0" w:color="auto"/>
            </w:tcBorders>
            <w:vAlign w:val="center"/>
          </w:tcPr>
          <w:p w14:paraId="326F1E1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1,079,128,488.00</w:t>
            </w:r>
          </w:p>
        </w:tc>
        <w:tc>
          <w:tcPr>
            <w:tcW w:w="312" w:type="pct"/>
            <w:tcBorders>
              <w:top w:val="single" w:sz="2" w:space="0" w:color="auto"/>
              <w:left w:val="single" w:sz="2" w:space="0" w:color="auto"/>
              <w:bottom w:val="single" w:sz="2" w:space="0" w:color="auto"/>
              <w:right w:val="single" w:sz="2" w:space="0" w:color="auto"/>
            </w:tcBorders>
            <w:vAlign w:val="center"/>
          </w:tcPr>
          <w:p w14:paraId="6BE22BD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5EB824D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5969B78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171,571,679.93</w:t>
            </w:r>
          </w:p>
        </w:tc>
        <w:tc>
          <w:tcPr>
            <w:tcW w:w="312" w:type="pct"/>
            <w:tcBorders>
              <w:top w:val="single" w:sz="2" w:space="0" w:color="auto"/>
              <w:left w:val="single" w:sz="2" w:space="0" w:color="auto"/>
              <w:bottom w:val="single" w:sz="2" w:space="0" w:color="auto"/>
              <w:right w:val="single" w:sz="2" w:space="0" w:color="auto"/>
            </w:tcBorders>
            <w:vAlign w:val="center"/>
          </w:tcPr>
          <w:p w14:paraId="47B1853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831,830,715.12</w:t>
            </w:r>
          </w:p>
        </w:tc>
        <w:tc>
          <w:tcPr>
            <w:tcW w:w="312" w:type="pct"/>
            <w:tcBorders>
              <w:top w:val="single" w:sz="2" w:space="0" w:color="auto"/>
              <w:left w:val="single" w:sz="2" w:space="0" w:color="auto"/>
              <w:bottom w:val="single" w:sz="2" w:space="0" w:color="auto"/>
              <w:right w:val="single" w:sz="2" w:space="0" w:color="auto"/>
            </w:tcBorders>
            <w:vAlign w:val="center"/>
          </w:tcPr>
          <w:p w14:paraId="00504F0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37,244,672.24</w:t>
            </w:r>
          </w:p>
        </w:tc>
        <w:tc>
          <w:tcPr>
            <w:tcW w:w="312" w:type="pct"/>
            <w:tcBorders>
              <w:top w:val="single" w:sz="2" w:space="0" w:color="auto"/>
              <w:left w:val="single" w:sz="2" w:space="0" w:color="auto"/>
              <w:bottom w:val="single" w:sz="2" w:space="0" w:color="auto"/>
              <w:right w:val="single" w:sz="2" w:space="0" w:color="auto"/>
            </w:tcBorders>
            <w:vAlign w:val="center"/>
          </w:tcPr>
          <w:p w14:paraId="23F53E7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-11,777,820.33</w:t>
            </w:r>
          </w:p>
        </w:tc>
        <w:tc>
          <w:tcPr>
            <w:tcW w:w="312" w:type="pct"/>
            <w:tcBorders>
              <w:top w:val="single" w:sz="2" w:space="0" w:color="auto"/>
              <w:left w:val="single" w:sz="2" w:space="0" w:color="auto"/>
              <w:bottom w:val="single" w:sz="2" w:space="0" w:color="auto"/>
              <w:right w:val="single" w:sz="2" w:space="0" w:color="auto"/>
            </w:tcBorders>
            <w:vAlign w:val="center"/>
          </w:tcPr>
          <w:p w14:paraId="1269996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82DA05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263,717,929.16</w:t>
            </w:r>
          </w:p>
        </w:tc>
        <w:tc>
          <w:tcPr>
            <w:tcW w:w="312" w:type="pct"/>
            <w:tcBorders>
              <w:top w:val="single" w:sz="2" w:space="0" w:color="auto"/>
              <w:left w:val="single" w:sz="2" w:space="0" w:color="auto"/>
              <w:bottom w:val="single" w:sz="2" w:space="0" w:color="auto"/>
              <w:right w:val="single" w:sz="2" w:space="0" w:color="auto"/>
            </w:tcBorders>
            <w:vAlign w:val="center"/>
          </w:tcPr>
          <w:p w14:paraId="096CE06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0E8BAB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1,023,054,329.92</w:t>
            </w:r>
          </w:p>
        </w:tc>
        <w:tc>
          <w:tcPr>
            <w:tcW w:w="312" w:type="pct"/>
            <w:tcBorders>
              <w:top w:val="single" w:sz="2" w:space="0" w:color="auto"/>
              <w:left w:val="single" w:sz="2" w:space="0" w:color="auto"/>
              <w:bottom w:val="single" w:sz="2" w:space="0" w:color="auto"/>
              <w:right w:val="single" w:sz="2" w:space="0" w:color="auto"/>
            </w:tcBorders>
            <w:vAlign w:val="center"/>
          </w:tcPr>
          <w:p w14:paraId="6B4EB66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5" w:type="pct"/>
            <w:tcBorders>
              <w:top w:val="single" w:sz="2" w:space="0" w:color="auto"/>
              <w:left w:val="single" w:sz="2" w:space="0" w:color="auto"/>
              <w:bottom w:val="single" w:sz="2" w:space="0" w:color="auto"/>
              <w:right w:val="single" w:sz="2" w:space="0" w:color="auto"/>
            </w:tcBorders>
            <w:vAlign w:val="center"/>
          </w:tcPr>
          <w:p w14:paraId="45B927D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3,320,280,649.56</w:t>
            </w:r>
          </w:p>
        </w:tc>
        <w:tc>
          <w:tcPr>
            <w:tcW w:w="312" w:type="pct"/>
            <w:tcBorders>
              <w:top w:val="single" w:sz="2" w:space="0" w:color="auto"/>
              <w:left w:val="single" w:sz="2" w:space="0" w:color="auto"/>
              <w:bottom w:val="single" w:sz="2" w:space="0" w:color="auto"/>
              <w:right w:val="single" w:sz="2" w:space="0" w:color="auto"/>
            </w:tcBorders>
            <w:vAlign w:val="center"/>
          </w:tcPr>
          <w:p w14:paraId="6B39945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183,513,368.43</w:t>
            </w:r>
          </w:p>
        </w:tc>
        <w:tc>
          <w:tcPr>
            <w:tcW w:w="313" w:type="pct"/>
            <w:tcBorders>
              <w:top w:val="single" w:sz="2" w:space="0" w:color="auto"/>
              <w:left w:val="single" w:sz="2" w:space="0" w:color="auto"/>
              <w:bottom w:val="single" w:sz="2" w:space="0" w:color="auto"/>
              <w:right w:val="single" w:sz="2" w:space="0" w:color="auto"/>
            </w:tcBorders>
            <w:vAlign w:val="center"/>
          </w:tcPr>
          <w:p w14:paraId="1AFD449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3,503,794,017.99</w:t>
            </w:r>
          </w:p>
        </w:tc>
      </w:tr>
      <w:tr w:rsidR="001D26E7" w:rsidRPr="00F614F9" w14:paraId="2F90FA85"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04AA941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三、本期增减变动金额（减少以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12" w:type="pct"/>
            <w:tcBorders>
              <w:top w:val="single" w:sz="2" w:space="0" w:color="auto"/>
              <w:left w:val="single" w:sz="2" w:space="0" w:color="auto"/>
              <w:bottom w:val="single" w:sz="2" w:space="0" w:color="auto"/>
              <w:right w:val="single" w:sz="2" w:space="0" w:color="auto"/>
            </w:tcBorders>
            <w:vAlign w:val="center"/>
          </w:tcPr>
          <w:p w14:paraId="1F008A0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31,344.00</w:t>
            </w:r>
          </w:p>
        </w:tc>
        <w:tc>
          <w:tcPr>
            <w:tcW w:w="312" w:type="pct"/>
            <w:tcBorders>
              <w:top w:val="single" w:sz="2" w:space="0" w:color="auto"/>
              <w:left w:val="single" w:sz="2" w:space="0" w:color="auto"/>
              <w:bottom w:val="single" w:sz="2" w:space="0" w:color="auto"/>
              <w:right w:val="single" w:sz="2" w:space="0" w:color="auto"/>
            </w:tcBorders>
            <w:vAlign w:val="center"/>
          </w:tcPr>
          <w:p w14:paraId="72BC190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3519CE7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3A13940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-797.95</w:t>
            </w:r>
          </w:p>
        </w:tc>
        <w:tc>
          <w:tcPr>
            <w:tcW w:w="312" w:type="pct"/>
            <w:tcBorders>
              <w:top w:val="single" w:sz="2" w:space="0" w:color="auto"/>
              <w:left w:val="single" w:sz="2" w:space="0" w:color="auto"/>
              <w:bottom w:val="single" w:sz="2" w:space="0" w:color="auto"/>
              <w:right w:val="single" w:sz="2" w:space="0" w:color="auto"/>
            </w:tcBorders>
            <w:vAlign w:val="center"/>
          </w:tcPr>
          <w:p w14:paraId="1C22019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-6,873,293.48</w:t>
            </w:r>
          </w:p>
        </w:tc>
        <w:tc>
          <w:tcPr>
            <w:tcW w:w="312" w:type="pct"/>
            <w:tcBorders>
              <w:top w:val="single" w:sz="2" w:space="0" w:color="auto"/>
              <w:left w:val="single" w:sz="2" w:space="0" w:color="auto"/>
              <w:bottom w:val="single" w:sz="2" w:space="0" w:color="auto"/>
              <w:right w:val="single" w:sz="2" w:space="0" w:color="auto"/>
            </w:tcBorders>
            <w:vAlign w:val="center"/>
          </w:tcPr>
          <w:p w14:paraId="5FA306A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292,780,411.05</w:t>
            </w:r>
          </w:p>
        </w:tc>
        <w:tc>
          <w:tcPr>
            <w:tcW w:w="312" w:type="pct"/>
            <w:tcBorders>
              <w:top w:val="single" w:sz="2" w:space="0" w:color="auto"/>
              <w:left w:val="single" w:sz="2" w:space="0" w:color="auto"/>
              <w:bottom w:val="single" w:sz="2" w:space="0" w:color="auto"/>
              <w:right w:val="single" w:sz="2" w:space="0" w:color="auto"/>
            </w:tcBorders>
            <w:vAlign w:val="center"/>
          </w:tcPr>
          <w:p w14:paraId="0C42C22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312" w:type="pct"/>
            <w:tcBorders>
              <w:top w:val="single" w:sz="2" w:space="0" w:color="auto"/>
              <w:left w:val="single" w:sz="2" w:space="0" w:color="auto"/>
              <w:bottom w:val="single" w:sz="2" w:space="0" w:color="auto"/>
              <w:right w:val="single" w:sz="2" w:space="0" w:color="auto"/>
            </w:tcBorders>
            <w:vAlign w:val="center"/>
          </w:tcPr>
          <w:p w14:paraId="781F46A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62E76C5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6334D5A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CF5EF9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-1,538,353,704.08</w:t>
            </w:r>
          </w:p>
        </w:tc>
        <w:tc>
          <w:tcPr>
            <w:tcW w:w="312" w:type="pct"/>
            <w:tcBorders>
              <w:top w:val="single" w:sz="2" w:space="0" w:color="auto"/>
              <w:left w:val="single" w:sz="2" w:space="0" w:color="auto"/>
              <w:bottom w:val="single" w:sz="2" w:space="0" w:color="auto"/>
              <w:right w:val="single" w:sz="2" w:space="0" w:color="auto"/>
            </w:tcBorders>
            <w:vAlign w:val="center"/>
          </w:tcPr>
          <w:p w14:paraId="01F45D7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5" w:type="pct"/>
            <w:tcBorders>
              <w:top w:val="single" w:sz="2" w:space="0" w:color="auto"/>
              <w:left w:val="single" w:sz="2" w:space="0" w:color="auto"/>
              <w:bottom w:val="single" w:sz="2" w:space="0" w:color="auto"/>
              <w:right w:val="single" w:sz="2" w:space="0" w:color="auto"/>
            </w:tcBorders>
            <w:vAlign w:val="center"/>
          </w:tcPr>
          <w:p w14:paraId="16B2D60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-1,838,299,042.23</w:t>
            </w:r>
          </w:p>
        </w:tc>
        <w:tc>
          <w:tcPr>
            <w:tcW w:w="312" w:type="pct"/>
            <w:tcBorders>
              <w:top w:val="single" w:sz="2" w:space="0" w:color="auto"/>
              <w:left w:val="single" w:sz="2" w:space="0" w:color="auto"/>
              <w:bottom w:val="single" w:sz="2" w:space="0" w:color="auto"/>
              <w:right w:val="single" w:sz="2" w:space="0" w:color="auto"/>
            </w:tcBorders>
            <w:vAlign w:val="center"/>
          </w:tcPr>
          <w:p w14:paraId="65C9BA0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-8,534,160.32</w:t>
            </w:r>
          </w:p>
        </w:tc>
        <w:tc>
          <w:tcPr>
            <w:tcW w:w="313" w:type="pct"/>
            <w:tcBorders>
              <w:top w:val="single" w:sz="2" w:space="0" w:color="auto"/>
              <w:left w:val="single" w:sz="2" w:space="0" w:color="auto"/>
              <w:bottom w:val="single" w:sz="2" w:space="0" w:color="auto"/>
              <w:right w:val="single" w:sz="2" w:space="0" w:color="auto"/>
            </w:tcBorders>
            <w:vAlign w:val="center"/>
          </w:tcPr>
          <w:p w14:paraId="06F2E6E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-1,846,833,202.55</w:t>
            </w:r>
          </w:p>
        </w:tc>
      </w:tr>
      <w:tr w:rsidR="001D26E7" w:rsidRPr="00F614F9" w14:paraId="26BF7417"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67E7888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（一）综合收益总额</w:t>
            </w:r>
          </w:p>
        </w:tc>
        <w:tc>
          <w:tcPr>
            <w:tcW w:w="312" w:type="pct"/>
            <w:tcBorders>
              <w:top w:val="single" w:sz="2" w:space="0" w:color="auto"/>
              <w:left w:val="single" w:sz="2" w:space="0" w:color="auto"/>
              <w:bottom w:val="single" w:sz="2" w:space="0" w:color="auto"/>
              <w:right w:val="single" w:sz="2" w:space="0" w:color="auto"/>
            </w:tcBorders>
            <w:vAlign w:val="center"/>
          </w:tcPr>
          <w:p w14:paraId="386E409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8B0E9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360CDEB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26C98DB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D4E80E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67B39BB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06ABDF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312" w:type="pct"/>
            <w:tcBorders>
              <w:top w:val="single" w:sz="2" w:space="0" w:color="auto"/>
              <w:left w:val="single" w:sz="2" w:space="0" w:color="auto"/>
              <w:bottom w:val="single" w:sz="2" w:space="0" w:color="auto"/>
              <w:right w:val="single" w:sz="2" w:space="0" w:color="auto"/>
            </w:tcBorders>
            <w:vAlign w:val="center"/>
          </w:tcPr>
          <w:p w14:paraId="4A065C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115E97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0AA68D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484446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-1,538,353,704.08</w:t>
            </w:r>
          </w:p>
        </w:tc>
        <w:tc>
          <w:tcPr>
            <w:tcW w:w="312" w:type="pct"/>
            <w:tcBorders>
              <w:top w:val="single" w:sz="2" w:space="0" w:color="auto"/>
              <w:left w:val="single" w:sz="2" w:space="0" w:color="auto"/>
              <w:bottom w:val="single" w:sz="2" w:space="0" w:color="auto"/>
              <w:right w:val="single" w:sz="2" w:space="0" w:color="auto"/>
            </w:tcBorders>
            <w:vAlign w:val="center"/>
          </w:tcPr>
          <w:p w14:paraId="71406C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5" w:type="pct"/>
            <w:tcBorders>
              <w:top w:val="single" w:sz="2" w:space="0" w:color="auto"/>
              <w:left w:val="single" w:sz="2" w:space="0" w:color="auto"/>
              <w:bottom w:val="single" w:sz="2" w:space="0" w:color="auto"/>
              <w:right w:val="single" w:sz="2" w:space="0" w:color="auto"/>
            </w:tcBorders>
            <w:vAlign w:val="center"/>
          </w:tcPr>
          <w:p w14:paraId="4F9A97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-1,538,675,883.75</w:t>
            </w:r>
          </w:p>
        </w:tc>
        <w:tc>
          <w:tcPr>
            <w:tcW w:w="312" w:type="pct"/>
            <w:tcBorders>
              <w:top w:val="single" w:sz="2" w:space="0" w:color="auto"/>
              <w:left w:val="single" w:sz="2" w:space="0" w:color="auto"/>
              <w:bottom w:val="single" w:sz="2" w:space="0" w:color="auto"/>
              <w:right w:val="single" w:sz="2" w:space="0" w:color="auto"/>
            </w:tcBorders>
            <w:vAlign w:val="center"/>
          </w:tcPr>
          <w:p w14:paraId="78C5A2A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54,683,544.23</w:t>
            </w:r>
          </w:p>
        </w:tc>
        <w:tc>
          <w:tcPr>
            <w:tcW w:w="313" w:type="pct"/>
            <w:tcBorders>
              <w:top w:val="single" w:sz="2" w:space="0" w:color="auto"/>
              <w:left w:val="single" w:sz="2" w:space="0" w:color="auto"/>
              <w:bottom w:val="single" w:sz="2" w:space="0" w:color="auto"/>
              <w:right w:val="single" w:sz="2" w:space="0" w:color="auto"/>
            </w:tcBorders>
            <w:vAlign w:val="center"/>
          </w:tcPr>
          <w:p w14:paraId="50FD76B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-1,483,992,339.52</w:t>
            </w:r>
          </w:p>
        </w:tc>
      </w:tr>
      <w:tr w:rsidR="001D26E7" w:rsidRPr="00F614F9" w14:paraId="1CC2C489"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19D55FA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（二）所有者投入和减</w:t>
            </w:r>
            <w:r w:rsidRPr="00F614F9">
              <w:rPr>
                <w:rFonts w:ascii="Times New Roman" w:eastAsia="宋体" w:hAnsi="Times New Roman" w:cs="宋体"/>
                <w:sz w:val="18"/>
                <w:szCs w:val="18"/>
              </w:rPr>
              <w:lastRenderedPageBreak/>
              <w:t>少资本</w:t>
            </w:r>
          </w:p>
        </w:tc>
        <w:tc>
          <w:tcPr>
            <w:tcW w:w="312" w:type="pct"/>
            <w:tcBorders>
              <w:top w:val="single" w:sz="2" w:space="0" w:color="auto"/>
              <w:left w:val="single" w:sz="2" w:space="0" w:color="auto"/>
              <w:bottom w:val="single" w:sz="2" w:space="0" w:color="auto"/>
              <w:right w:val="single" w:sz="2" w:space="0" w:color="auto"/>
            </w:tcBorders>
            <w:vAlign w:val="center"/>
          </w:tcPr>
          <w:p w14:paraId="29C2BC6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lastRenderedPageBreak/>
              <w:t>31,344.00</w:t>
            </w:r>
          </w:p>
        </w:tc>
        <w:tc>
          <w:tcPr>
            <w:tcW w:w="312" w:type="pct"/>
            <w:tcBorders>
              <w:top w:val="single" w:sz="2" w:space="0" w:color="auto"/>
              <w:left w:val="single" w:sz="2" w:space="0" w:color="auto"/>
              <w:bottom w:val="single" w:sz="2" w:space="0" w:color="auto"/>
              <w:right w:val="single" w:sz="2" w:space="0" w:color="auto"/>
            </w:tcBorders>
            <w:vAlign w:val="center"/>
          </w:tcPr>
          <w:p w14:paraId="2EC3244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F543FC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2E1F18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-797.95</w:t>
            </w:r>
          </w:p>
        </w:tc>
        <w:tc>
          <w:tcPr>
            <w:tcW w:w="312" w:type="pct"/>
            <w:tcBorders>
              <w:top w:val="single" w:sz="2" w:space="0" w:color="auto"/>
              <w:left w:val="single" w:sz="2" w:space="0" w:color="auto"/>
              <w:bottom w:val="single" w:sz="2" w:space="0" w:color="auto"/>
              <w:right w:val="single" w:sz="2" w:space="0" w:color="auto"/>
            </w:tcBorders>
            <w:vAlign w:val="center"/>
          </w:tcPr>
          <w:p w14:paraId="7A0DC8F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-6,873,293.48</w:t>
            </w:r>
          </w:p>
        </w:tc>
        <w:tc>
          <w:tcPr>
            <w:tcW w:w="312" w:type="pct"/>
            <w:tcBorders>
              <w:top w:val="single" w:sz="2" w:space="0" w:color="auto"/>
              <w:left w:val="single" w:sz="2" w:space="0" w:color="auto"/>
              <w:bottom w:val="single" w:sz="2" w:space="0" w:color="auto"/>
              <w:right w:val="single" w:sz="2" w:space="0" w:color="auto"/>
            </w:tcBorders>
            <w:vAlign w:val="center"/>
          </w:tcPr>
          <w:p w14:paraId="7DE3BA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292,780,411.05</w:t>
            </w:r>
          </w:p>
        </w:tc>
        <w:tc>
          <w:tcPr>
            <w:tcW w:w="312" w:type="pct"/>
            <w:tcBorders>
              <w:top w:val="single" w:sz="2" w:space="0" w:color="auto"/>
              <w:left w:val="single" w:sz="2" w:space="0" w:color="auto"/>
              <w:bottom w:val="single" w:sz="2" w:space="0" w:color="auto"/>
              <w:right w:val="single" w:sz="2" w:space="0" w:color="auto"/>
            </w:tcBorders>
            <w:vAlign w:val="center"/>
          </w:tcPr>
          <w:p w14:paraId="248987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4B2022A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2ADD27E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15058E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26E7DA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63D7B90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5" w:type="pct"/>
            <w:tcBorders>
              <w:top w:val="single" w:sz="2" w:space="0" w:color="auto"/>
              <w:left w:val="single" w:sz="2" w:space="0" w:color="auto"/>
              <w:bottom w:val="single" w:sz="2" w:space="0" w:color="auto"/>
              <w:right w:val="single" w:sz="2" w:space="0" w:color="auto"/>
            </w:tcBorders>
            <w:vAlign w:val="center"/>
          </w:tcPr>
          <w:p w14:paraId="65E11CF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-299,623,158.48</w:t>
            </w:r>
          </w:p>
        </w:tc>
        <w:tc>
          <w:tcPr>
            <w:tcW w:w="312" w:type="pct"/>
            <w:tcBorders>
              <w:top w:val="single" w:sz="2" w:space="0" w:color="auto"/>
              <w:left w:val="single" w:sz="2" w:space="0" w:color="auto"/>
              <w:bottom w:val="single" w:sz="2" w:space="0" w:color="auto"/>
              <w:right w:val="single" w:sz="2" w:space="0" w:color="auto"/>
            </w:tcBorders>
            <w:vAlign w:val="center"/>
          </w:tcPr>
          <w:p w14:paraId="0820E07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-61,537,704.55</w:t>
            </w:r>
          </w:p>
        </w:tc>
        <w:tc>
          <w:tcPr>
            <w:tcW w:w="313" w:type="pct"/>
            <w:tcBorders>
              <w:top w:val="single" w:sz="2" w:space="0" w:color="auto"/>
              <w:left w:val="single" w:sz="2" w:space="0" w:color="auto"/>
              <w:bottom w:val="single" w:sz="2" w:space="0" w:color="auto"/>
              <w:right w:val="single" w:sz="2" w:space="0" w:color="auto"/>
            </w:tcBorders>
            <w:vAlign w:val="center"/>
          </w:tcPr>
          <w:p w14:paraId="704EDE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-361,160,863.03</w:t>
            </w:r>
          </w:p>
        </w:tc>
      </w:tr>
      <w:tr w:rsidR="001D26E7" w:rsidRPr="00F614F9" w14:paraId="201D11D4"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76FA7C2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．所有者投入的普通股</w:t>
            </w:r>
          </w:p>
        </w:tc>
        <w:tc>
          <w:tcPr>
            <w:tcW w:w="312" w:type="pct"/>
            <w:tcBorders>
              <w:top w:val="single" w:sz="2" w:space="0" w:color="auto"/>
              <w:left w:val="single" w:sz="2" w:space="0" w:color="auto"/>
              <w:bottom w:val="single" w:sz="2" w:space="0" w:color="auto"/>
              <w:right w:val="single" w:sz="2" w:space="0" w:color="auto"/>
            </w:tcBorders>
            <w:vAlign w:val="center"/>
          </w:tcPr>
          <w:p w14:paraId="0278FF5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31,344.00</w:t>
            </w:r>
          </w:p>
        </w:tc>
        <w:tc>
          <w:tcPr>
            <w:tcW w:w="312" w:type="pct"/>
            <w:tcBorders>
              <w:top w:val="single" w:sz="2" w:space="0" w:color="auto"/>
              <w:left w:val="single" w:sz="2" w:space="0" w:color="auto"/>
              <w:bottom w:val="single" w:sz="2" w:space="0" w:color="auto"/>
              <w:right w:val="single" w:sz="2" w:space="0" w:color="auto"/>
            </w:tcBorders>
            <w:vAlign w:val="center"/>
          </w:tcPr>
          <w:p w14:paraId="76E78DA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2C33427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4589187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377C22D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189,001.97</w:t>
            </w:r>
          </w:p>
        </w:tc>
        <w:tc>
          <w:tcPr>
            <w:tcW w:w="312" w:type="pct"/>
            <w:tcBorders>
              <w:top w:val="single" w:sz="2" w:space="0" w:color="auto"/>
              <w:left w:val="single" w:sz="2" w:space="0" w:color="auto"/>
              <w:bottom w:val="single" w:sz="2" w:space="0" w:color="auto"/>
              <w:right w:val="single" w:sz="2" w:space="0" w:color="auto"/>
            </w:tcBorders>
            <w:vAlign w:val="center"/>
          </w:tcPr>
          <w:p w14:paraId="3050450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274F19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2B65E63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F3E493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38C80E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039EC5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92DB2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5" w:type="pct"/>
            <w:tcBorders>
              <w:top w:val="single" w:sz="2" w:space="0" w:color="auto"/>
              <w:left w:val="single" w:sz="2" w:space="0" w:color="auto"/>
              <w:bottom w:val="single" w:sz="2" w:space="0" w:color="auto"/>
              <w:right w:val="single" w:sz="2" w:space="0" w:color="auto"/>
            </w:tcBorders>
            <w:vAlign w:val="center"/>
          </w:tcPr>
          <w:p w14:paraId="09316ED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220,345.97</w:t>
            </w:r>
          </w:p>
        </w:tc>
        <w:tc>
          <w:tcPr>
            <w:tcW w:w="312" w:type="pct"/>
            <w:tcBorders>
              <w:top w:val="single" w:sz="2" w:space="0" w:color="auto"/>
              <w:left w:val="single" w:sz="2" w:space="0" w:color="auto"/>
              <w:bottom w:val="single" w:sz="2" w:space="0" w:color="auto"/>
              <w:right w:val="single" w:sz="2" w:space="0" w:color="auto"/>
            </w:tcBorders>
            <w:vAlign w:val="center"/>
          </w:tcPr>
          <w:p w14:paraId="4875039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4C16C1F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220,345.97</w:t>
            </w:r>
          </w:p>
        </w:tc>
      </w:tr>
      <w:tr w:rsidR="001D26E7" w:rsidRPr="00F614F9" w14:paraId="143BE7F9"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1641C2B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．其他权益工具持有者投入资本</w:t>
            </w:r>
          </w:p>
        </w:tc>
        <w:tc>
          <w:tcPr>
            <w:tcW w:w="312" w:type="pct"/>
            <w:tcBorders>
              <w:top w:val="single" w:sz="2" w:space="0" w:color="auto"/>
              <w:left w:val="single" w:sz="2" w:space="0" w:color="auto"/>
              <w:bottom w:val="single" w:sz="2" w:space="0" w:color="auto"/>
              <w:right w:val="single" w:sz="2" w:space="0" w:color="auto"/>
            </w:tcBorders>
            <w:vAlign w:val="center"/>
          </w:tcPr>
          <w:p w14:paraId="73D7B20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34D4D42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63DC16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0D4D165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615F0A0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6119DF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3CE6EA1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1B080B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6B4734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25C00AD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36C972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7F04E4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5" w:type="pct"/>
            <w:tcBorders>
              <w:top w:val="single" w:sz="2" w:space="0" w:color="auto"/>
              <w:left w:val="single" w:sz="2" w:space="0" w:color="auto"/>
              <w:bottom w:val="single" w:sz="2" w:space="0" w:color="auto"/>
              <w:right w:val="single" w:sz="2" w:space="0" w:color="auto"/>
            </w:tcBorders>
            <w:vAlign w:val="center"/>
          </w:tcPr>
          <w:p w14:paraId="28F6A9D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9DF817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2E7687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6D05EDF8"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593EFF9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．股份支付计入所有者权益的金额</w:t>
            </w:r>
          </w:p>
        </w:tc>
        <w:tc>
          <w:tcPr>
            <w:tcW w:w="312" w:type="pct"/>
            <w:tcBorders>
              <w:top w:val="single" w:sz="2" w:space="0" w:color="auto"/>
              <w:left w:val="single" w:sz="2" w:space="0" w:color="auto"/>
              <w:bottom w:val="single" w:sz="2" w:space="0" w:color="auto"/>
              <w:right w:val="single" w:sz="2" w:space="0" w:color="auto"/>
            </w:tcBorders>
            <w:vAlign w:val="center"/>
          </w:tcPr>
          <w:p w14:paraId="60DF3BC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6F056D4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3E3D2B4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4BB24CE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23C713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33D103A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4861D5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5820A69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7A3BEC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5FDBB76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B17F13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308D9C0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5" w:type="pct"/>
            <w:tcBorders>
              <w:top w:val="single" w:sz="2" w:space="0" w:color="auto"/>
              <w:left w:val="single" w:sz="2" w:space="0" w:color="auto"/>
              <w:bottom w:val="single" w:sz="2" w:space="0" w:color="auto"/>
              <w:right w:val="single" w:sz="2" w:space="0" w:color="auto"/>
            </w:tcBorders>
            <w:vAlign w:val="center"/>
          </w:tcPr>
          <w:p w14:paraId="43A88D1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34399A8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20EADBF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338C4122"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17872F5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．其他</w:t>
            </w:r>
          </w:p>
        </w:tc>
        <w:tc>
          <w:tcPr>
            <w:tcW w:w="312" w:type="pct"/>
            <w:tcBorders>
              <w:top w:val="single" w:sz="2" w:space="0" w:color="auto"/>
              <w:left w:val="single" w:sz="2" w:space="0" w:color="auto"/>
              <w:bottom w:val="single" w:sz="2" w:space="0" w:color="auto"/>
              <w:right w:val="single" w:sz="2" w:space="0" w:color="auto"/>
            </w:tcBorders>
            <w:vAlign w:val="center"/>
          </w:tcPr>
          <w:p w14:paraId="3830EEC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4844588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104000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11825BC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-797.95</w:t>
            </w:r>
          </w:p>
        </w:tc>
        <w:tc>
          <w:tcPr>
            <w:tcW w:w="312" w:type="pct"/>
            <w:tcBorders>
              <w:top w:val="single" w:sz="2" w:space="0" w:color="auto"/>
              <w:left w:val="single" w:sz="2" w:space="0" w:color="auto"/>
              <w:bottom w:val="single" w:sz="2" w:space="0" w:color="auto"/>
              <w:right w:val="single" w:sz="2" w:space="0" w:color="auto"/>
            </w:tcBorders>
            <w:vAlign w:val="center"/>
          </w:tcPr>
          <w:p w14:paraId="5108649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-7,062,295.45</w:t>
            </w:r>
          </w:p>
        </w:tc>
        <w:tc>
          <w:tcPr>
            <w:tcW w:w="312" w:type="pct"/>
            <w:tcBorders>
              <w:top w:val="single" w:sz="2" w:space="0" w:color="auto"/>
              <w:left w:val="single" w:sz="2" w:space="0" w:color="auto"/>
              <w:bottom w:val="single" w:sz="2" w:space="0" w:color="auto"/>
              <w:right w:val="single" w:sz="2" w:space="0" w:color="auto"/>
            </w:tcBorders>
            <w:vAlign w:val="center"/>
          </w:tcPr>
          <w:p w14:paraId="4A08FF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292,780,411.05</w:t>
            </w:r>
          </w:p>
        </w:tc>
        <w:tc>
          <w:tcPr>
            <w:tcW w:w="312" w:type="pct"/>
            <w:tcBorders>
              <w:top w:val="single" w:sz="2" w:space="0" w:color="auto"/>
              <w:left w:val="single" w:sz="2" w:space="0" w:color="auto"/>
              <w:bottom w:val="single" w:sz="2" w:space="0" w:color="auto"/>
              <w:right w:val="single" w:sz="2" w:space="0" w:color="auto"/>
            </w:tcBorders>
            <w:vAlign w:val="center"/>
          </w:tcPr>
          <w:p w14:paraId="5651755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E102C3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D7CA24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516B54E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DA47E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4A920B8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5" w:type="pct"/>
            <w:tcBorders>
              <w:top w:val="single" w:sz="2" w:space="0" w:color="auto"/>
              <w:left w:val="single" w:sz="2" w:space="0" w:color="auto"/>
              <w:bottom w:val="single" w:sz="2" w:space="0" w:color="auto"/>
              <w:right w:val="single" w:sz="2" w:space="0" w:color="auto"/>
            </w:tcBorders>
            <w:vAlign w:val="center"/>
          </w:tcPr>
          <w:p w14:paraId="5FD06F1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-299,843,504.45</w:t>
            </w:r>
          </w:p>
        </w:tc>
        <w:tc>
          <w:tcPr>
            <w:tcW w:w="312" w:type="pct"/>
            <w:tcBorders>
              <w:top w:val="single" w:sz="2" w:space="0" w:color="auto"/>
              <w:left w:val="single" w:sz="2" w:space="0" w:color="auto"/>
              <w:bottom w:val="single" w:sz="2" w:space="0" w:color="auto"/>
              <w:right w:val="single" w:sz="2" w:space="0" w:color="auto"/>
            </w:tcBorders>
            <w:vAlign w:val="center"/>
          </w:tcPr>
          <w:p w14:paraId="5A43932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-61,537,704.55</w:t>
            </w:r>
          </w:p>
        </w:tc>
        <w:tc>
          <w:tcPr>
            <w:tcW w:w="313" w:type="pct"/>
            <w:tcBorders>
              <w:top w:val="single" w:sz="2" w:space="0" w:color="auto"/>
              <w:left w:val="single" w:sz="2" w:space="0" w:color="auto"/>
              <w:bottom w:val="single" w:sz="2" w:space="0" w:color="auto"/>
              <w:right w:val="single" w:sz="2" w:space="0" w:color="auto"/>
            </w:tcBorders>
            <w:vAlign w:val="center"/>
          </w:tcPr>
          <w:p w14:paraId="6D716DC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-361,381,209.00</w:t>
            </w:r>
          </w:p>
        </w:tc>
      </w:tr>
      <w:tr w:rsidR="001D26E7" w:rsidRPr="00F614F9" w14:paraId="2E70B3A0"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26AB7BD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（三）利润分配</w:t>
            </w:r>
          </w:p>
        </w:tc>
        <w:tc>
          <w:tcPr>
            <w:tcW w:w="312" w:type="pct"/>
            <w:tcBorders>
              <w:top w:val="single" w:sz="2" w:space="0" w:color="auto"/>
              <w:left w:val="single" w:sz="2" w:space="0" w:color="auto"/>
              <w:bottom w:val="single" w:sz="2" w:space="0" w:color="auto"/>
              <w:right w:val="single" w:sz="2" w:space="0" w:color="auto"/>
            </w:tcBorders>
            <w:vAlign w:val="center"/>
          </w:tcPr>
          <w:p w14:paraId="1BBB7DD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2D76F8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DDF7B3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2187DF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4962A8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3FE9A47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157C1D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EB4806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DAE5F0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57FBD8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096FEE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BBCF8B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5" w:type="pct"/>
            <w:tcBorders>
              <w:top w:val="single" w:sz="2" w:space="0" w:color="auto"/>
              <w:left w:val="single" w:sz="2" w:space="0" w:color="auto"/>
              <w:bottom w:val="single" w:sz="2" w:space="0" w:color="auto"/>
              <w:right w:val="single" w:sz="2" w:space="0" w:color="auto"/>
            </w:tcBorders>
            <w:vAlign w:val="center"/>
          </w:tcPr>
          <w:p w14:paraId="1B9DA14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940E7C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-1,680,000.00</w:t>
            </w:r>
          </w:p>
        </w:tc>
        <w:tc>
          <w:tcPr>
            <w:tcW w:w="313" w:type="pct"/>
            <w:tcBorders>
              <w:top w:val="single" w:sz="2" w:space="0" w:color="auto"/>
              <w:left w:val="single" w:sz="2" w:space="0" w:color="auto"/>
              <w:bottom w:val="single" w:sz="2" w:space="0" w:color="auto"/>
              <w:right w:val="single" w:sz="2" w:space="0" w:color="auto"/>
            </w:tcBorders>
            <w:vAlign w:val="center"/>
          </w:tcPr>
          <w:p w14:paraId="1A078B1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-1,680,000.00</w:t>
            </w:r>
          </w:p>
        </w:tc>
      </w:tr>
      <w:tr w:rsidR="001D26E7" w:rsidRPr="00F614F9" w14:paraId="104B8699"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34A7BDA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．提取盈余公积</w:t>
            </w:r>
          </w:p>
        </w:tc>
        <w:tc>
          <w:tcPr>
            <w:tcW w:w="312" w:type="pct"/>
            <w:tcBorders>
              <w:top w:val="single" w:sz="2" w:space="0" w:color="auto"/>
              <w:left w:val="single" w:sz="2" w:space="0" w:color="auto"/>
              <w:bottom w:val="single" w:sz="2" w:space="0" w:color="auto"/>
              <w:right w:val="single" w:sz="2" w:space="0" w:color="auto"/>
            </w:tcBorders>
            <w:vAlign w:val="center"/>
          </w:tcPr>
          <w:p w14:paraId="222419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5E05188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48BFB2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092E821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5840DF4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4BC19D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5DD63FB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F57E6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6A3E996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E8F9DD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6A64AD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4930EE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5" w:type="pct"/>
            <w:tcBorders>
              <w:top w:val="single" w:sz="2" w:space="0" w:color="auto"/>
              <w:left w:val="single" w:sz="2" w:space="0" w:color="auto"/>
              <w:bottom w:val="single" w:sz="2" w:space="0" w:color="auto"/>
              <w:right w:val="single" w:sz="2" w:space="0" w:color="auto"/>
            </w:tcBorders>
            <w:vAlign w:val="center"/>
          </w:tcPr>
          <w:p w14:paraId="68AE744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7AEA30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51B10C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064EB1AA"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3C7762C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．提取一般风险准备</w:t>
            </w:r>
          </w:p>
        </w:tc>
        <w:tc>
          <w:tcPr>
            <w:tcW w:w="312" w:type="pct"/>
            <w:tcBorders>
              <w:top w:val="single" w:sz="2" w:space="0" w:color="auto"/>
              <w:left w:val="single" w:sz="2" w:space="0" w:color="auto"/>
              <w:bottom w:val="single" w:sz="2" w:space="0" w:color="auto"/>
              <w:right w:val="single" w:sz="2" w:space="0" w:color="auto"/>
            </w:tcBorders>
            <w:vAlign w:val="center"/>
          </w:tcPr>
          <w:p w14:paraId="4B14C21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6677BE5"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B08E438"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1F28251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222C63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B1BA31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E4CAB8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E5C615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90EE22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B07D28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625753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60F9554"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3EE08E2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7B9874B"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33881307"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9414144"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14026A2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．对所有者（或股东）的分配</w:t>
            </w:r>
          </w:p>
        </w:tc>
        <w:tc>
          <w:tcPr>
            <w:tcW w:w="312" w:type="pct"/>
            <w:tcBorders>
              <w:top w:val="single" w:sz="2" w:space="0" w:color="auto"/>
              <w:left w:val="single" w:sz="2" w:space="0" w:color="auto"/>
              <w:bottom w:val="single" w:sz="2" w:space="0" w:color="auto"/>
              <w:right w:val="single" w:sz="2" w:space="0" w:color="auto"/>
            </w:tcBorders>
            <w:vAlign w:val="center"/>
          </w:tcPr>
          <w:p w14:paraId="3BAE1D4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21A5E37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415232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69F35D5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3850FDA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62056E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1B27DD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679345A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7E2E9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72EA11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2E826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2F25B97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5" w:type="pct"/>
            <w:tcBorders>
              <w:top w:val="single" w:sz="2" w:space="0" w:color="auto"/>
              <w:left w:val="single" w:sz="2" w:space="0" w:color="auto"/>
              <w:bottom w:val="single" w:sz="2" w:space="0" w:color="auto"/>
              <w:right w:val="single" w:sz="2" w:space="0" w:color="auto"/>
            </w:tcBorders>
            <w:vAlign w:val="center"/>
          </w:tcPr>
          <w:p w14:paraId="554954D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94875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-1,680,000.00</w:t>
            </w:r>
          </w:p>
        </w:tc>
        <w:tc>
          <w:tcPr>
            <w:tcW w:w="313" w:type="pct"/>
            <w:tcBorders>
              <w:top w:val="single" w:sz="2" w:space="0" w:color="auto"/>
              <w:left w:val="single" w:sz="2" w:space="0" w:color="auto"/>
              <w:bottom w:val="single" w:sz="2" w:space="0" w:color="auto"/>
              <w:right w:val="single" w:sz="2" w:space="0" w:color="auto"/>
            </w:tcBorders>
            <w:vAlign w:val="center"/>
          </w:tcPr>
          <w:p w14:paraId="6BD36E7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-1,680,000.00</w:t>
            </w:r>
          </w:p>
        </w:tc>
      </w:tr>
      <w:tr w:rsidR="001D26E7" w:rsidRPr="00F614F9" w14:paraId="2C07B526"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4771A18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．其他</w:t>
            </w:r>
          </w:p>
        </w:tc>
        <w:tc>
          <w:tcPr>
            <w:tcW w:w="312" w:type="pct"/>
            <w:tcBorders>
              <w:top w:val="single" w:sz="2" w:space="0" w:color="auto"/>
              <w:left w:val="single" w:sz="2" w:space="0" w:color="auto"/>
              <w:bottom w:val="single" w:sz="2" w:space="0" w:color="auto"/>
              <w:right w:val="single" w:sz="2" w:space="0" w:color="auto"/>
            </w:tcBorders>
            <w:vAlign w:val="center"/>
          </w:tcPr>
          <w:p w14:paraId="6D4F5B8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876A0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A02092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5B26968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269A61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5A1498A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63319E7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1999DA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D42597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56E70A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8E5E22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621163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5" w:type="pct"/>
            <w:tcBorders>
              <w:top w:val="single" w:sz="2" w:space="0" w:color="auto"/>
              <w:left w:val="single" w:sz="2" w:space="0" w:color="auto"/>
              <w:bottom w:val="single" w:sz="2" w:space="0" w:color="auto"/>
              <w:right w:val="single" w:sz="2" w:space="0" w:color="auto"/>
            </w:tcBorders>
            <w:vAlign w:val="center"/>
          </w:tcPr>
          <w:p w14:paraId="0E5EB42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6231B9B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28ADBBB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70A63502"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3EBD3FD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（四）所有者权益内部结转</w:t>
            </w:r>
          </w:p>
        </w:tc>
        <w:tc>
          <w:tcPr>
            <w:tcW w:w="312" w:type="pct"/>
            <w:tcBorders>
              <w:top w:val="single" w:sz="2" w:space="0" w:color="auto"/>
              <w:left w:val="single" w:sz="2" w:space="0" w:color="auto"/>
              <w:bottom w:val="single" w:sz="2" w:space="0" w:color="auto"/>
              <w:right w:val="single" w:sz="2" w:space="0" w:color="auto"/>
            </w:tcBorders>
            <w:vAlign w:val="center"/>
          </w:tcPr>
          <w:p w14:paraId="7D469DB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91DD02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7C6104D"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746C280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449388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80ADA6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36A6EC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5288056"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DD05E5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DC066F5"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93A8AB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5E758ED"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774B77E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542CF47"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0F1696DC"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88DF184"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334C8BA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．资本公积转增资本（或股本）</w:t>
            </w:r>
          </w:p>
        </w:tc>
        <w:tc>
          <w:tcPr>
            <w:tcW w:w="312" w:type="pct"/>
            <w:tcBorders>
              <w:top w:val="single" w:sz="2" w:space="0" w:color="auto"/>
              <w:left w:val="single" w:sz="2" w:space="0" w:color="auto"/>
              <w:bottom w:val="single" w:sz="2" w:space="0" w:color="auto"/>
              <w:right w:val="single" w:sz="2" w:space="0" w:color="auto"/>
            </w:tcBorders>
            <w:vAlign w:val="center"/>
          </w:tcPr>
          <w:p w14:paraId="1A97791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00D29E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40CF50E"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10220323"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3DF2285"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23C02C3"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342C063"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2DB961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D19E193"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4EF897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47A460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1DCFDD8"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6602FAA5"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B56681B"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5CE49751"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C803C28"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08772EC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．盈余公积转增资本（或股本）</w:t>
            </w:r>
          </w:p>
        </w:tc>
        <w:tc>
          <w:tcPr>
            <w:tcW w:w="312" w:type="pct"/>
            <w:tcBorders>
              <w:top w:val="single" w:sz="2" w:space="0" w:color="auto"/>
              <w:left w:val="single" w:sz="2" w:space="0" w:color="auto"/>
              <w:bottom w:val="single" w:sz="2" w:space="0" w:color="auto"/>
              <w:right w:val="single" w:sz="2" w:space="0" w:color="auto"/>
            </w:tcBorders>
            <w:vAlign w:val="center"/>
          </w:tcPr>
          <w:p w14:paraId="5F4AF36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969294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260BD91"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44552F6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3095AF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8F28A1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BA7A90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A0D7A1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211B5C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C782D1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966F7B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E391273"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7E8594C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5A874D2"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0A968BDC"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25049CB"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6E909E1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．盈余公积弥补亏损</w:t>
            </w:r>
          </w:p>
        </w:tc>
        <w:tc>
          <w:tcPr>
            <w:tcW w:w="312" w:type="pct"/>
            <w:tcBorders>
              <w:top w:val="single" w:sz="2" w:space="0" w:color="auto"/>
              <w:left w:val="single" w:sz="2" w:space="0" w:color="auto"/>
              <w:bottom w:val="single" w:sz="2" w:space="0" w:color="auto"/>
              <w:right w:val="single" w:sz="2" w:space="0" w:color="auto"/>
            </w:tcBorders>
            <w:vAlign w:val="center"/>
          </w:tcPr>
          <w:p w14:paraId="3D0D2D0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D85FFC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8B3182A"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69B2E20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E96913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14DE74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4AEC27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F67657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CAC40F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74579E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F619C6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EB927CD"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2038D943"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FF3A77F"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016D89E8"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8850ED2"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3D2BD9A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．设定受</w:t>
            </w:r>
            <w:r w:rsidRPr="00F614F9">
              <w:rPr>
                <w:rFonts w:ascii="Times New Roman" w:eastAsia="宋体" w:hAnsi="Times New Roman" w:cs="宋体"/>
                <w:sz w:val="18"/>
                <w:szCs w:val="18"/>
              </w:rPr>
              <w:lastRenderedPageBreak/>
              <w:t>益计划变动额结转留存收益</w:t>
            </w:r>
          </w:p>
        </w:tc>
        <w:tc>
          <w:tcPr>
            <w:tcW w:w="312" w:type="pct"/>
            <w:tcBorders>
              <w:top w:val="single" w:sz="2" w:space="0" w:color="auto"/>
              <w:left w:val="single" w:sz="2" w:space="0" w:color="auto"/>
              <w:bottom w:val="single" w:sz="2" w:space="0" w:color="auto"/>
              <w:right w:val="single" w:sz="2" w:space="0" w:color="auto"/>
            </w:tcBorders>
            <w:vAlign w:val="center"/>
          </w:tcPr>
          <w:p w14:paraId="56497FA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CB24AE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EEFA28F"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0A3C155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E0BE986"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A0A8CA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1C1B2E3"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EF8835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ED4328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DA3DB55"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22227B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35B7207"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66322D63"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E042DAC"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7158D8E0"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4D272D7"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23967B7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5</w:t>
            </w:r>
            <w:r w:rsidRPr="00F614F9">
              <w:rPr>
                <w:rFonts w:ascii="Times New Roman" w:eastAsia="宋体" w:hAnsi="Times New Roman" w:cs="宋体"/>
                <w:sz w:val="18"/>
                <w:szCs w:val="18"/>
              </w:rPr>
              <w:t>．其他综合收益结转留存收益</w:t>
            </w:r>
          </w:p>
        </w:tc>
        <w:tc>
          <w:tcPr>
            <w:tcW w:w="312" w:type="pct"/>
            <w:tcBorders>
              <w:top w:val="single" w:sz="2" w:space="0" w:color="auto"/>
              <w:left w:val="single" w:sz="2" w:space="0" w:color="auto"/>
              <w:bottom w:val="single" w:sz="2" w:space="0" w:color="auto"/>
              <w:right w:val="single" w:sz="2" w:space="0" w:color="auto"/>
            </w:tcBorders>
            <w:vAlign w:val="center"/>
          </w:tcPr>
          <w:p w14:paraId="5F0B2A5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A65437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9D94A73"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1009F60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930DCC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292EE3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9C9ED6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2A65DF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36EBD3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A5ED36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2E20FF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58BF50A"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054446D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75E8784"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70818B85"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76D132E"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088C6FF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6</w:t>
            </w:r>
            <w:r w:rsidRPr="00F614F9">
              <w:rPr>
                <w:rFonts w:ascii="Times New Roman" w:eastAsia="宋体" w:hAnsi="Times New Roman" w:cs="宋体"/>
                <w:sz w:val="18"/>
                <w:szCs w:val="18"/>
              </w:rPr>
              <w:t>．其他</w:t>
            </w:r>
          </w:p>
        </w:tc>
        <w:tc>
          <w:tcPr>
            <w:tcW w:w="312" w:type="pct"/>
            <w:tcBorders>
              <w:top w:val="single" w:sz="2" w:space="0" w:color="auto"/>
              <w:left w:val="single" w:sz="2" w:space="0" w:color="auto"/>
              <w:bottom w:val="single" w:sz="2" w:space="0" w:color="auto"/>
              <w:right w:val="single" w:sz="2" w:space="0" w:color="auto"/>
            </w:tcBorders>
            <w:vAlign w:val="center"/>
          </w:tcPr>
          <w:p w14:paraId="0EAFD94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B2F596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28496E3"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239D423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3029B03"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601AA2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8E9F29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20B47F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5D4BDC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D81361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105D78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82B5C20"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0279DCB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8152EF3"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7FB6EB48"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2BE9C21"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1E85A67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（五）专项储备</w:t>
            </w:r>
          </w:p>
        </w:tc>
        <w:tc>
          <w:tcPr>
            <w:tcW w:w="312" w:type="pct"/>
            <w:tcBorders>
              <w:top w:val="single" w:sz="2" w:space="0" w:color="auto"/>
              <w:left w:val="single" w:sz="2" w:space="0" w:color="auto"/>
              <w:bottom w:val="single" w:sz="2" w:space="0" w:color="auto"/>
              <w:right w:val="single" w:sz="2" w:space="0" w:color="auto"/>
            </w:tcBorders>
            <w:vAlign w:val="center"/>
          </w:tcPr>
          <w:p w14:paraId="084F625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87C984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EEA61CA"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50B64A3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C4AE76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09CC4D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939601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9297F8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80EE21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E0584F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4CA0EE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6AAAFB2"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0D23429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CBD74BE"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2B345C1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DC27681"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35785E6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．本期提取</w:t>
            </w:r>
          </w:p>
        </w:tc>
        <w:tc>
          <w:tcPr>
            <w:tcW w:w="312" w:type="pct"/>
            <w:tcBorders>
              <w:top w:val="single" w:sz="2" w:space="0" w:color="auto"/>
              <w:left w:val="single" w:sz="2" w:space="0" w:color="auto"/>
              <w:bottom w:val="single" w:sz="2" w:space="0" w:color="auto"/>
              <w:right w:val="single" w:sz="2" w:space="0" w:color="auto"/>
            </w:tcBorders>
            <w:vAlign w:val="center"/>
          </w:tcPr>
          <w:p w14:paraId="65CB5D8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5CFED6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4D2FE01"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3D673CB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C8FFAF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A9C8796"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20A70D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598B35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E25D1E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BF2399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69882A3"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3D8A22C"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38D24EA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720EA68"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44CD9463"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5ACF130"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4848F2D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．本期使用</w:t>
            </w:r>
          </w:p>
        </w:tc>
        <w:tc>
          <w:tcPr>
            <w:tcW w:w="312" w:type="pct"/>
            <w:tcBorders>
              <w:top w:val="single" w:sz="2" w:space="0" w:color="auto"/>
              <w:left w:val="single" w:sz="2" w:space="0" w:color="auto"/>
              <w:bottom w:val="single" w:sz="2" w:space="0" w:color="auto"/>
              <w:right w:val="single" w:sz="2" w:space="0" w:color="auto"/>
            </w:tcBorders>
            <w:vAlign w:val="center"/>
          </w:tcPr>
          <w:p w14:paraId="319973A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6F7B5E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80B0529"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69D1DB5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2D8BCE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FD4908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8B9B9B3"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815F16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CD9D88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C55698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3BEEEE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EE02C53"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3911312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397D6E5"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531C09B3"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A10B2A9"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06ADC47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（六）其他</w:t>
            </w:r>
          </w:p>
        </w:tc>
        <w:tc>
          <w:tcPr>
            <w:tcW w:w="312" w:type="pct"/>
            <w:tcBorders>
              <w:top w:val="single" w:sz="2" w:space="0" w:color="auto"/>
              <w:left w:val="single" w:sz="2" w:space="0" w:color="auto"/>
              <w:bottom w:val="single" w:sz="2" w:space="0" w:color="auto"/>
              <w:right w:val="single" w:sz="2" w:space="0" w:color="auto"/>
            </w:tcBorders>
            <w:vAlign w:val="center"/>
          </w:tcPr>
          <w:p w14:paraId="5357A13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3D172F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534EE82"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0AAEDD9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1771D0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1A274F6"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06DB0F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B2A1AD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9558B9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1DA057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411652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A6158DC"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339AE0C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7AD87CF"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373FEA6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329DA1E" w14:textId="77777777" w:rsidTr="006C7FCA">
        <w:trPr>
          <w:trHeight w:val="240"/>
          <w:jc w:val="center"/>
        </w:trPr>
        <w:tc>
          <w:tcPr>
            <w:tcW w:w="313" w:type="pct"/>
            <w:tcBorders>
              <w:top w:val="single" w:sz="2" w:space="0" w:color="auto"/>
              <w:left w:val="single" w:sz="2" w:space="0" w:color="auto"/>
              <w:bottom w:val="single" w:sz="2" w:space="0" w:color="auto"/>
              <w:right w:val="single" w:sz="2" w:space="0" w:color="auto"/>
            </w:tcBorders>
            <w:shd w:val="clear" w:color="auto" w:fill="D3D3D3"/>
            <w:vAlign w:val="center"/>
          </w:tcPr>
          <w:p w14:paraId="5DA2C22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四、本期期末余额</w:t>
            </w:r>
          </w:p>
        </w:tc>
        <w:tc>
          <w:tcPr>
            <w:tcW w:w="312" w:type="pct"/>
            <w:tcBorders>
              <w:top w:val="single" w:sz="2" w:space="0" w:color="auto"/>
              <w:left w:val="single" w:sz="2" w:space="0" w:color="auto"/>
              <w:bottom w:val="single" w:sz="2" w:space="0" w:color="auto"/>
              <w:right w:val="single" w:sz="2" w:space="0" w:color="auto"/>
            </w:tcBorders>
            <w:vAlign w:val="center"/>
          </w:tcPr>
          <w:p w14:paraId="48002E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1,079,159,832.00</w:t>
            </w:r>
          </w:p>
        </w:tc>
        <w:tc>
          <w:tcPr>
            <w:tcW w:w="312" w:type="pct"/>
            <w:tcBorders>
              <w:top w:val="single" w:sz="2" w:space="0" w:color="auto"/>
              <w:left w:val="single" w:sz="2" w:space="0" w:color="auto"/>
              <w:bottom w:val="single" w:sz="2" w:space="0" w:color="auto"/>
              <w:right w:val="single" w:sz="2" w:space="0" w:color="auto"/>
            </w:tcBorders>
            <w:vAlign w:val="center"/>
          </w:tcPr>
          <w:p w14:paraId="4A109B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A3246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75D2C3F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171,570,881.98</w:t>
            </w:r>
          </w:p>
        </w:tc>
        <w:tc>
          <w:tcPr>
            <w:tcW w:w="312" w:type="pct"/>
            <w:tcBorders>
              <w:top w:val="single" w:sz="2" w:space="0" w:color="auto"/>
              <w:left w:val="single" w:sz="2" w:space="0" w:color="auto"/>
              <w:bottom w:val="single" w:sz="2" w:space="0" w:color="auto"/>
              <w:right w:val="single" w:sz="2" w:space="0" w:color="auto"/>
            </w:tcBorders>
            <w:vAlign w:val="center"/>
          </w:tcPr>
          <w:p w14:paraId="31B5D6F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824,957,421.64</w:t>
            </w:r>
          </w:p>
        </w:tc>
        <w:tc>
          <w:tcPr>
            <w:tcW w:w="312" w:type="pct"/>
            <w:tcBorders>
              <w:top w:val="single" w:sz="2" w:space="0" w:color="auto"/>
              <w:left w:val="single" w:sz="2" w:space="0" w:color="auto"/>
              <w:bottom w:val="single" w:sz="2" w:space="0" w:color="auto"/>
              <w:right w:val="single" w:sz="2" w:space="0" w:color="auto"/>
            </w:tcBorders>
            <w:vAlign w:val="center"/>
          </w:tcPr>
          <w:p w14:paraId="2805A18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330,025,083.29</w:t>
            </w:r>
          </w:p>
        </w:tc>
        <w:tc>
          <w:tcPr>
            <w:tcW w:w="312" w:type="pct"/>
            <w:tcBorders>
              <w:top w:val="single" w:sz="2" w:space="0" w:color="auto"/>
              <w:left w:val="single" w:sz="2" w:space="0" w:color="auto"/>
              <w:bottom w:val="single" w:sz="2" w:space="0" w:color="auto"/>
              <w:right w:val="single" w:sz="2" w:space="0" w:color="auto"/>
            </w:tcBorders>
            <w:vAlign w:val="center"/>
          </w:tcPr>
          <w:p w14:paraId="7B123D9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-12,100,000.00</w:t>
            </w:r>
          </w:p>
        </w:tc>
        <w:tc>
          <w:tcPr>
            <w:tcW w:w="312" w:type="pct"/>
            <w:tcBorders>
              <w:top w:val="single" w:sz="2" w:space="0" w:color="auto"/>
              <w:left w:val="single" w:sz="2" w:space="0" w:color="auto"/>
              <w:bottom w:val="single" w:sz="2" w:space="0" w:color="auto"/>
              <w:right w:val="single" w:sz="2" w:space="0" w:color="auto"/>
            </w:tcBorders>
            <w:vAlign w:val="center"/>
          </w:tcPr>
          <w:p w14:paraId="05D18E4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534B9A6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263,717,929.16</w:t>
            </w:r>
          </w:p>
        </w:tc>
        <w:tc>
          <w:tcPr>
            <w:tcW w:w="312" w:type="pct"/>
            <w:tcBorders>
              <w:top w:val="single" w:sz="2" w:space="0" w:color="auto"/>
              <w:left w:val="single" w:sz="2" w:space="0" w:color="auto"/>
              <w:bottom w:val="single" w:sz="2" w:space="0" w:color="auto"/>
              <w:right w:val="single" w:sz="2" w:space="0" w:color="auto"/>
            </w:tcBorders>
            <w:vAlign w:val="center"/>
          </w:tcPr>
          <w:p w14:paraId="166F10C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DE34DF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-515,299,374.16</w:t>
            </w:r>
          </w:p>
        </w:tc>
        <w:tc>
          <w:tcPr>
            <w:tcW w:w="312" w:type="pct"/>
            <w:tcBorders>
              <w:top w:val="single" w:sz="2" w:space="0" w:color="auto"/>
              <w:left w:val="single" w:sz="2" w:space="0" w:color="auto"/>
              <w:bottom w:val="single" w:sz="2" w:space="0" w:color="auto"/>
              <w:right w:val="single" w:sz="2" w:space="0" w:color="auto"/>
            </w:tcBorders>
            <w:vAlign w:val="center"/>
          </w:tcPr>
          <w:p w14:paraId="543345B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5" w:type="pct"/>
            <w:tcBorders>
              <w:top w:val="single" w:sz="2" w:space="0" w:color="auto"/>
              <w:left w:val="single" w:sz="2" w:space="0" w:color="auto"/>
              <w:bottom w:val="single" w:sz="2" w:space="0" w:color="auto"/>
              <w:right w:val="single" w:sz="2" w:space="0" w:color="auto"/>
            </w:tcBorders>
            <w:vAlign w:val="center"/>
          </w:tcPr>
          <w:p w14:paraId="4E0550E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1,481,981,607.33</w:t>
            </w:r>
          </w:p>
        </w:tc>
        <w:tc>
          <w:tcPr>
            <w:tcW w:w="312" w:type="pct"/>
            <w:tcBorders>
              <w:top w:val="single" w:sz="2" w:space="0" w:color="auto"/>
              <w:left w:val="single" w:sz="2" w:space="0" w:color="auto"/>
              <w:bottom w:val="single" w:sz="2" w:space="0" w:color="auto"/>
              <w:right w:val="single" w:sz="2" w:space="0" w:color="auto"/>
            </w:tcBorders>
            <w:vAlign w:val="center"/>
          </w:tcPr>
          <w:p w14:paraId="3CFE3B5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174,979,208.11</w:t>
            </w:r>
          </w:p>
        </w:tc>
        <w:tc>
          <w:tcPr>
            <w:tcW w:w="313" w:type="pct"/>
            <w:tcBorders>
              <w:top w:val="single" w:sz="2" w:space="0" w:color="auto"/>
              <w:left w:val="single" w:sz="2" w:space="0" w:color="auto"/>
              <w:bottom w:val="single" w:sz="2" w:space="0" w:color="auto"/>
              <w:right w:val="single" w:sz="2" w:space="0" w:color="auto"/>
            </w:tcBorders>
            <w:vAlign w:val="center"/>
          </w:tcPr>
          <w:p w14:paraId="0038192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1,656,960,815.44</w:t>
            </w:r>
          </w:p>
        </w:tc>
      </w:tr>
    </w:tbl>
    <w:p w14:paraId="77A1686B" w14:textId="77777777" w:rsidR="006C7FCA" w:rsidRPr="00F614F9" w:rsidRDefault="006C7FCA">
      <w:pPr>
        <w:spacing w:line="240" w:lineRule="exact"/>
        <w:rPr>
          <w:rFonts w:ascii="Times New Roman" w:eastAsia="宋体" w:hAnsi="Times New Roman" w:cs="宋体"/>
          <w:sz w:val="18"/>
          <w:szCs w:val="18"/>
        </w:rPr>
      </w:pPr>
    </w:p>
    <w:p w14:paraId="062FCFF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上期金额</w:t>
      </w:r>
    </w:p>
    <w:p w14:paraId="73490692"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14742"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28" w:type="dxa"/>
          <w:right w:w="57" w:type="dxa"/>
        </w:tblCellMar>
        <w:tblLook w:val="04A0" w:firstRow="1" w:lastRow="0" w:firstColumn="1" w:lastColumn="0" w:noHBand="0" w:noVBand="1"/>
      </w:tblPr>
      <w:tblGrid>
        <w:gridCol w:w="985"/>
        <w:gridCol w:w="1345"/>
        <w:gridCol w:w="265"/>
        <w:gridCol w:w="265"/>
        <w:gridCol w:w="1210"/>
        <w:gridCol w:w="1210"/>
        <w:gridCol w:w="1120"/>
        <w:gridCol w:w="1114"/>
        <w:gridCol w:w="265"/>
        <w:gridCol w:w="1210"/>
        <w:gridCol w:w="265"/>
        <w:gridCol w:w="1345"/>
        <w:gridCol w:w="265"/>
        <w:gridCol w:w="1345"/>
        <w:gridCol w:w="1210"/>
        <w:gridCol w:w="1345"/>
      </w:tblGrid>
      <w:tr w:rsidR="001D26E7" w:rsidRPr="00F614F9" w14:paraId="37A76EA2" w14:textId="77777777" w:rsidTr="006C7FCA">
        <w:trPr>
          <w:trHeight w:val="240"/>
          <w:jc w:val="center"/>
        </w:trPr>
        <w:tc>
          <w:tcPr>
            <w:tcW w:w="3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38E0DD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4688" w:type="pct"/>
            <w:gridSpan w:val="15"/>
            <w:tcBorders>
              <w:top w:val="single" w:sz="2" w:space="0" w:color="auto"/>
              <w:left w:val="single" w:sz="2" w:space="0" w:color="auto"/>
              <w:bottom w:val="single" w:sz="2" w:space="0" w:color="auto"/>
              <w:right w:val="single" w:sz="2" w:space="0" w:color="auto"/>
            </w:tcBorders>
            <w:shd w:val="clear" w:color="auto" w:fill="D3D3D3"/>
            <w:vAlign w:val="center"/>
          </w:tcPr>
          <w:p w14:paraId="0BB4F1A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年度</w:t>
            </w:r>
          </w:p>
        </w:tc>
      </w:tr>
      <w:tr w:rsidR="001D26E7" w:rsidRPr="00F614F9" w14:paraId="0621B9F5" w14:textId="77777777" w:rsidTr="006C7FCA">
        <w:trPr>
          <w:trHeight w:val="240"/>
          <w:jc w:val="center"/>
        </w:trPr>
        <w:tc>
          <w:tcPr>
            <w:tcW w:w="3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2D4C03F6" w14:textId="77777777" w:rsidR="001D26E7" w:rsidRPr="00F614F9" w:rsidRDefault="001D26E7">
            <w:pPr>
              <w:rPr>
                <w:rFonts w:ascii="Times New Roman" w:hAnsi="Times New Roman"/>
              </w:rPr>
            </w:pPr>
          </w:p>
        </w:tc>
        <w:tc>
          <w:tcPr>
            <w:tcW w:w="4063" w:type="pct"/>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5840B64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归属于母公司所有者权益</w:t>
            </w:r>
          </w:p>
        </w:tc>
        <w:tc>
          <w:tcPr>
            <w:tcW w:w="3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59EA22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少数股东权益</w:t>
            </w:r>
          </w:p>
        </w:tc>
        <w:tc>
          <w:tcPr>
            <w:tcW w:w="313"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1C0A25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所有者权益合计</w:t>
            </w:r>
          </w:p>
        </w:tc>
      </w:tr>
      <w:tr w:rsidR="006C7FCA" w:rsidRPr="00F614F9" w14:paraId="2F3E7259" w14:textId="77777777" w:rsidTr="006C7FCA">
        <w:trPr>
          <w:trHeight w:val="240"/>
          <w:jc w:val="center"/>
        </w:trPr>
        <w:tc>
          <w:tcPr>
            <w:tcW w:w="3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56E79C55" w14:textId="77777777" w:rsidR="001D26E7" w:rsidRPr="00F614F9" w:rsidRDefault="001D26E7">
            <w:pPr>
              <w:rPr>
                <w:rFonts w:ascii="Times New Roman" w:hAnsi="Times New Roman"/>
              </w:rPr>
            </w:pPr>
          </w:p>
        </w:tc>
        <w:tc>
          <w:tcPr>
            <w:tcW w:w="3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E6548C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股本</w:t>
            </w:r>
          </w:p>
        </w:tc>
        <w:tc>
          <w:tcPr>
            <w:tcW w:w="937" w:type="pct"/>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5EA6340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其他权益工具</w:t>
            </w:r>
          </w:p>
        </w:tc>
        <w:tc>
          <w:tcPr>
            <w:tcW w:w="3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927487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资本公积</w:t>
            </w:r>
          </w:p>
        </w:tc>
        <w:tc>
          <w:tcPr>
            <w:tcW w:w="3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314A99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减：库存股</w:t>
            </w:r>
          </w:p>
        </w:tc>
        <w:tc>
          <w:tcPr>
            <w:tcW w:w="3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ABBF3C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其他综合收益</w:t>
            </w:r>
          </w:p>
        </w:tc>
        <w:tc>
          <w:tcPr>
            <w:tcW w:w="3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78504C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专项储备</w:t>
            </w:r>
          </w:p>
        </w:tc>
        <w:tc>
          <w:tcPr>
            <w:tcW w:w="3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514D8B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盈余公积</w:t>
            </w:r>
          </w:p>
        </w:tc>
        <w:tc>
          <w:tcPr>
            <w:tcW w:w="3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BCB254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一般风险准备</w:t>
            </w:r>
          </w:p>
        </w:tc>
        <w:tc>
          <w:tcPr>
            <w:tcW w:w="3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B61AFC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未分配利润</w:t>
            </w:r>
          </w:p>
        </w:tc>
        <w:tc>
          <w:tcPr>
            <w:tcW w:w="31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DA0DB0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315"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EFF79C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小计</w:t>
            </w:r>
          </w:p>
        </w:tc>
        <w:tc>
          <w:tcPr>
            <w:tcW w:w="3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59F09AA4" w14:textId="77777777" w:rsidR="001D26E7" w:rsidRPr="00F614F9" w:rsidRDefault="001D26E7">
            <w:pPr>
              <w:rPr>
                <w:rFonts w:ascii="Times New Roman" w:hAnsi="Times New Roman"/>
              </w:rPr>
            </w:pPr>
          </w:p>
        </w:tc>
        <w:tc>
          <w:tcPr>
            <w:tcW w:w="313"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7E697871" w14:textId="77777777" w:rsidR="001D26E7" w:rsidRPr="00F614F9" w:rsidRDefault="001D26E7">
            <w:pPr>
              <w:rPr>
                <w:rFonts w:ascii="Times New Roman" w:hAnsi="Times New Roman"/>
              </w:rPr>
            </w:pPr>
          </w:p>
        </w:tc>
      </w:tr>
      <w:tr w:rsidR="006C7FCA" w:rsidRPr="00F614F9" w14:paraId="1E98EF0C" w14:textId="77777777" w:rsidTr="006C7FCA">
        <w:trPr>
          <w:trHeight w:val="240"/>
          <w:jc w:val="center"/>
        </w:trPr>
        <w:tc>
          <w:tcPr>
            <w:tcW w:w="3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09B59E5F" w14:textId="77777777" w:rsidR="001D26E7" w:rsidRPr="00F614F9" w:rsidRDefault="001D26E7">
            <w:pPr>
              <w:rPr>
                <w:rFonts w:ascii="Times New Roman" w:hAnsi="Times New Roman"/>
              </w:rPr>
            </w:pPr>
          </w:p>
        </w:tc>
        <w:tc>
          <w:tcPr>
            <w:tcW w:w="3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1789546B" w14:textId="77777777" w:rsidR="001D26E7" w:rsidRPr="00F614F9" w:rsidRDefault="001D26E7">
            <w:pPr>
              <w:rPr>
                <w:rFonts w:ascii="Times New Roman" w:hAnsi="Times New Roman"/>
              </w:rPr>
            </w:pPr>
          </w:p>
        </w:tc>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0A783F4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优先股</w:t>
            </w:r>
          </w:p>
        </w:tc>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422129D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永续债</w:t>
            </w:r>
          </w:p>
        </w:tc>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0D4DFD4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3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03FAA281" w14:textId="77777777" w:rsidR="001D26E7" w:rsidRPr="00F614F9" w:rsidRDefault="001D26E7">
            <w:pPr>
              <w:rPr>
                <w:rFonts w:ascii="Times New Roman" w:hAnsi="Times New Roman"/>
              </w:rPr>
            </w:pPr>
          </w:p>
        </w:tc>
        <w:tc>
          <w:tcPr>
            <w:tcW w:w="3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4138DF31" w14:textId="77777777" w:rsidR="001D26E7" w:rsidRPr="00F614F9" w:rsidRDefault="001D26E7">
            <w:pPr>
              <w:rPr>
                <w:rFonts w:ascii="Times New Roman" w:hAnsi="Times New Roman"/>
              </w:rPr>
            </w:pPr>
          </w:p>
        </w:tc>
        <w:tc>
          <w:tcPr>
            <w:tcW w:w="3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3DD73AB6" w14:textId="77777777" w:rsidR="001D26E7" w:rsidRPr="00F614F9" w:rsidRDefault="001D26E7">
            <w:pPr>
              <w:rPr>
                <w:rFonts w:ascii="Times New Roman" w:hAnsi="Times New Roman"/>
              </w:rPr>
            </w:pPr>
          </w:p>
        </w:tc>
        <w:tc>
          <w:tcPr>
            <w:tcW w:w="312" w:type="pct"/>
            <w:vMerge/>
            <w:tcBorders>
              <w:top w:val="single" w:sz="2" w:space="0" w:color="auto"/>
              <w:left w:val="single" w:sz="2" w:space="0" w:color="auto"/>
              <w:bottom w:val="single" w:sz="2" w:space="0" w:color="auto"/>
              <w:right w:val="single" w:sz="2" w:space="0" w:color="auto"/>
            </w:tcBorders>
            <w:vAlign w:val="center"/>
          </w:tcPr>
          <w:p w14:paraId="04F41EC7" w14:textId="77777777" w:rsidR="001D26E7" w:rsidRPr="00F614F9" w:rsidRDefault="001D26E7">
            <w:pPr>
              <w:rPr>
                <w:rFonts w:ascii="Times New Roman" w:hAnsi="Times New Roman"/>
              </w:rPr>
            </w:pPr>
          </w:p>
        </w:tc>
        <w:tc>
          <w:tcPr>
            <w:tcW w:w="3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244D76C9" w14:textId="77777777" w:rsidR="001D26E7" w:rsidRPr="00F614F9" w:rsidRDefault="001D26E7">
            <w:pPr>
              <w:rPr>
                <w:rFonts w:ascii="Times New Roman" w:hAnsi="Times New Roman"/>
              </w:rPr>
            </w:pPr>
          </w:p>
        </w:tc>
        <w:tc>
          <w:tcPr>
            <w:tcW w:w="3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4AD2C33A" w14:textId="77777777" w:rsidR="001D26E7" w:rsidRPr="00F614F9" w:rsidRDefault="001D26E7">
            <w:pPr>
              <w:rPr>
                <w:rFonts w:ascii="Times New Roman" w:hAnsi="Times New Roman"/>
              </w:rPr>
            </w:pPr>
          </w:p>
        </w:tc>
        <w:tc>
          <w:tcPr>
            <w:tcW w:w="3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1298697B" w14:textId="77777777" w:rsidR="001D26E7" w:rsidRPr="00F614F9" w:rsidRDefault="001D26E7">
            <w:pPr>
              <w:rPr>
                <w:rFonts w:ascii="Times New Roman" w:hAnsi="Times New Roman"/>
              </w:rPr>
            </w:pPr>
          </w:p>
        </w:tc>
        <w:tc>
          <w:tcPr>
            <w:tcW w:w="312" w:type="pct"/>
            <w:vMerge/>
            <w:tcBorders>
              <w:top w:val="single" w:sz="2" w:space="0" w:color="auto"/>
              <w:left w:val="single" w:sz="2" w:space="0" w:color="auto"/>
              <w:bottom w:val="single" w:sz="2" w:space="0" w:color="auto"/>
              <w:right w:val="single" w:sz="2" w:space="0" w:color="auto"/>
            </w:tcBorders>
            <w:vAlign w:val="center"/>
          </w:tcPr>
          <w:p w14:paraId="7C134C40" w14:textId="77777777" w:rsidR="001D26E7" w:rsidRPr="00F614F9" w:rsidRDefault="001D26E7">
            <w:pPr>
              <w:rPr>
                <w:rFonts w:ascii="Times New Roman" w:hAnsi="Times New Roman"/>
              </w:rPr>
            </w:pPr>
          </w:p>
        </w:tc>
        <w:tc>
          <w:tcPr>
            <w:tcW w:w="315" w:type="pct"/>
            <w:vMerge/>
            <w:tcBorders>
              <w:top w:val="single" w:sz="2" w:space="0" w:color="auto"/>
              <w:left w:val="single" w:sz="2" w:space="0" w:color="auto"/>
              <w:bottom w:val="single" w:sz="2" w:space="0" w:color="auto"/>
              <w:right w:val="single" w:sz="2" w:space="0" w:color="auto"/>
            </w:tcBorders>
            <w:vAlign w:val="center"/>
          </w:tcPr>
          <w:p w14:paraId="0B6138C7" w14:textId="77777777" w:rsidR="001D26E7" w:rsidRPr="00F614F9" w:rsidRDefault="001D26E7">
            <w:pPr>
              <w:rPr>
                <w:rFonts w:ascii="Times New Roman" w:hAnsi="Times New Roman"/>
              </w:rPr>
            </w:pPr>
          </w:p>
        </w:tc>
        <w:tc>
          <w:tcPr>
            <w:tcW w:w="31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2BCBD1C8" w14:textId="77777777" w:rsidR="001D26E7" w:rsidRPr="00F614F9" w:rsidRDefault="001D26E7">
            <w:pPr>
              <w:rPr>
                <w:rFonts w:ascii="Times New Roman" w:hAnsi="Times New Roman"/>
              </w:rPr>
            </w:pPr>
          </w:p>
        </w:tc>
        <w:tc>
          <w:tcPr>
            <w:tcW w:w="313"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453BB4EE" w14:textId="77777777" w:rsidR="001D26E7" w:rsidRPr="00F614F9" w:rsidRDefault="001D26E7">
            <w:pPr>
              <w:rPr>
                <w:rFonts w:ascii="Times New Roman" w:hAnsi="Times New Roman"/>
              </w:rPr>
            </w:pPr>
          </w:p>
        </w:tc>
      </w:tr>
      <w:tr w:rsidR="001D26E7" w:rsidRPr="00F614F9" w14:paraId="0129B519"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6C17580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一、上年期末余额</w:t>
            </w:r>
          </w:p>
        </w:tc>
        <w:tc>
          <w:tcPr>
            <w:tcW w:w="312" w:type="pct"/>
            <w:tcBorders>
              <w:top w:val="single" w:sz="2" w:space="0" w:color="auto"/>
              <w:left w:val="single" w:sz="2" w:space="0" w:color="auto"/>
              <w:bottom w:val="single" w:sz="2" w:space="0" w:color="auto"/>
              <w:right w:val="single" w:sz="2" w:space="0" w:color="auto"/>
            </w:tcBorders>
            <w:vAlign w:val="center"/>
          </w:tcPr>
          <w:p w14:paraId="5698047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1,078,860,185.00</w:t>
            </w:r>
          </w:p>
        </w:tc>
        <w:tc>
          <w:tcPr>
            <w:tcW w:w="312" w:type="pct"/>
            <w:tcBorders>
              <w:top w:val="single" w:sz="2" w:space="0" w:color="auto"/>
              <w:left w:val="single" w:sz="2" w:space="0" w:color="auto"/>
              <w:bottom w:val="single" w:sz="2" w:space="0" w:color="auto"/>
              <w:right w:val="single" w:sz="2" w:space="0" w:color="auto"/>
            </w:tcBorders>
            <w:vAlign w:val="center"/>
          </w:tcPr>
          <w:p w14:paraId="20F11F6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D4F87A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F137FC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171,581,632.30</w:t>
            </w:r>
          </w:p>
        </w:tc>
        <w:tc>
          <w:tcPr>
            <w:tcW w:w="312" w:type="pct"/>
            <w:tcBorders>
              <w:top w:val="single" w:sz="2" w:space="0" w:color="auto"/>
              <w:left w:val="single" w:sz="2" w:space="0" w:color="auto"/>
              <w:bottom w:val="single" w:sz="2" w:space="0" w:color="auto"/>
              <w:right w:val="single" w:sz="2" w:space="0" w:color="auto"/>
            </w:tcBorders>
            <w:vAlign w:val="center"/>
          </w:tcPr>
          <w:p w14:paraId="3A1925D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813,738,917.61</w:t>
            </w:r>
          </w:p>
        </w:tc>
        <w:tc>
          <w:tcPr>
            <w:tcW w:w="312" w:type="pct"/>
            <w:tcBorders>
              <w:top w:val="single" w:sz="2" w:space="0" w:color="auto"/>
              <w:left w:val="single" w:sz="2" w:space="0" w:color="auto"/>
              <w:bottom w:val="single" w:sz="2" w:space="0" w:color="auto"/>
              <w:right w:val="single" w:sz="2" w:space="0" w:color="auto"/>
            </w:tcBorders>
            <w:vAlign w:val="center"/>
          </w:tcPr>
          <w:p w14:paraId="71CEA12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31,491,174.00</w:t>
            </w:r>
          </w:p>
        </w:tc>
        <w:tc>
          <w:tcPr>
            <w:tcW w:w="312" w:type="pct"/>
            <w:tcBorders>
              <w:top w:val="single" w:sz="2" w:space="0" w:color="auto"/>
              <w:left w:val="single" w:sz="2" w:space="0" w:color="auto"/>
              <w:bottom w:val="single" w:sz="2" w:space="0" w:color="auto"/>
              <w:right w:val="single" w:sz="2" w:space="0" w:color="auto"/>
            </w:tcBorders>
            <w:vAlign w:val="center"/>
          </w:tcPr>
          <w:p w14:paraId="1F09E19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-8,833,365.24</w:t>
            </w:r>
          </w:p>
        </w:tc>
        <w:tc>
          <w:tcPr>
            <w:tcW w:w="312" w:type="pct"/>
            <w:tcBorders>
              <w:top w:val="single" w:sz="2" w:space="0" w:color="auto"/>
              <w:left w:val="single" w:sz="2" w:space="0" w:color="auto"/>
              <w:bottom w:val="single" w:sz="2" w:space="0" w:color="auto"/>
              <w:right w:val="single" w:sz="2" w:space="0" w:color="auto"/>
            </w:tcBorders>
            <w:vAlign w:val="center"/>
          </w:tcPr>
          <w:p w14:paraId="591F1D5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9B660A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263,717,929.16</w:t>
            </w:r>
          </w:p>
        </w:tc>
        <w:tc>
          <w:tcPr>
            <w:tcW w:w="312" w:type="pct"/>
            <w:tcBorders>
              <w:top w:val="single" w:sz="2" w:space="0" w:color="auto"/>
              <w:left w:val="single" w:sz="2" w:space="0" w:color="auto"/>
              <w:bottom w:val="single" w:sz="2" w:space="0" w:color="auto"/>
              <w:right w:val="single" w:sz="2" w:space="0" w:color="auto"/>
            </w:tcBorders>
            <w:vAlign w:val="center"/>
          </w:tcPr>
          <w:p w14:paraId="04A61D9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3CAE60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947,273,347.94</w:t>
            </w:r>
          </w:p>
        </w:tc>
        <w:tc>
          <w:tcPr>
            <w:tcW w:w="312" w:type="pct"/>
            <w:tcBorders>
              <w:top w:val="single" w:sz="2" w:space="0" w:color="auto"/>
              <w:left w:val="single" w:sz="2" w:space="0" w:color="auto"/>
              <w:bottom w:val="single" w:sz="2" w:space="0" w:color="auto"/>
              <w:right w:val="single" w:sz="2" w:space="0" w:color="auto"/>
            </w:tcBorders>
            <w:vAlign w:val="center"/>
          </w:tcPr>
          <w:p w14:paraId="49E86EA4"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74E9756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3,234,847,472.77</w:t>
            </w:r>
          </w:p>
        </w:tc>
        <w:tc>
          <w:tcPr>
            <w:tcW w:w="312" w:type="pct"/>
            <w:tcBorders>
              <w:top w:val="single" w:sz="2" w:space="0" w:color="auto"/>
              <w:left w:val="single" w:sz="2" w:space="0" w:color="auto"/>
              <w:bottom w:val="single" w:sz="2" w:space="0" w:color="auto"/>
              <w:right w:val="single" w:sz="2" w:space="0" w:color="auto"/>
            </w:tcBorders>
            <w:vAlign w:val="center"/>
          </w:tcPr>
          <w:p w14:paraId="3B49B2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155,665,898.19</w:t>
            </w:r>
          </w:p>
        </w:tc>
        <w:tc>
          <w:tcPr>
            <w:tcW w:w="313" w:type="pct"/>
            <w:tcBorders>
              <w:top w:val="single" w:sz="2" w:space="0" w:color="auto"/>
              <w:left w:val="single" w:sz="2" w:space="0" w:color="auto"/>
              <w:bottom w:val="single" w:sz="2" w:space="0" w:color="auto"/>
              <w:right w:val="single" w:sz="2" w:space="0" w:color="auto"/>
            </w:tcBorders>
            <w:vAlign w:val="center"/>
          </w:tcPr>
          <w:p w14:paraId="1551E0C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3,390,513,370.96</w:t>
            </w:r>
          </w:p>
        </w:tc>
      </w:tr>
      <w:tr w:rsidR="001D26E7" w:rsidRPr="00F614F9" w14:paraId="2E04C22B"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38154265"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加：会计政策变更</w:t>
            </w:r>
          </w:p>
        </w:tc>
        <w:tc>
          <w:tcPr>
            <w:tcW w:w="312" w:type="pct"/>
            <w:tcBorders>
              <w:top w:val="single" w:sz="2" w:space="0" w:color="auto"/>
              <w:left w:val="single" w:sz="2" w:space="0" w:color="auto"/>
              <w:bottom w:val="single" w:sz="2" w:space="0" w:color="auto"/>
              <w:right w:val="single" w:sz="2" w:space="0" w:color="auto"/>
            </w:tcBorders>
            <w:vAlign w:val="center"/>
          </w:tcPr>
          <w:p w14:paraId="22A0ED05"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2B18CF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079C9C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B3DCBC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CBF62E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541974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054449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BD86CF6"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8D8E8D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46A6A2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17774B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EC692AA"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72F53E2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55D3E92"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25364513"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C6DE1E6"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0799C46A"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前期差错更正</w:t>
            </w:r>
          </w:p>
        </w:tc>
        <w:tc>
          <w:tcPr>
            <w:tcW w:w="312" w:type="pct"/>
            <w:tcBorders>
              <w:top w:val="single" w:sz="2" w:space="0" w:color="auto"/>
              <w:left w:val="single" w:sz="2" w:space="0" w:color="auto"/>
              <w:bottom w:val="single" w:sz="2" w:space="0" w:color="auto"/>
              <w:right w:val="single" w:sz="2" w:space="0" w:color="auto"/>
            </w:tcBorders>
            <w:vAlign w:val="center"/>
          </w:tcPr>
          <w:p w14:paraId="3110D35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D88EA0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887E41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045370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A5C824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9FF826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A39F59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C8EA135"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6CB268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A91CC5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65890B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EB4093B"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4BD2ECF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5DA3D23"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50684D6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1A2D427"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2E8015F6"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lastRenderedPageBreak/>
              <w:t>其他</w:t>
            </w:r>
          </w:p>
        </w:tc>
        <w:tc>
          <w:tcPr>
            <w:tcW w:w="312" w:type="pct"/>
            <w:tcBorders>
              <w:top w:val="single" w:sz="2" w:space="0" w:color="auto"/>
              <w:left w:val="single" w:sz="2" w:space="0" w:color="auto"/>
              <w:bottom w:val="single" w:sz="2" w:space="0" w:color="auto"/>
              <w:right w:val="single" w:sz="2" w:space="0" w:color="auto"/>
            </w:tcBorders>
            <w:vAlign w:val="center"/>
          </w:tcPr>
          <w:p w14:paraId="02D75D4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B23322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047100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13FC16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5EC525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6204C25"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015EE4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461D9A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8E8A62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03BEE8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639A2C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C25A26E"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1AD5010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895EDD7"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2AD2520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E1382E9"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3EB1B9A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二、本年期初余额</w:t>
            </w:r>
          </w:p>
        </w:tc>
        <w:tc>
          <w:tcPr>
            <w:tcW w:w="312" w:type="pct"/>
            <w:tcBorders>
              <w:top w:val="single" w:sz="2" w:space="0" w:color="auto"/>
              <w:left w:val="single" w:sz="2" w:space="0" w:color="auto"/>
              <w:bottom w:val="single" w:sz="2" w:space="0" w:color="auto"/>
              <w:right w:val="single" w:sz="2" w:space="0" w:color="auto"/>
            </w:tcBorders>
            <w:vAlign w:val="center"/>
          </w:tcPr>
          <w:p w14:paraId="432D161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1,078,860,185.00</w:t>
            </w:r>
          </w:p>
        </w:tc>
        <w:tc>
          <w:tcPr>
            <w:tcW w:w="312" w:type="pct"/>
            <w:tcBorders>
              <w:top w:val="single" w:sz="2" w:space="0" w:color="auto"/>
              <w:left w:val="single" w:sz="2" w:space="0" w:color="auto"/>
              <w:bottom w:val="single" w:sz="2" w:space="0" w:color="auto"/>
              <w:right w:val="single" w:sz="2" w:space="0" w:color="auto"/>
            </w:tcBorders>
            <w:vAlign w:val="center"/>
          </w:tcPr>
          <w:p w14:paraId="33B43316"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318B39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5ADED6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171,581,632.30</w:t>
            </w:r>
          </w:p>
        </w:tc>
        <w:tc>
          <w:tcPr>
            <w:tcW w:w="312" w:type="pct"/>
            <w:tcBorders>
              <w:top w:val="single" w:sz="2" w:space="0" w:color="auto"/>
              <w:left w:val="single" w:sz="2" w:space="0" w:color="auto"/>
              <w:bottom w:val="single" w:sz="2" w:space="0" w:color="auto"/>
              <w:right w:val="single" w:sz="2" w:space="0" w:color="auto"/>
            </w:tcBorders>
            <w:vAlign w:val="center"/>
          </w:tcPr>
          <w:p w14:paraId="7C79BB4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813,738,917.61</w:t>
            </w:r>
          </w:p>
        </w:tc>
        <w:tc>
          <w:tcPr>
            <w:tcW w:w="312" w:type="pct"/>
            <w:tcBorders>
              <w:top w:val="single" w:sz="2" w:space="0" w:color="auto"/>
              <w:left w:val="single" w:sz="2" w:space="0" w:color="auto"/>
              <w:bottom w:val="single" w:sz="2" w:space="0" w:color="auto"/>
              <w:right w:val="single" w:sz="2" w:space="0" w:color="auto"/>
            </w:tcBorders>
            <w:vAlign w:val="center"/>
          </w:tcPr>
          <w:p w14:paraId="6512360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31,491,174.00</w:t>
            </w:r>
          </w:p>
        </w:tc>
        <w:tc>
          <w:tcPr>
            <w:tcW w:w="312" w:type="pct"/>
            <w:tcBorders>
              <w:top w:val="single" w:sz="2" w:space="0" w:color="auto"/>
              <w:left w:val="single" w:sz="2" w:space="0" w:color="auto"/>
              <w:bottom w:val="single" w:sz="2" w:space="0" w:color="auto"/>
              <w:right w:val="single" w:sz="2" w:space="0" w:color="auto"/>
            </w:tcBorders>
            <w:vAlign w:val="center"/>
          </w:tcPr>
          <w:p w14:paraId="06AED2F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-8,833,365.24</w:t>
            </w:r>
          </w:p>
        </w:tc>
        <w:tc>
          <w:tcPr>
            <w:tcW w:w="312" w:type="pct"/>
            <w:tcBorders>
              <w:top w:val="single" w:sz="2" w:space="0" w:color="auto"/>
              <w:left w:val="single" w:sz="2" w:space="0" w:color="auto"/>
              <w:bottom w:val="single" w:sz="2" w:space="0" w:color="auto"/>
              <w:right w:val="single" w:sz="2" w:space="0" w:color="auto"/>
            </w:tcBorders>
            <w:vAlign w:val="center"/>
          </w:tcPr>
          <w:p w14:paraId="7BDFA78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E2A5AB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263,717,929.16</w:t>
            </w:r>
          </w:p>
        </w:tc>
        <w:tc>
          <w:tcPr>
            <w:tcW w:w="312" w:type="pct"/>
            <w:tcBorders>
              <w:top w:val="single" w:sz="2" w:space="0" w:color="auto"/>
              <w:left w:val="single" w:sz="2" w:space="0" w:color="auto"/>
              <w:bottom w:val="single" w:sz="2" w:space="0" w:color="auto"/>
              <w:right w:val="single" w:sz="2" w:space="0" w:color="auto"/>
            </w:tcBorders>
            <w:vAlign w:val="center"/>
          </w:tcPr>
          <w:p w14:paraId="49E7817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15D86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947,273,347.94</w:t>
            </w:r>
          </w:p>
        </w:tc>
        <w:tc>
          <w:tcPr>
            <w:tcW w:w="312" w:type="pct"/>
            <w:tcBorders>
              <w:top w:val="single" w:sz="2" w:space="0" w:color="auto"/>
              <w:left w:val="single" w:sz="2" w:space="0" w:color="auto"/>
              <w:bottom w:val="single" w:sz="2" w:space="0" w:color="auto"/>
              <w:right w:val="single" w:sz="2" w:space="0" w:color="auto"/>
            </w:tcBorders>
            <w:vAlign w:val="center"/>
          </w:tcPr>
          <w:p w14:paraId="0C09032C"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50CB784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3,234,847,472.77</w:t>
            </w:r>
          </w:p>
        </w:tc>
        <w:tc>
          <w:tcPr>
            <w:tcW w:w="312" w:type="pct"/>
            <w:tcBorders>
              <w:top w:val="single" w:sz="2" w:space="0" w:color="auto"/>
              <w:left w:val="single" w:sz="2" w:space="0" w:color="auto"/>
              <w:bottom w:val="single" w:sz="2" w:space="0" w:color="auto"/>
              <w:right w:val="single" w:sz="2" w:space="0" w:color="auto"/>
            </w:tcBorders>
            <w:vAlign w:val="center"/>
          </w:tcPr>
          <w:p w14:paraId="28D194E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155,665,898.19</w:t>
            </w:r>
          </w:p>
        </w:tc>
        <w:tc>
          <w:tcPr>
            <w:tcW w:w="313" w:type="pct"/>
            <w:tcBorders>
              <w:top w:val="single" w:sz="2" w:space="0" w:color="auto"/>
              <w:left w:val="single" w:sz="2" w:space="0" w:color="auto"/>
              <w:bottom w:val="single" w:sz="2" w:space="0" w:color="auto"/>
              <w:right w:val="single" w:sz="2" w:space="0" w:color="auto"/>
            </w:tcBorders>
            <w:vAlign w:val="center"/>
          </w:tcPr>
          <w:p w14:paraId="0B4A57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3,390,513,370.96</w:t>
            </w:r>
          </w:p>
        </w:tc>
      </w:tr>
      <w:tr w:rsidR="001D26E7" w:rsidRPr="00F614F9" w14:paraId="137C6C01"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0D91FB6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三、本期增减变动金额（减少以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12" w:type="pct"/>
            <w:tcBorders>
              <w:top w:val="single" w:sz="2" w:space="0" w:color="auto"/>
              <w:left w:val="single" w:sz="2" w:space="0" w:color="auto"/>
              <w:bottom w:val="single" w:sz="2" w:space="0" w:color="auto"/>
              <w:right w:val="single" w:sz="2" w:space="0" w:color="auto"/>
            </w:tcBorders>
            <w:vAlign w:val="center"/>
          </w:tcPr>
          <w:p w14:paraId="3466D20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268,303.00</w:t>
            </w:r>
          </w:p>
        </w:tc>
        <w:tc>
          <w:tcPr>
            <w:tcW w:w="312" w:type="pct"/>
            <w:tcBorders>
              <w:top w:val="single" w:sz="2" w:space="0" w:color="auto"/>
              <w:left w:val="single" w:sz="2" w:space="0" w:color="auto"/>
              <w:bottom w:val="single" w:sz="2" w:space="0" w:color="auto"/>
              <w:right w:val="single" w:sz="2" w:space="0" w:color="auto"/>
            </w:tcBorders>
            <w:vAlign w:val="center"/>
          </w:tcPr>
          <w:p w14:paraId="6793F2B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1D33BB6"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FA677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-9,952.37</w:t>
            </w:r>
          </w:p>
        </w:tc>
        <w:tc>
          <w:tcPr>
            <w:tcW w:w="312" w:type="pct"/>
            <w:tcBorders>
              <w:top w:val="single" w:sz="2" w:space="0" w:color="auto"/>
              <w:left w:val="single" w:sz="2" w:space="0" w:color="auto"/>
              <w:bottom w:val="single" w:sz="2" w:space="0" w:color="auto"/>
              <w:right w:val="single" w:sz="2" w:space="0" w:color="auto"/>
            </w:tcBorders>
            <w:vAlign w:val="center"/>
          </w:tcPr>
          <w:p w14:paraId="004EE6A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18,091,797.51</w:t>
            </w:r>
          </w:p>
        </w:tc>
        <w:tc>
          <w:tcPr>
            <w:tcW w:w="312" w:type="pct"/>
            <w:tcBorders>
              <w:top w:val="single" w:sz="2" w:space="0" w:color="auto"/>
              <w:left w:val="single" w:sz="2" w:space="0" w:color="auto"/>
              <w:bottom w:val="single" w:sz="2" w:space="0" w:color="auto"/>
              <w:right w:val="single" w:sz="2" w:space="0" w:color="auto"/>
            </w:tcBorders>
            <w:vAlign w:val="center"/>
          </w:tcPr>
          <w:p w14:paraId="6DF2DC0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5,753,498.24</w:t>
            </w:r>
          </w:p>
        </w:tc>
        <w:tc>
          <w:tcPr>
            <w:tcW w:w="312" w:type="pct"/>
            <w:tcBorders>
              <w:top w:val="single" w:sz="2" w:space="0" w:color="auto"/>
              <w:left w:val="single" w:sz="2" w:space="0" w:color="auto"/>
              <w:bottom w:val="single" w:sz="2" w:space="0" w:color="auto"/>
              <w:right w:val="single" w:sz="2" w:space="0" w:color="auto"/>
            </w:tcBorders>
            <w:vAlign w:val="center"/>
          </w:tcPr>
          <w:p w14:paraId="18EF9FB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-2,944,455.09</w:t>
            </w:r>
          </w:p>
        </w:tc>
        <w:tc>
          <w:tcPr>
            <w:tcW w:w="312" w:type="pct"/>
            <w:tcBorders>
              <w:top w:val="single" w:sz="2" w:space="0" w:color="auto"/>
              <w:left w:val="single" w:sz="2" w:space="0" w:color="auto"/>
              <w:bottom w:val="single" w:sz="2" w:space="0" w:color="auto"/>
              <w:right w:val="single" w:sz="2" w:space="0" w:color="auto"/>
            </w:tcBorders>
            <w:vAlign w:val="center"/>
          </w:tcPr>
          <w:p w14:paraId="3BCFB12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9CC3EC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B90F35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2D4406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75,708,760.03</w:t>
            </w:r>
          </w:p>
        </w:tc>
        <w:tc>
          <w:tcPr>
            <w:tcW w:w="312" w:type="pct"/>
            <w:tcBorders>
              <w:top w:val="single" w:sz="2" w:space="0" w:color="auto"/>
              <w:left w:val="single" w:sz="2" w:space="0" w:color="auto"/>
              <w:bottom w:val="single" w:sz="2" w:space="0" w:color="auto"/>
              <w:right w:val="single" w:sz="2" w:space="0" w:color="auto"/>
            </w:tcBorders>
            <w:vAlign w:val="center"/>
          </w:tcPr>
          <w:p w14:paraId="43B76332"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6D653C5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85,360,954.84</w:t>
            </w:r>
          </w:p>
        </w:tc>
        <w:tc>
          <w:tcPr>
            <w:tcW w:w="312" w:type="pct"/>
            <w:tcBorders>
              <w:top w:val="single" w:sz="2" w:space="0" w:color="auto"/>
              <w:left w:val="single" w:sz="2" w:space="0" w:color="auto"/>
              <w:bottom w:val="single" w:sz="2" w:space="0" w:color="auto"/>
              <w:right w:val="single" w:sz="2" w:space="0" w:color="auto"/>
            </w:tcBorders>
            <w:vAlign w:val="center"/>
          </w:tcPr>
          <w:p w14:paraId="5FC8EB3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27,846,465.42</w:t>
            </w:r>
          </w:p>
        </w:tc>
        <w:tc>
          <w:tcPr>
            <w:tcW w:w="313" w:type="pct"/>
            <w:tcBorders>
              <w:top w:val="single" w:sz="2" w:space="0" w:color="auto"/>
              <w:left w:val="single" w:sz="2" w:space="0" w:color="auto"/>
              <w:bottom w:val="single" w:sz="2" w:space="0" w:color="auto"/>
              <w:right w:val="single" w:sz="2" w:space="0" w:color="auto"/>
            </w:tcBorders>
            <w:vAlign w:val="center"/>
          </w:tcPr>
          <w:p w14:paraId="39F552F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113,207,420.26</w:t>
            </w:r>
          </w:p>
        </w:tc>
      </w:tr>
      <w:tr w:rsidR="001D26E7" w:rsidRPr="00F614F9" w14:paraId="498028C1"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2748248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（一）综合收益总额</w:t>
            </w:r>
          </w:p>
        </w:tc>
        <w:tc>
          <w:tcPr>
            <w:tcW w:w="312" w:type="pct"/>
            <w:tcBorders>
              <w:top w:val="single" w:sz="2" w:space="0" w:color="auto"/>
              <w:left w:val="single" w:sz="2" w:space="0" w:color="auto"/>
              <w:bottom w:val="single" w:sz="2" w:space="0" w:color="auto"/>
              <w:right w:val="single" w:sz="2" w:space="0" w:color="auto"/>
            </w:tcBorders>
            <w:vAlign w:val="center"/>
          </w:tcPr>
          <w:p w14:paraId="15AE11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51DF804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648088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47C888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88F4AB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C31F88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2417B5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-2,944,455.09</w:t>
            </w:r>
          </w:p>
        </w:tc>
        <w:tc>
          <w:tcPr>
            <w:tcW w:w="312" w:type="pct"/>
            <w:tcBorders>
              <w:top w:val="single" w:sz="2" w:space="0" w:color="auto"/>
              <w:left w:val="single" w:sz="2" w:space="0" w:color="auto"/>
              <w:bottom w:val="single" w:sz="2" w:space="0" w:color="auto"/>
              <w:right w:val="single" w:sz="2" w:space="0" w:color="auto"/>
            </w:tcBorders>
            <w:vAlign w:val="center"/>
          </w:tcPr>
          <w:p w14:paraId="3CACD90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E0E33D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1E77A3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848C29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75,375,610.30</w:t>
            </w:r>
          </w:p>
        </w:tc>
        <w:tc>
          <w:tcPr>
            <w:tcW w:w="312" w:type="pct"/>
            <w:tcBorders>
              <w:top w:val="single" w:sz="2" w:space="0" w:color="auto"/>
              <w:left w:val="single" w:sz="2" w:space="0" w:color="auto"/>
              <w:bottom w:val="single" w:sz="2" w:space="0" w:color="auto"/>
              <w:right w:val="single" w:sz="2" w:space="0" w:color="auto"/>
            </w:tcBorders>
            <w:vAlign w:val="center"/>
          </w:tcPr>
          <w:p w14:paraId="1A5EB5B6"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3E6DD54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72,431,155.21</w:t>
            </w:r>
          </w:p>
        </w:tc>
        <w:tc>
          <w:tcPr>
            <w:tcW w:w="312" w:type="pct"/>
            <w:tcBorders>
              <w:top w:val="single" w:sz="2" w:space="0" w:color="auto"/>
              <w:left w:val="single" w:sz="2" w:space="0" w:color="auto"/>
              <w:bottom w:val="single" w:sz="2" w:space="0" w:color="auto"/>
              <w:right w:val="single" w:sz="2" w:space="0" w:color="auto"/>
            </w:tcBorders>
            <w:vAlign w:val="center"/>
          </w:tcPr>
          <w:p w14:paraId="169B7CD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24,266,465.42</w:t>
            </w:r>
          </w:p>
        </w:tc>
        <w:tc>
          <w:tcPr>
            <w:tcW w:w="313" w:type="pct"/>
            <w:tcBorders>
              <w:top w:val="single" w:sz="2" w:space="0" w:color="auto"/>
              <w:left w:val="single" w:sz="2" w:space="0" w:color="auto"/>
              <w:bottom w:val="single" w:sz="2" w:space="0" w:color="auto"/>
              <w:right w:val="single" w:sz="2" w:space="0" w:color="auto"/>
            </w:tcBorders>
            <w:vAlign w:val="center"/>
          </w:tcPr>
          <w:p w14:paraId="6611874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96,697,620.63</w:t>
            </w:r>
          </w:p>
        </w:tc>
      </w:tr>
      <w:tr w:rsidR="001D26E7" w:rsidRPr="00F614F9" w14:paraId="44091B8E"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54A84C2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（二）所有者投入和减少资本</w:t>
            </w:r>
          </w:p>
        </w:tc>
        <w:tc>
          <w:tcPr>
            <w:tcW w:w="312" w:type="pct"/>
            <w:tcBorders>
              <w:top w:val="single" w:sz="2" w:space="0" w:color="auto"/>
              <w:left w:val="single" w:sz="2" w:space="0" w:color="auto"/>
              <w:bottom w:val="single" w:sz="2" w:space="0" w:color="auto"/>
              <w:right w:val="single" w:sz="2" w:space="0" w:color="auto"/>
            </w:tcBorders>
            <w:vAlign w:val="center"/>
          </w:tcPr>
          <w:p w14:paraId="577E5E6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268,303.00</w:t>
            </w:r>
          </w:p>
        </w:tc>
        <w:tc>
          <w:tcPr>
            <w:tcW w:w="312" w:type="pct"/>
            <w:tcBorders>
              <w:top w:val="single" w:sz="2" w:space="0" w:color="auto"/>
              <w:left w:val="single" w:sz="2" w:space="0" w:color="auto"/>
              <w:bottom w:val="single" w:sz="2" w:space="0" w:color="auto"/>
              <w:right w:val="single" w:sz="2" w:space="0" w:color="auto"/>
            </w:tcBorders>
            <w:vAlign w:val="center"/>
          </w:tcPr>
          <w:p w14:paraId="25F8F81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B51DC7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E84EE0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-9,952.37</w:t>
            </w:r>
          </w:p>
        </w:tc>
        <w:tc>
          <w:tcPr>
            <w:tcW w:w="312" w:type="pct"/>
            <w:tcBorders>
              <w:top w:val="single" w:sz="2" w:space="0" w:color="auto"/>
              <w:left w:val="single" w:sz="2" w:space="0" w:color="auto"/>
              <w:bottom w:val="single" w:sz="2" w:space="0" w:color="auto"/>
              <w:right w:val="single" w:sz="2" w:space="0" w:color="auto"/>
            </w:tcBorders>
            <w:vAlign w:val="center"/>
          </w:tcPr>
          <w:p w14:paraId="7CAD0A2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18,091,797.51</w:t>
            </w:r>
          </w:p>
        </w:tc>
        <w:tc>
          <w:tcPr>
            <w:tcW w:w="312" w:type="pct"/>
            <w:tcBorders>
              <w:top w:val="single" w:sz="2" w:space="0" w:color="auto"/>
              <w:left w:val="single" w:sz="2" w:space="0" w:color="auto"/>
              <w:bottom w:val="single" w:sz="2" w:space="0" w:color="auto"/>
              <w:right w:val="single" w:sz="2" w:space="0" w:color="auto"/>
            </w:tcBorders>
            <w:vAlign w:val="center"/>
          </w:tcPr>
          <w:p w14:paraId="156AE18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5,753,498.24</w:t>
            </w:r>
          </w:p>
        </w:tc>
        <w:tc>
          <w:tcPr>
            <w:tcW w:w="312" w:type="pct"/>
            <w:tcBorders>
              <w:top w:val="single" w:sz="2" w:space="0" w:color="auto"/>
              <w:left w:val="single" w:sz="2" w:space="0" w:color="auto"/>
              <w:bottom w:val="single" w:sz="2" w:space="0" w:color="auto"/>
              <w:right w:val="single" w:sz="2" w:space="0" w:color="auto"/>
            </w:tcBorders>
            <w:vAlign w:val="center"/>
          </w:tcPr>
          <w:p w14:paraId="405A681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6757D36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F5523B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04786B5"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307B13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59253369"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03322D1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12,596,649.90</w:t>
            </w:r>
          </w:p>
        </w:tc>
        <w:tc>
          <w:tcPr>
            <w:tcW w:w="312" w:type="pct"/>
            <w:tcBorders>
              <w:top w:val="single" w:sz="2" w:space="0" w:color="auto"/>
              <w:left w:val="single" w:sz="2" w:space="0" w:color="auto"/>
              <w:bottom w:val="single" w:sz="2" w:space="0" w:color="auto"/>
              <w:right w:val="single" w:sz="2" w:space="0" w:color="auto"/>
            </w:tcBorders>
            <w:vAlign w:val="center"/>
          </w:tcPr>
          <w:p w14:paraId="36F8DC6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4,000,000.00</w:t>
            </w:r>
          </w:p>
        </w:tc>
        <w:tc>
          <w:tcPr>
            <w:tcW w:w="313" w:type="pct"/>
            <w:tcBorders>
              <w:top w:val="single" w:sz="2" w:space="0" w:color="auto"/>
              <w:left w:val="single" w:sz="2" w:space="0" w:color="auto"/>
              <w:bottom w:val="single" w:sz="2" w:space="0" w:color="auto"/>
              <w:right w:val="single" w:sz="2" w:space="0" w:color="auto"/>
            </w:tcBorders>
            <w:vAlign w:val="center"/>
          </w:tcPr>
          <w:p w14:paraId="042CC18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16,596,649.90</w:t>
            </w:r>
          </w:p>
        </w:tc>
      </w:tr>
      <w:tr w:rsidR="001D26E7" w:rsidRPr="00F614F9" w14:paraId="3D3A6CBC"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2C72E35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．所有者投入的普通股</w:t>
            </w:r>
          </w:p>
        </w:tc>
        <w:tc>
          <w:tcPr>
            <w:tcW w:w="312" w:type="pct"/>
            <w:tcBorders>
              <w:top w:val="single" w:sz="2" w:space="0" w:color="auto"/>
              <w:left w:val="single" w:sz="2" w:space="0" w:color="auto"/>
              <w:bottom w:val="single" w:sz="2" w:space="0" w:color="auto"/>
              <w:right w:val="single" w:sz="2" w:space="0" w:color="auto"/>
            </w:tcBorders>
            <w:vAlign w:val="center"/>
          </w:tcPr>
          <w:p w14:paraId="4E874DE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4,716,877.00</w:t>
            </w:r>
          </w:p>
        </w:tc>
        <w:tc>
          <w:tcPr>
            <w:tcW w:w="312" w:type="pct"/>
            <w:tcBorders>
              <w:top w:val="single" w:sz="2" w:space="0" w:color="auto"/>
              <w:left w:val="single" w:sz="2" w:space="0" w:color="auto"/>
              <w:bottom w:val="single" w:sz="2" w:space="0" w:color="auto"/>
              <w:right w:val="single" w:sz="2" w:space="0" w:color="auto"/>
            </w:tcBorders>
            <w:vAlign w:val="center"/>
          </w:tcPr>
          <w:p w14:paraId="37C4689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4ED424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D13391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582D94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29,123,653.48</w:t>
            </w:r>
          </w:p>
        </w:tc>
        <w:tc>
          <w:tcPr>
            <w:tcW w:w="312" w:type="pct"/>
            <w:tcBorders>
              <w:top w:val="single" w:sz="2" w:space="0" w:color="auto"/>
              <w:left w:val="single" w:sz="2" w:space="0" w:color="auto"/>
              <w:bottom w:val="single" w:sz="2" w:space="0" w:color="auto"/>
              <w:right w:val="single" w:sz="2" w:space="0" w:color="auto"/>
            </w:tcBorders>
            <w:vAlign w:val="center"/>
          </w:tcPr>
          <w:p w14:paraId="07D6B7D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535853C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E93DA5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92CAA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19D868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33F637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11D734A2"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080AD60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33,840,530.48</w:t>
            </w:r>
          </w:p>
        </w:tc>
        <w:tc>
          <w:tcPr>
            <w:tcW w:w="312" w:type="pct"/>
            <w:tcBorders>
              <w:top w:val="single" w:sz="2" w:space="0" w:color="auto"/>
              <w:left w:val="single" w:sz="2" w:space="0" w:color="auto"/>
              <w:bottom w:val="single" w:sz="2" w:space="0" w:color="auto"/>
              <w:right w:val="single" w:sz="2" w:space="0" w:color="auto"/>
            </w:tcBorders>
            <w:vAlign w:val="center"/>
          </w:tcPr>
          <w:p w14:paraId="22C0FC8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4,000,000.00</w:t>
            </w:r>
          </w:p>
        </w:tc>
        <w:tc>
          <w:tcPr>
            <w:tcW w:w="313" w:type="pct"/>
            <w:tcBorders>
              <w:top w:val="single" w:sz="2" w:space="0" w:color="auto"/>
              <w:left w:val="single" w:sz="2" w:space="0" w:color="auto"/>
              <w:bottom w:val="single" w:sz="2" w:space="0" w:color="auto"/>
              <w:right w:val="single" w:sz="2" w:space="0" w:color="auto"/>
            </w:tcBorders>
            <w:vAlign w:val="center"/>
          </w:tcPr>
          <w:p w14:paraId="60A536F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37,840,530.48</w:t>
            </w:r>
          </w:p>
        </w:tc>
      </w:tr>
      <w:tr w:rsidR="001D26E7" w:rsidRPr="00F614F9" w14:paraId="54682350"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056A3B5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．其他权益工具持有者投入资本</w:t>
            </w:r>
          </w:p>
        </w:tc>
        <w:tc>
          <w:tcPr>
            <w:tcW w:w="312" w:type="pct"/>
            <w:tcBorders>
              <w:top w:val="single" w:sz="2" w:space="0" w:color="auto"/>
              <w:left w:val="single" w:sz="2" w:space="0" w:color="auto"/>
              <w:bottom w:val="single" w:sz="2" w:space="0" w:color="auto"/>
              <w:right w:val="single" w:sz="2" w:space="0" w:color="auto"/>
            </w:tcBorders>
            <w:vAlign w:val="center"/>
          </w:tcPr>
          <w:p w14:paraId="5772762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D2BAD4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FA45BD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F63D3B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3BD1AE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8BE9F9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3FDEF4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FD134D6"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7E4B88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C8700A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230238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BD0330F"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3D439CB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5DF0EC3"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39462E39"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3146C18"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3A1F8F6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．股份支付计入所有者权益的金额</w:t>
            </w:r>
          </w:p>
        </w:tc>
        <w:tc>
          <w:tcPr>
            <w:tcW w:w="312" w:type="pct"/>
            <w:tcBorders>
              <w:top w:val="single" w:sz="2" w:space="0" w:color="auto"/>
              <w:left w:val="single" w:sz="2" w:space="0" w:color="auto"/>
              <w:bottom w:val="single" w:sz="2" w:space="0" w:color="auto"/>
              <w:right w:val="single" w:sz="2" w:space="0" w:color="auto"/>
            </w:tcBorders>
            <w:vAlign w:val="center"/>
          </w:tcPr>
          <w:p w14:paraId="67CD260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437C80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B02BD2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31FECA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AC731F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6D596E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B0A9CD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12EDEA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E20BFF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971B7B5"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AA16515"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CAFB7A9"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5C25B0D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CFE6899"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36FF8169"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46F9C72"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41838B1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．其他</w:t>
            </w:r>
          </w:p>
        </w:tc>
        <w:tc>
          <w:tcPr>
            <w:tcW w:w="312" w:type="pct"/>
            <w:tcBorders>
              <w:top w:val="single" w:sz="2" w:space="0" w:color="auto"/>
              <w:left w:val="single" w:sz="2" w:space="0" w:color="auto"/>
              <w:bottom w:val="single" w:sz="2" w:space="0" w:color="auto"/>
              <w:right w:val="single" w:sz="2" w:space="0" w:color="auto"/>
            </w:tcBorders>
            <w:vAlign w:val="center"/>
          </w:tcPr>
          <w:p w14:paraId="6E7CD2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-4,448,574.00</w:t>
            </w:r>
          </w:p>
        </w:tc>
        <w:tc>
          <w:tcPr>
            <w:tcW w:w="312" w:type="pct"/>
            <w:tcBorders>
              <w:top w:val="single" w:sz="2" w:space="0" w:color="auto"/>
              <w:left w:val="single" w:sz="2" w:space="0" w:color="auto"/>
              <w:bottom w:val="single" w:sz="2" w:space="0" w:color="auto"/>
              <w:right w:val="single" w:sz="2" w:space="0" w:color="auto"/>
            </w:tcBorders>
            <w:vAlign w:val="center"/>
          </w:tcPr>
          <w:p w14:paraId="45AF9ED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D6EA4D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8B749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-9,952.37</w:t>
            </w:r>
          </w:p>
        </w:tc>
        <w:tc>
          <w:tcPr>
            <w:tcW w:w="312" w:type="pct"/>
            <w:tcBorders>
              <w:top w:val="single" w:sz="2" w:space="0" w:color="auto"/>
              <w:left w:val="single" w:sz="2" w:space="0" w:color="auto"/>
              <w:bottom w:val="single" w:sz="2" w:space="0" w:color="auto"/>
              <w:right w:val="single" w:sz="2" w:space="0" w:color="auto"/>
            </w:tcBorders>
            <w:vAlign w:val="center"/>
          </w:tcPr>
          <w:p w14:paraId="4A808CE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-11,031,855.97</w:t>
            </w:r>
          </w:p>
        </w:tc>
        <w:tc>
          <w:tcPr>
            <w:tcW w:w="312" w:type="pct"/>
            <w:tcBorders>
              <w:top w:val="single" w:sz="2" w:space="0" w:color="auto"/>
              <w:left w:val="single" w:sz="2" w:space="0" w:color="auto"/>
              <w:bottom w:val="single" w:sz="2" w:space="0" w:color="auto"/>
              <w:right w:val="single" w:sz="2" w:space="0" w:color="auto"/>
            </w:tcBorders>
            <w:vAlign w:val="center"/>
          </w:tcPr>
          <w:p w14:paraId="40AB916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5,753,498.24</w:t>
            </w:r>
          </w:p>
        </w:tc>
        <w:tc>
          <w:tcPr>
            <w:tcW w:w="312" w:type="pct"/>
            <w:tcBorders>
              <w:top w:val="single" w:sz="2" w:space="0" w:color="auto"/>
              <w:left w:val="single" w:sz="2" w:space="0" w:color="auto"/>
              <w:bottom w:val="single" w:sz="2" w:space="0" w:color="auto"/>
              <w:right w:val="single" w:sz="2" w:space="0" w:color="auto"/>
            </w:tcBorders>
            <w:vAlign w:val="center"/>
          </w:tcPr>
          <w:p w14:paraId="10F506F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2317F0B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87A79E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3DA3F34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5B7D80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8E6A4F0"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1352475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-21,243,880.58</w:t>
            </w:r>
          </w:p>
        </w:tc>
        <w:tc>
          <w:tcPr>
            <w:tcW w:w="312" w:type="pct"/>
            <w:tcBorders>
              <w:top w:val="single" w:sz="2" w:space="0" w:color="auto"/>
              <w:left w:val="single" w:sz="2" w:space="0" w:color="auto"/>
              <w:bottom w:val="single" w:sz="2" w:space="0" w:color="auto"/>
              <w:right w:val="single" w:sz="2" w:space="0" w:color="auto"/>
            </w:tcBorders>
            <w:vAlign w:val="center"/>
          </w:tcPr>
          <w:p w14:paraId="5688426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3" w:type="pct"/>
            <w:tcBorders>
              <w:top w:val="single" w:sz="2" w:space="0" w:color="auto"/>
              <w:left w:val="single" w:sz="2" w:space="0" w:color="auto"/>
              <w:bottom w:val="single" w:sz="2" w:space="0" w:color="auto"/>
              <w:right w:val="single" w:sz="2" w:space="0" w:color="auto"/>
            </w:tcBorders>
            <w:vAlign w:val="center"/>
          </w:tcPr>
          <w:p w14:paraId="44693DA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-21,243,880.58</w:t>
            </w:r>
          </w:p>
        </w:tc>
      </w:tr>
      <w:tr w:rsidR="001D26E7" w:rsidRPr="00F614F9" w14:paraId="6BE0D322"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18D1744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（三）利润分配</w:t>
            </w:r>
          </w:p>
        </w:tc>
        <w:tc>
          <w:tcPr>
            <w:tcW w:w="312" w:type="pct"/>
            <w:tcBorders>
              <w:top w:val="single" w:sz="2" w:space="0" w:color="auto"/>
              <w:left w:val="single" w:sz="2" w:space="0" w:color="auto"/>
              <w:bottom w:val="single" w:sz="2" w:space="0" w:color="auto"/>
              <w:right w:val="single" w:sz="2" w:space="0" w:color="auto"/>
            </w:tcBorders>
            <w:vAlign w:val="center"/>
          </w:tcPr>
          <w:p w14:paraId="3667218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2D7E58C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320226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2D5BDE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3CE284D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590EB14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23B3B8B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40C2796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FB9643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645E04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1BAD9D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333,149.73</w:t>
            </w:r>
          </w:p>
        </w:tc>
        <w:tc>
          <w:tcPr>
            <w:tcW w:w="312" w:type="pct"/>
            <w:tcBorders>
              <w:top w:val="single" w:sz="2" w:space="0" w:color="auto"/>
              <w:left w:val="single" w:sz="2" w:space="0" w:color="auto"/>
              <w:bottom w:val="single" w:sz="2" w:space="0" w:color="auto"/>
              <w:right w:val="single" w:sz="2" w:space="0" w:color="auto"/>
            </w:tcBorders>
            <w:vAlign w:val="center"/>
          </w:tcPr>
          <w:p w14:paraId="3843EE37"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2116770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333,149.73</w:t>
            </w:r>
          </w:p>
        </w:tc>
        <w:tc>
          <w:tcPr>
            <w:tcW w:w="312" w:type="pct"/>
            <w:tcBorders>
              <w:top w:val="single" w:sz="2" w:space="0" w:color="auto"/>
              <w:left w:val="single" w:sz="2" w:space="0" w:color="auto"/>
              <w:bottom w:val="single" w:sz="2" w:space="0" w:color="auto"/>
              <w:right w:val="single" w:sz="2" w:space="0" w:color="auto"/>
            </w:tcBorders>
            <w:vAlign w:val="center"/>
          </w:tcPr>
          <w:p w14:paraId="75E1AA4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-420,000.00</w:t>
            </w:r>
          </w:p>
        </w:tc>
        <w:tc>
          <w:tcPr>
            <w:tcW w:w="313" w:type="pct"/>
            <w:tcBorders>
              <w:top w:val="single" w:sz="2" w:space="0" w:color="auto"/>
              <w:left w:val="single" w:sz="2" w:space="0" w:color="auto"/>
              <w:bottom w:val="single" w:sz="2" w:space="0" w:color="auto"/>
              <w:right w:val="single" w:sz="2" w:space="0" w:color="auto"/>
            </w:tcBorders>
            <w:vAlign w:val="center"/>
          </w:tcPr>
          <w:p w14:paraId="6D4E31F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-86,850.27</w:t>
            </w:r>
          </w:p>
        </w:tc>
      </w:tr>
      <w:tr w:rsidR="001D26E7" w:rsidRPr="00F614F9" w14:paraId="70E79E71"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2B10B4E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．提取盈余公积</w:t>
            </w:r>
          </w:p>
        </w:tc>
        <w:tc>
          <w:tcPr>
            <w:tcW w:w="312" w:type="pct"/>
            <w:tcBorders>
              <w:top w:val="single" w:sz="2" w:space="0" w:color="auto"/>
              <w:left w:val="single" w:sz="2" w:space="0" w:color="auto"/>
              <w:bottom w:val="single" w:sz="2" w:space="0" w:color="auto"/>
              <w:right w:val="single" w:sz="2" w:space="0" w:color="auto"/>
            </w:tcBorders>
            <w:vAlign w:val="center"/>
          </w:tcPr>
          <w:p w14:paraId="3AF94EB3"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94CECC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723D67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4E7AD6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6F54E1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BC2CA16"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ACF8B2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719425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F13A773"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00BD36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0BABE9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72F417D"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3AF01195"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6DF4B4F"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5F58E8C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C924A59"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00B6481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．提取一般风险准备</w:t>
            </w:r>
          </w:p>
        </w:tc>
        <w:tc>
          <w:tcPr>
            <w:tcW w:w="312" w:type="pct"/>
            <w:tcBorders>
              <w:top w:val="single" w:sz="2" w:space="0" w:color="auto"/>
              <w:left w:val="single" w:sz="2" w:space="0" w:color="auto"/>
              <w:bottom w:val="single" w:sz="2" w:space="0" w:color="auto"/>
              <w:right w:val="single" w:sz="2" w:space="0" w:color="auto"/>
            </w:tcBorders>
            <w:vAlign w:val="center"/>
          </w:tcPr>
          <w:p w14:paraId="6BF7871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2078D0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6B9FF9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88FFB1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6A1292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FB5928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3C3A74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3F42A66"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90B7753"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7ED970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0C896C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A4D2DF5"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4DE8C56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5EAD3FD"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4CD3989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641A669"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433B229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．对所有者（或股东）的分配</w:t>
            </w:r>
          </w:p>
        </w:tc>
        <w:tc>
          <w:tcPr>
            <w:tcW w:w="312" w:type="pct"/>
            <w:tcBorders>
              <w:top w:val="single" w:sz="2" w:space="0" w:color="auto"/>
              <w:left w:val="single" w:sz="2" w:space="0" w:color="auto"/>
              <w:bottom w:val="single" w:sz="2" w:space="0" w:color="auto"/>
              <w:right w:val="single" w:sz="2" w:space="0" w:color="auto"/>
            </w:tcBorders>
            <w:vAlign w:val="center"/>
          </w:tcPr>
          <w:p w14:paraId="4EAA777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CB6A33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5A066A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58EB6E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7F0BE2D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60AE01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6A42FDC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270DF8E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E12B8A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12" w:type="pct"/>
            <w:tcBorders>
              <w:top w:val="single" w:sz="2" w:space="0" w:color="auto"/>
              <w:left w:val="single" w:sz="2" w:space="0" w:color="auto"/>
              <w:bottom w:val="single" w:sz="2" w:space="0" w:color="auto"/>
              <w:right w:val="single" w:sz="2" w:space="0" w:color="auto"/>
            </w:tcBorders>
            <w:vAlign w:val="center"/>
          </w:tcPr>
          <w:p w14:paraId="0F43508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4757E8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333,149.73</w:t>
            </w:r>
          </w:p>
        </w:tc>
        <w:tc>
          <w:tcPr>
            <w:tcW w:w="312" w:type="pct"/>
            <w:tcBorders>
              <w:top w:val="single" w:sz="2" w:space="0" w:color="auto"/>
              <w:left w:val="single" w:sz="2" w:space="0" w:color="auto"/>
              <w:bottom w:val="single" w:sz="2" w:space="0" w:color="auto"/>
              <w:right w:val="single" w:sz="2" w:space="0" w:color="auto"/>
            </w:tcBorders>
            <w:vAlign w:val="center"/>
          </w:tcPr>
          <w:p w14:paraId="4A82A919"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119E118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333,149.73</w:t>
            </w:r>
          </w:p>
        </w:tc>
        <w:tc>
          <w:tcPr>
            <w:tcW w:w="312" w:type="pct"/>
            <w:tcBorders>
              <w:top w:val="single" w:sz="2" w:space="0" w:color="auto"/>
              <w:left w:val="single" w:sz="2" w:space="0" w:color="auto"/>
              <w:bottom w:val="single" w:sz="2" w:space="0" w:color="auto"/>
              <w:right w:val="single" w:sz="2" w:space="0" w:color="auto"/>
            </w:tcBorders>
            <w:vAlign w:val="center"/>
          </w:tcPr>
          <w:p w14:paraId="7814368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-420,000.00</w:t>
            </w:r>
          </w:p>
        </w:tc>
        <w:tc>
          <w:tcPr>
            <w:tcW w:w="313" w:type="pct"/>
            <w:tcBorders>
              <w:top w:val="single" w:sz="2" w:space="0" w:color="auto"/>
              <w:left w:val="single" w:sz="2" w:space="0" w:color="auto"/>
              <w:bottom w:val="single" w:sz="2" w:space="0" w:color="auto"/>
              <w:right w:val="single" w:sz="2" w:space="0" w:color="auto"/>
            </w:tcBorders>
            <w:vAlign w:val="center"/>
          </w:tcPr>
          <w:p w14:paraId="3A7C868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-86,850.27</w:t>
            </w:r>
          </w:p>
        </w:tc>
      </w:tr>
      <w:tr w:rsidR="001D26E7" w:rsidRPr="00F614F9" w14:paraId="518501F9"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2F99DAE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4</w:t>
            </w:r>
            <w:r w:rsidRPr="00F614F9">
              <w:rPr>
                <w:rFonts w:ascii="Times New Roman" w:eastAsia="宋体" w:hAnsi="Times New Roman" w:cs="宋体"/>
                <w:sz w:val="18"/>
                <w:szCs w:val="18"/>
              </w:rPr>
              <w:t>．其他</w:t>
            </w:r>
          </w:p>
        </w:tc>
        <w:tc>
          <w:tcPr>
            <w:tcW w:w="312" w:type="pct"/>
            <w:tcBorders>
              <w:top w:val="single" w:sz="2" w:space="0" w:color="auto"/>
              <w:left w:val="single" w:sz="2" w:space="0" w:color="auto"/>
              <w:bottom w:val="single" w:sz="2" w:space="0" w:color="auto"/>
              <w:right w:val="single" w:sz="2" w:space="0" w:color="auto"/>
            </w:tcBorders>
            <w:vAlign w:val="center"/>
          </w:tcPr>
          <w:p w14:paraId="3C703BD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8B58CF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7EDA6F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32C07C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B3375A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034392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E81E96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8E3287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D93811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ECB597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A351B5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2663637"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463AA78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33903A9"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4D4E57A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847D166"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76A98DA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（四）所有者权益内部结转</w:t>
            </w:r>
          </w:p>
        </w:tc>
        <w:tc>
          <w:tcPr>
            <w:tcW w:w="312" w:type="pct"/>
            <w:tcBorders>
              <w:top w:val="single" w:sz="2" w:space="0" w:color="auto"/>
              <w:left w:val="single" w:sz="2" w:space="0" w:color="auto"/>
              <w:bottom w:val="single" w:sz="2" w:space="0" w:color="auto"/>
              <w:right w:val="single" w:sz="2" w:space="0" w:color="auto"/>
            </w:tcBorders>
            <w:vAlign w:val="center"/>
          </w:tcPr>
          <w:p w14:paraId="61AC954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4E80C5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52DC13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759440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6928D9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F4FA32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D33680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82A083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F89163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9254033"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51CBBA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A58727B"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4E2C869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D351C24"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19854229"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7D075F4"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6638F9D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．资本公积转增资本（或股本）</w:t>
            </w:r>
          </w:p>
        </w:tc>
        <w:tc>
          <w:tcPr>
            <w:tcW w:w="312" w:type="pct"/>
            <w:tcBorders>
              <w:top w:val="single" w:sz="2" w:space="0" w:color="auto"/>
              <w:left w:val="single" w:sz="2" w:space="0" w:color="auto"/>
              <w:bottom w:val="single" w:sz="2" w:space="0" w:color="auto"/>
              <w:right w:val="single" w:sz="2" w:space="0" w:color="auto"/>
            </w:tcBorders>
            <w:vAlign w:val="center"/>
          </w:tcPr>
          <w:p w14:paraId="32D67BE3"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95B7CD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5D05775"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4B8152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511019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876D81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24BF8B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7906316"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936131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A8739D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0C3AB54"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D907967"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6A8E2D9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B79185B"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1FA854F8"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386926F"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3349CC8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．盈余公积转增资本（或股本）</w:t>
            </w:r>
          </w:p>
        </w:tc>
        <w:tc>
          <w:tcPr>
            <w:tcW w:w="312" w:type="pct"/>
            <w:tcBorders>
              <w:top w:val="single" w:sz="2" w:space="0" w:color="auto"/>
              <w:left w:val="single" w:sz="2" w:space="0" w:color="auto"/>
              <w:bottom w:val="single" w:sz="2" w:space="0" w:color="auto"/>
              <w:right w:val="single" w:sz="2" w:space="0" w:color="auto"/>
            </w:tcBorders>
            <w:vAlign w:val="center"/>
          </w:tcPr>
          <w:p w14:paraId="313874C5"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DE46A9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EDA8943"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0D097B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D595985"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7CBF77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6E17A4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31BEA4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0F77763"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0AC09C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2FEF41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9E74BC1"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395221C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EE78486"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32D3D45C"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15CC222"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5CAC6AF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．盈余公积弥补亏损</w:t>
            </w:r>
          </w:p>
        </w:tc>
        <w:tc>
          <w:tcPr>
            <w:tcW w:w="312" w:type="pct"/>
            <w:tcBorders>
              <w:top w:val="single" w:sz="2" w:space="0" w:color="auto"/>
              <w:left w:val="single" w:sz="2" w:space="0" w:color="auto"/>
              <w:bottom w:val="single" w:sz="2" w:space="0" w:color="auto"/>
              <w:right w:val="single" w:sz="2" w:space="0" w:color="auto"/>
            </w:tcBorders>
            <w:vAlign w:val="center"/>
          </w:tcPr>
          <w:p w14:paraId="5D9059E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5D4BF8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DC4F0D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7575A0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D2622D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B13CA4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143F1C5"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69EBC3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2A7D69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BE0FAE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106872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27A9F3B"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253B74A6"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4F6D274"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3BF4974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7479AE5"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4E905A6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．设定受益计划变动额结转留存收益</w:t>
            </w:r>
          </w:p>
        </w:tc>
        <w:tc>
          <w:tcPr>
            <w:tcW w:w="312" w:type="pct"/>
            <w:tcBorders>
              <w:top w:val="single" w:sz="2" w:space="0" w:color="auto"/>
              <w:left w:val="single" w:sz="2" w:space="0" w:color="auto"/>
              <w:bottom w:val="single" w:sz="2" w:space="0" w:color="auto"/>
              <w:right w:val="single" w:sz="2" w:space="0" w:color="auto"/>
            </w:tcBorders>
            <w:vAlign w:val="center"/>
          </w:tcPr>
          <w:p w14:paraId="12EA242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B78A443"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E42608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37CF73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C26298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F14847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12BF585"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E76D30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F8B442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CC19ED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AF7C426"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E2CAD10"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02F80EB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158418B"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31D72F8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5FF6767"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010DFAC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5</w:t>
            </w:r>
            <w:r w:rsidRPr="00F614F9">
              <w:rPr>
                <w:rFonts w:ascii="Times New Roman" w:eastAsia="宋体" w:hAnsi="Times New Roman" w:cs="宋体"/>
                <w:sz w:val="18"/>
                <w:szCs w:val="18"/>
              </w:rPr>
              <w:t>．其他综合收益结转留存收益</w:t>
            </w:r>
          </w:p>
        </w:tc>
        <w:tc>
          <w:tcPr>
            <w:tcW w:w="312" w:type="pct"/>
            <w:tcBorders>
              <w:top w:val="single" w:sz="2" w:space="0" w:color="auto"/>
              <w:left w:val="single" w:sz="2" w:space="0" w:color="auto"/>
              <w:bottom w:val="single" w:sz="2" w:space="0" w:color="auto"/>
              <w:right w:val="single" w:sz="2" w:space="0" w:color="auto"/>
            </w:tcBorders>
            <w:vAlign w:val="center"/>
          </w:tcPr>
          <w:p w14:paraId="105978B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37A032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AD8C37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8D0931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4A6A1E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79F0E7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BFBA1E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F7E383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8404D8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5EB3E7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CC714F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C7C5679"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690E146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C31B950"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7A9F229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377882C"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722EC53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6</w:t>
            </w:r>
            <w:r w:rsidRPr="00F614F9">
              <w:rPr>
                <w:rFonts w:ascii="Times New Roman" w:eastAsia="宋体" w:hAnsi="Times New Roman" w:cs="宋体"/>
                <w:sz w:val="18"/>
                <w:szCs w:val="18"/>
              </w:rPr>
              <w:t>．其他</w:t>
            </w:r>
          </w:p>
        </w:tc>
        <w:tc>
          <w:tcPr>
            <w:tcW w:w="312" w:type="pct"/>
            <w:tcBorders>
              <w:top w:val="single" w:sz="2" w:space="0" w:color="auto"/>
              <w:left w:val="single" w:sz="2" w:space="0" w:color="auto"/>
              <w:bottom w:val="single" w:sz="2" w:space="0" w:color="auto"/>
              <w:right w:val="single" w:sz="2" w:space="0" w:color="auto"/>
            </w:tcBorders>
            <w:vAlign w:val="center"/>
          </w:tcPr>
          <w:p w14:paraId="074FBC6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8FC49F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1AF1EB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63A27F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01C5EF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B73E59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83BFD7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076B03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4540C5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76A734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9D5F0A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F7EA398"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0856BF0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2EB7452"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1DDA1C2C"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FB1AD0A"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2BAFD5B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（五）专项储备</w:t>
            </w:r>
          </w:p>
        </w:tc>
        <w:tc>
          <w:tcPr>
            <w:tcW w:w="312" w:type="pct"/>
            <w:tcBorders>
              <w:top w:val="single" w:sz="2" w:space="0" w:color="auto"/>
              <w:left w:val="single" w:sz="2" w:space="0" w:color="auto"/>
              <w:bottom w:val="single" w:sz="2" w:space="0" w:color="auto"/>
              <w:right w:val="single" w:sz="2" w:space="0" w:color="auto"/>
            </w:tcBorders>
            <w:vAlign w:val="center"/>
          </w:tcPr>
          <w:p w14:paraId="13A62C7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9039A8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A4D199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ADAC3A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591317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E24755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7B701F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2D26B3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D690A8E"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1C6CC0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28E8F8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225C7B2"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5E6AEFC6"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77D5F4A"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2FBD63F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64FF6B4"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2E48211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．本期提取</w:t>
            </w:r>
          </w:p>
        </w:tc>
        <w:tc>
          <w:tcPr>
            <w:tcW w:w="312" w:type="pct"/>
            <w:tcBorders>
              <w:top w:val="single" w:sz="2" w:space="0" w:color="auto"/>
              <w:left w:val="single" w:sz="2" w:space="0" w:color="auto"/>
              <w:bottom w:val="single" w:sz="2" w:space="0" w:color="auto"/>
              <w:right w:val="single" w:sz="2" w:space="0" w:color="auto"/>
            </w:tcBorders>
            <w:vAlign w:val="center"/>
          </w:tcPr>
          <w:p w14:paraId="202A3BA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F3E8C3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D9710E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77104E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5D4E8C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3F4021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3015C0F"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635A9B5"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3BC3AC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727BCB6"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1A7F527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18C13A6"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15DA8E6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C963A71"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2A4CFB43"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FA20871"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24B84E8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．本期使用</w:t>
            </w:r>
          </w:p>
        </w:tc>
        <w:tc>
          <w:tcPr>
            <w:tcW w:w="312" w:type="pct"/>
            <w:tcBorders>
              <w:top w:val="single" w:sz="2" w:space="0" w:color="auto"/>
              <w:left w:val="single" w:sz="2" w:space="0" w:color="auto"/>
              <w:bottom w:val="single" w:sz="2" w:space="0" w:color="auto"/>
              <w:right w:val="single" w:sz="2" w:space="0" w:color="auto"/>
            </w:tcBorders>
            <w:vAlign w:val="center"/>
          </w:tcPr>
          <w:p w14:paraId="4DA9638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65C7E72"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56BC90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30C2E3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555ECE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C6EAD4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CFAD96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6E7254D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32DF75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5770E8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3758B9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F79EAD1"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5332132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31617C9"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419B589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E3C2A80"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062ADFB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（六）其他</w:t>
            </w:r>
          </w:p>
        </w:tc>
        <w:tc>
          <w:tcPr>
            <w:tcW w:w="312" w:type="pct"/>
            <w:tcBorders>
              <w:top w:val="single" w:sz="2" w:space="0" w:color="auto"/>
              <w:left w:val="single" w:sz="2" w:space="0" w:color="auto"/>
              <w:bottom w:val="single" w:sz="2" w:space="0" w:color="auto"/>
              <w:right w:val="single" w:sz="2" w:space="0" w:color="auto"/>
            </w:tcBorders>
            <w:vAlign w:val="center"/>
          </w:tcPr>
          <w:p w14:paraId="35D57BA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9F6498D"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8709EC8"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3884275"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4D6A809C"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09D4AF2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F4F18E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87BD559"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1B4995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86B6890"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B971A81"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EE09790"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79233AD6"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795278A" w14:textId="77777777" w:rsidR="001D26E7" w:rsidRPr="00F614F9" w:rsidRDefault="001D26E7">
            <w:pPr>
              <w:spacing w:line="240" w:lineRule="exact"/>
              <w:jc w:val="right"/>
              <w:rPr>
                <w:rFonts w:ascii="Times New Roman" w:eastAsia="宋体" w:hAnsi="Times New Roman" w:cs="宋体"/>
                <w:sz w:val="18"/>
                <w:szCs w:val="18"/>
              </w:rPr>
            </w:pPr>
          </w:p>
        </w:tc>
        <w:tc>
          <w:tcPr>
            <w:tcW w:w="313" w:type="pct"/>
            <w:tcBorders>
              <w:top w:val="single" w:sz="2" w:space="0" w:color="auto"/>
              <w:left w:val="single" w:sz="2" w:space="0" w:color="auto"/>
              <w:bottom w:val="single" w:sz="2" w:space="0" w:color="auto"/>
              <w:right w:val="single" w:sz="2" w:space="0" w:color="auto"/>
            </w:tcBorders>
            <w:vAlign w:val="center"/>
          </w:tcPr>
          <w:p w14:paraId="101AC675"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5443632" w14:textId="77777777" w:rsidTr="006C7FCA">
        <w:trPr>
          <w:trHeight w:val="240"/>
          <w:jc w:val="center"/>
        </w:trPr>
        <w:tc>
          <w:tcPr>
            <w:tcW w:w="312" w:type="pct"/>
            <w:tcBorders>
              <w:top w:val="single" w:sz="2" w:space="0" w:color="auto"/>
              <w:left w:val="single" w:sz="2" w:space="0" w:color="auto"/>
              <w:bottom w:val="single" w:sz="2" w:space="0" w:color="auto"/>
              <w:right w:val="single" w:sz="2" w:space="0" w:color="auto"/>
            </w:tcBorders>
            <w:shd w:val="clear" w:color="auto" w:fill="D3D3D3"/>
            <w:vAlign w:val="center"/>
          </w:tcPr>
          <w:p w14:paraId="153772F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四、本期期末余额</w:t>
            </w:r>
          </w:p>
        </w:tc>
        <w:tc>
          <w:tcPr>
            <w:tcW w:w="312" w:type="pct"/>
            <w:tcBorders>
              <w:top w:val="single" w:sz="2" w:space="0" w:color="auto"/>
              <w:left w:val="single" w:sz="2" w:space="0" w:color="auto"/>
              <w:bottom w:val="single" w:sz="2" w:space="0" w:color="auto"/>
              <w:right w:val="single" w:sz="2" w:space="0" w:color="auto"/>
            </w:tcBorders>
            <w:vAlign w:val="center"/>
          </w:tcPr>
          <w:p w14:paraId="0B41B74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1,079,128,488.00</w:t>
            </w:r>
          </w:p>
        </w:tc>
        <w:tc>
          <w:tcPr>
            <w:tcW w:w="312" w:type="pct"/>
            <w:tcBorders>
              <w:top w:val="single" w:sz="2" w:space="0" w:color="auto"/>
              <w:left w:val="single" w:sz="2" w:space="0" w:color="auto"/>
              <w:bottom w:val="single" w:sz="2" w:space="0" w:color="auto"/>
              <w:right w:val="single" w:sz="2" w:space="0" w:color="auto"/>
            </w:tcBorders>
            <w:vAlign w:val="center"/>
          </w:tcPr>
          <w:p w14:paraId="732036C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35E2DF17"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5B954AF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171,571,679.93</w:t>
            </w:r>
          </w:p>
        </w:tc>
        <w:tc>
          <w:tcPr>
            <w:tcW w:w="312" w:type="pct"/>
            <w:tcBorders>
              <w:top w:val="single" w:sz="2" w:space="0" w:color="auto"/>
              <w:left w:val="single" w:sz="2" w:space="0" w:color="auto"/>
              <w:bottom w:val="single" w:sz="2" w:space="0" w:color="auto"/>
              <w:right w:val="single" w:sz="2" w:space="0" w:color="auto"/>
            </w:tcBorders>
            <w:vAlign w:val="center"/>
          </w:tcPr>
          <w:p w14:paraId="096B0A1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831,830,715.12</w:t>
            </w:r>
          </w:p>
        </w:tc>
        <w:tc>
          <w:tcPr>
            <w:tcW w:w="312" w:type="pct"/>
            <w:tcBorders>
              <w:top w:val="single" w:sz="2" w:space="0" w:color="auto"/>
              <w:left w:val="single" w:sz="2" w:space="0" w:color="auto"/>
              <w:bottom w:val="single" w:sz="2" w:space="0" w:color="auto"/>
              <w:right w:val="single" w:sz="2" w:space="0" w:color="auto"/>
            </w:tcBorders>
            <w:vAlign w:val="center"/>
          </w:tcPr>
          <w:p w14:paraId="6A6E7B4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37,244,672.24</w:t>
            </w:r>
          </w:p>
        </w:tc>
        <w:tc>
          <w:tcPr>
            <w:tcW w:w="312" w:type="pct"/>
            <w:tcBorders>
              <w:top w:val="single" w:sz="2" w:space="0" w:color="auto"/>
              <w:left w:val="single" w:sz="2" w:space="0" w:color="auto"/>
              <w:bottom w:val="single" w:sz="2" w:space="0" w:color="auto"/>
              <w:right w:val="single" w:sz="2" w:space="0" w:color="auto"/>
            </w:tcBorders>
            <w:vAlign w:val="center"/>
          </w:tcPr>
          <w:p w14:paraId="2B7B4C3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-11,777,820.33</w:t>
            </w:r>
          </w:p>
        </w:tc>
        <w:tc>
          <w:tcPr>
            <w:tcW w:w="312" w:type="pct"/>
            <w:tcBorders>
              <w:top w:val="single" w:sz="2" w:space="0" w:color="auto"/>
              <w:left w:val="single" w:sz="2" w:space="0" w:color="auto"/>
              <w:bottom w:val="single" w:sz="2" w:space="0" w:color="auto"/>
              <w:right w:val="single" w:sz="2" w:space="0" w:color="auto"/>
            </w:tcBorders>
            <w:vAlign w:val="center"/>
          </w:tcPr>
          <w:p w14:paraId="3427F7DB"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7C5C5B8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263,717,929.16</w:t>
            </w:r>
          </w:p>
        </w:tc>
        <w:tc>
          <w:tcPr>
            <w:tcW w:w="312" w:type="pct"/>
            <w:tcBorders>
              <w:top w:val="single" w:sz="2" w:space="0" w:color="auto"/>
              <w:left w:val="single" w:sz="2" w:space="0" w:color="auto"/>
              <w:bottom w:val="single" w:sz="2" w:space="0" w:color="auto"/>
              <w:right w:val="single" w:sz="2" w:space="0" w:color="auto"/>
            </w:tcBorders>
            <w:vAlign w:val="center"/>
          </w:tcPr>
          <w:p w14:paraId="7E305B7A" w14:textId="77777777" w:rsidR="001D26E7" w:rsidRPr="00F614F9" w:rsidRDefault="001D26E7">
            <w:pPr>
              <w:spacing w:line="240" w:lineRule="exact"/>
              <w:jc w:val="right"/>
              <w:rPr>
                <w:rFonts w:ascii="Times New Roman" w:eastAsia="宋体" w:hAnsi="Times New Roman" w:cs="宋体"/>
                <w:sz w:val="18"/>
                <w:szCs w:val="18"/>
              </w:rPr>
            </w:pPr>
          </w:p>
        </w:tc>
        <w:tc>
          <w:tcPr>
            <w:tcW w:w="312" w:type="pct"/>
            <w:tcBorders>
              <w:top w:val="single" w:sz="2" w:space="0" w:color="auto"/>
              <w:left w:val="single" w:sz="2" w:space="0" w:color="auto"/>
              <w:bottom w:val="single" w:sz="2" w:space="0" w:color="auto"/>
              <w:right w:val="single" w:sz="2" w:space="0" w:color="auto"/>
            </w:tcBorders>
            <w:vAlign w:val="center"/>
          </w:tcPr>
          <w:p w14:paraId="203246E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1,022,982,107.97</w:t>
            </w:r>
          </w:p>
        </w:tc>
        <w:tc>
          <w:tcPr>
            <w:tcW w:w="312" w:type="pct"/>
            <w:tcBorders>
              <w:top w:val="single" w:sz="2" w:space="0" w:color="auto"/>
              <w:left w:val="single" w:sz="2" w:space="0" w:color="auto"/>
              <w:bottom w:val="single" w:sz="2" w:space="0" w:color="auto"/>
              <w:right w:val="single" w:sz="2" w:space="0" w:color="auto"/>
            </w:tcBorders>
            <w:vAlign w:val="center"/>
          </w:tcPr>
          <w:p w14:paraId="43D65E23" w14:textId="77777777" w:rsidR="001D26E7" w:rsidRPr="00F614F9" w:rsidRDefault="001D26E7">
            <w:pPr>
              <w:spacing w:line="240" w:lineRule="exact"/>
              <w:jc w:val="right"/>
              <w:rPr>
                <w:rFonts w:ascii="Times New Roman" w:eastAsia="宋体" w:hAnsi="Times New Roman" w:cs="宋体"/>
                <w:sz w:val="18"/>
                <w:szCs w:val="18"/>
              </w:rPr>
            </w:pPr>
          </w:p>
        </w:tc>
        <w:tc>
          <w:tcPr>
            <w:tcW w:w="315" w:type="pct"/>
            <w:tcBorders>
              <w:top w:val="single" w:sz="2" w:space="0" w:color="auto"/>
              <w:left w:val="single" w:sz="2" w:space="0" w:color="auto"/>
              <w:bottom w:val="single" w:sz="2" w:space="0" w:color="auto"/>
              <w:right w:val="single" w:sz="2" w:space="0" w:color="auto"/>
            </w:tcBorders>
            <w:vAlign w:val="center"/>
          </w:tcPr>
          <w:p w14:paraId="11E63F3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3,320,208,427.61</w:t>
            </w:r>
          </w:p>
        </w:tc>
        <w:tc>
          <w:tcPr>
            <w:tcW w:w="312" w:type="pct"/>
            <w:tcBorders>
              <w:top w:val="single" w:sz="2" w:space="0" w:color="auto"/>
              <w:left w:val="single" w:sz="2" w:space="0" w:color="auto"/>
              <w:bottom w:val="single" w:sz="2" w:space="0" w:color="auto"/>
              <w:right w:val="single" w:sz="2" w:space="0" w:color="auto"/>
            </w:tcBorders>
            <w:vAlign w:val="center"/>
          </w:tcPr>
          <w:p w14:paraId="49147E1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183,512,363.61</w:t>
            </w:r>
          </w:p>
        </w:tc>
        <w:tc>
          <w:tcPr>
            <w:tcW w:w="313" w:type="pct"/>
            <w:tcBorders>
              <w:top w:val="single" w:sz="2" w:space="0" w:color="auto"/>
              <w:left w:val="single" w:sz="2" w:space="0" w:color="auto"/>
              <w:bottom w:val="single" w:sz="2" w:space="0" w:color="auto"/>
              <w:right w:val="single" w:sz="2" w:space="0" w:color="auto"/>
            </w:tcBorders>
            <w:vAlign w:val="center"/>
          </w:tcPr>
          <w:p w14:paraId="3236396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3,503,720,791.22</w:t>
            </w:r>
          </w:p>
        </w:tc>
      </w:tr>
    </w:tbl>
    <w:p w14:paraId="04E014F4" w14:textId="77777777" w:rsidR="001D26E7" w:rsidRPr="00F614F9" w:rsidRDefault="00000000">
      <w:pPr>
        <w:pStyle w:val="3"/>
        <w:spacing w:line="280" w:lineRule="exact"/>
        <w:jc w:val="left"/>
        <w:rPr>
          <w:rFonts w:ascii="Times New Roman" w:hAnsi="Times New Roman" w:cs="宋体"/>
          <w:b/>
          <w:bCs/>
        </w:rPr>
      </w:pPr>
      <w:bookmarkStart w:id="243" w:name="_Toc989061"/>
      <w:r w:rsidRPr="00F614F9">
        <w:rPr>
          <w:rFonts w:ascii="Times New Roman" w:hAnsi="Times New Roman" w:cs="宋体"/>
          <w:b/>
          <w:bCs/>
        </w:rPr>
        <w:t>8</w:t>
      </w:r>
      <w:r w:rsidRPr="00F614F9">
        <w:rPr>
          <w:rFonts w:ascii="Times New Roman" w:hAnsi="Times New Roman" w:cs="宋体"/>
          <w:b/>
          <w:bCs/>
        </w:rPr>
        <w:t>、母公司所有者权益变动表</w:t>
      </w:r>
      <w:bookmarkEnd w:id="243"/>
    </w:p>
    <w:p w14:paraId="239080A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本期金额</w:t>
      </w:r>
    </w:p>
    <w:p w14:paraId="79A34580"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lastRenderedPageBreak/>
        <w:t>单位：元</w:t>
      </w:r>
    </w:p>
    <w:tbl>
      <w:tblPr>
        <w:tblW w:w="14742"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28" w:type="dxa"/>
          <w:right w:w="57" w:type="dxa"/>
        </w:tblCellMar>
        <w:tblLook w:val="04A0" w:firstRow="1" w:lastRow="0" w:firstColumn="1" w:lastColumn="0" w:noHBand="0" w:noVBand="1"/>
      </w:tblPr>
      <w:tblGrid>
        <w:gridCol w:w="1279"/>
        <w:gridCol w:w="1345"/>
        <w:gridCol w:w="903"/>
        <w:gridCol w:w="900"/>
        <w:gridCol w:w="1210"/>
        <w:gridCol w:w="1210"/>
        <w:gridCol w:w="1210"/>
        <w:gridCol w:w="1120"/>
        <w:gridCol w:w="900"/>
        <w:gridCol w:w="1210"/>
        <w:gridCol w:w="1210"/>
        <w:gridCol w:w="900"/>
        <w:gridCol w:w="1345"/>
      </w:tblGrid>
      <w:tr w:rsidR="001D26E7" w:rsidRPr="00F614F9" w14:paraId="1C06402A" w14:textId="77777777" w:rsidTr="006C7FCA">
        <w:trPr>
          <w:trHeight w:val="240"/>
          <w:jc w:val="center"/>
        </w:trPr>
        <w:tc>
          <w:tcPr>
            <w:tcW w:w="503"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7AE355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4497" w:type="pct"/>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4141FFF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年度</w:t>
            </w:r>
          </w:p>
        </w:tc>
      </w:tr>
      <w:tr w:rsidR="001D26E7" w:rsidRPr="00F614F9" w14:paraId="3AFD7EED" w14:textId="77777777" w:rsidTr="006C7FCA">
        <w:trPr>
          <w:trHeight w:val="240"/>
          <w:jc w:val="center"/>
        </w:trPr>
        <w:tc>
          <w:tcPr>
            <w:tcW w:w="503"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36D84807" w14:textId="77777777" w:rsidR="001D26E7" w:rsidRPr="00F614F9" w:rsidRDefault="001D26E7">
            <w:pPr>
              <w:rPr>
                <w:rFonts w:ascii="Times New Roman" w:hAnsi="Times New Roman"/>
              </w:rPr>
            </w:pPr>
          </w:p>
        </w:tc>
        <w:tc>
          <w:tcPr>
            <w:tcW w:w="375"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24FF3E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股本</w:t>
            </w:r>
          </w:p>
        </w:tc>
        <w:tc>
          <w:tcPr>
            <w:tcW w:w="1124" w:type="pct"/>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704DE4E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其他权益工具</w:t>
            </w:r>
          </w:p>
        </w:tc>
        <w:tc>
          <w:tcPr>
            <w:tcW w:w="374"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7542E6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资本公积</w:t>
            </w:r>
          </w:p>
        </w:tc>
        <w:tc>
          <w:tcPr>
            <w:tcW w:w="374"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3857BE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减：库存股</w:t>
            </w:r>
          </w:p>
        </w:tc>
        <w:tc>
          <w:tcPr>
            <w:tcW w:w="374"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2F0818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其他综合收益</w:t>
            </w:r>
          </w:p>
        </w:tc>
        <w:tc>
          <w:tcPr>
            <w:tcW w:w="374"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FA5DBB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专项储备</w:t>
            </w:r>
          </w:p>
        </w:tc>
        <w:tc>
          <w:tcPr>
            <w:tcW w:w="374"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8EA630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盈余公积</w:t>
            </w:r>
          </w:p>
        </w:tc>
        <w:tc>
          <w:tcPr>
            <w:tcW w:w="374"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2E6E1A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未分配利润</w:t>
            </w:r>
          </w:p>
        </w:tc>
        <w:tc>
          <w:tcPr>
            <w:tcW w:w="374"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E6CC8F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377"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E67B0F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所有者权益合计</w:t>
            </w:r>
          </w:p>
        </w:tc>
      </w:tr>
      <w:tr w:rsidR="001D26E7" w:rsidRPr="00F614F9" w14:paraId="664456A8" w14:textId="77777777" w:rsidTr="006C7FCA">
        <w:trPr>
          <w:trHeight w:val="240"/>
          <w:jc w:val="center"/>
        </w:trPr>
        <w:tc>
          <w:tcPr>
            <w:tcW w:w="503"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29FB1999" w14:textId="77777777" w:rsidR="001D26E7" w:rsidRPr="00F614F9" w:rsidRDefault="001D26E7">
            <w:pPr>
              <w:rPr>
                <w:rFonts w:ascii="Times New Roman" w:hAnsi="Times New Roman"/>
              </w:rPr>
            </w:pPr>
          </w:p>
        </w:tc>
        <w:tc>
          <w:tcPr>
            <w:tcW w:w="375"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2111D1B5" w14:textId="77777777" w:rsidR="001D26E7" w:rsidRPr="00F614F9" w:rsidRDefault="001D26E7">
            <w:pPr>
              <w:rPr>
                <w:rFonts w:ascii="Times New Roman" w:hAnsi="Times New Roman"/>
              </w:rPr>
            </w:pPr>
          </w:p>
        </w:tc>
        <w:tc>
          <w:tcPr>
            <w:tcW w:w="375" w:type="pct"/>
            <w:tcBorders>
              <w:top w:val="single" w:sz="2" w:space="0" w:color="auto"/>
              <w:left w:val="single" w:sz="2" w:space="0" w:color="auto"/>
              <w:bottom w:val="single" w:sz="2" w:space="0" w:color="auto"/>
              <w:right w:val="single" w:sz="2" w:space="0" w:color="auto"/>
            </w:tcBorders>
            <w:shd w:val="clear" w:color="auto" w:fill="D3D3D3"/>
            <w:vAlign w:val="center"/>
          </w:tcPr>
          <w:p w14:paraId="43A6DF6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优先股</w:t>
            </w:r>
          </w:p>
        </w:tc>
        <w:tc>
          <w:tcPr>
            <w:tcW w:w="374" w:type="pct"/>
            <w:tcBorders>
              <w:top w:val="single" w:sz="2" w:space="0" w:color="auto"/>
              <w:left w:val="single" w:sz="2" w:space="0" w:color="auto"/>
              <w:bottom w:val="single" w:sz="2" w:space="0" w:color="auto"/>
              <w:right w:val="single" w:sz="2" w:space="0" w:color="auto"/>
            </w:tcBorders>
            <w:shd w:val="clear" w:color="auto" w:fill="D3D3D3"/>
            <w:vAlign w:val="center"/>
          </w:tcPr>
          <w:p w14:paraId="73D5334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永续债</w:t>
            </w:r>
          </w:p>
        </w:tc>
        <w:tc>
          <w:tcPr>
            <w:tcW w:w="375" w:type="pct"/>
            <w:tcBorders>
              <w:top w:val="single" w:sz="2" w:space="0" w:color="auto"/>
              <w:left w:val="single" w:sz="2" w:space="0" w:color="auto"/>
              <w:bottom w:val="single" w:sz="2" w:space="0" w:color="auto"/>
              <w:right w:val="single" w:sz="2" w:space="0" w:color="auto"/>
            </w:tcBorders>
            <w:shd w:val="clear" w:color="auto" w:fill="D3D3D3"/>
            <w:vAlign w:val="center"/>
          </w:tcPr>
          <w:p w14:paraId="551E1CB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374"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7F40692D" w14:textId="77777777" w:rsidR="001D26E7" w:rsidRPr="00F614F9" w:rsidRDefault="001D26E7">
            <w:pPr>
              <w:rPr>
                <w:rFonts w:ascii="Times New Roman" w:hAnsi="Times New Roman"/>
              </w:rPr>
            </w:pPr>
          </w:p>
        </w:tc>
        <w:tc>
          <w:tcPr>
            <w:tcW w:w="374"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650FD53D" w14:textId="77777777" w:rsidR="001D26E7" w:rsidRPr="00F614F9" w:rsidRDefault="001D26E7">
            <w:pPr>
              <w:rPr>
                <w:rFonts w:ascii="Times New Roman" w:hAnsi="Times New Roman"/>
              </w:rPr>
            </w:pPr>
          </w:p>
        </w:tc>
        <w:tc>
          <w:tcPr>
            <w:tcW w:w="374"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2B746299" w14:textId="77777777" w:rsidR="001D26E7" w:rsidRPr="00F614F9" w:rsidRDefault="001D26E7">
            <w:pPr>
              <w:rPr>
                <w:rFonts w:ascii="Times New Roman" w:hAnsi="Times New Roman"/>
              </w:rPr>
            </w:pPr>
          </w:p>
        </w:tc>
        <w:tc>
          <w:tcPr>
            <w:tcW w:w="374" w:type="pct"/>
            <w:vMerge/>
            <w:tcBorders>
              <w:top w:val="single" w:sz="2" w:space="0" w:color="auto"/>
              <w:left w:val="single" w:sz="2" w:space="0" w:color="auto"/>
              <w:bottom w:val="single" w:sz="2" w:space="0" w:color="auto"/>
              <w:right w:val="single" w:sz="2" w:space="0" w:color="auto"/>
            </w:tcBorders>
            <w:vAlign w:val="center"/>
          </w:tcPr>
          <w:p w14:paraId="2AF74E77" w14:textId="77777777" w:rsidR="001D26E7" w:rsidRPr="00F614F9" w:rsidRDefault="001D26E7">
            <w:pPr>
              <w:rPr>
                <w:rFonts w:ascii="Times New Roman" w:hAnsi="Times New Roman"/>
              </w:rPr>
            </w:pPr>
          </w:p>
        </w:tc>
        <w:tc>
          <w:tcPr>
            <w:tcW w:w="374"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6C89FEA0" w14:textId="77777777" w:rsidR="001D26E7" w:rsidRPr="00F614F9" w:rsidRDefault="001D26E7">
            <w:pPr>
              <w:rPr>
                <w:rFonts w:ascii="Times New Roman" w:hAnsi="Times New Roman"/>
              </w:rPr>
            </w:pPr>
          </w:p>
        </w:tc>
        <w:tc>
          <w:tcPr>
            <w:tcW w:w="374"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04FA2056" w14:textId="77777777" w:rsidR="001D26E7" w:rsidRPr="00F614F9" w:rsidRDefault="001D26E7">
            <w:pPr>
              <w:rPr>
                <w:rFonts w:ascii="Times New Roman" w:hAnsi="Times New Roman"/>
              </w:rPr>
            </w:pPr>
          </w:p>
        </w:tc>
        <w:tc>
          <w:tcPr>
            <w:tcW w:w="374" w:type="pct"/>
            <w:vMerge/>
            <w:tcBorders>
              <w:top w:val="single" w:sz="2" w:space="0" w:color="auto"/>
              <w:left w:val="single" w:sz="2" w:space="0" w:color="auto"/>
              <w:bottom w:val="single" w:sz="2" w:space="0" w:color="auto"/>
              <w:right w:val="single" w:sz="2" w:space="0" w:color="auto"/>
            </w:tcBorders>
            <w:vAlign w:val="center"/>
          </w:tcPr>
          <w:p w14:paraId="0AB73F6A" w14:textId="77777777" w:rsidR="001D26E7" w:rsidRPr="00F614F9" w:rsidRDefault="001D26E7">
            <w:pPr>
              <w:rPr>
                <w:rFonts w:ascii="Times New Roman" w:hAnsi="Times New Roman"/>
              </w:rPr>
            </w:pPr>
          </w:p>
        </w:tc>
        <w:tc>
          <w:tcPr>
            <w:tcW w:w="377"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33087384" w14:textId="77777777" w:rsidR="001D26E7" w:rsidRPr="00F614F9" w:rsidRDefault="001D26E7">
            <w:pPr>
              <w:rPr>
                <w:rFonts w:ascii="Times New Roman" w:hAnsi="Times New Roman"/>
              </w:rPr>
            </w:pPr>
          </w:p>
        </w:tc>
      </w:tr>
      <w:tr w:rsidR="001D26E7" w:rsidRPr="00F614F9" w14:paraId="6AD92FE5"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66BD64B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一、上年期末余额</w:t>
            </w:r>
          </w:p>
        </w:tc>
        <w:tc>
          <w:tcPr>
            <w:tcW w:w="375" w:type="pct"/>
            <w:tcBorders>
              <w:top w:val="single" w:sz="2" w:space="0" w:color="auto"/>
              <w:left w:val="single" w:sz="2" w:space="0" w:color="auto"/>
              <w:bottom w:val="single" w:sz="2" w:space="0" w:color="auto"/>
              <w:right w:val="single" w:sz="2" w:space="0" w:color="auto"/>
            </w:tcBorders>
            <w:vAlign w:val="center"/>
          </w:tcPr>
          <w:p w14:paraId="0ACD99B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1,079,128,488.00</w:t>
            </w:r>
          </w:p>
        </w:tc>
        <w:tc>
          <w:tcPr>
            <w:tcW w:w="375" w:type="pct"/>
            <w:tcBorders>
              <w:top w:val="single" w:sz="2" w:space="0" w:color="auto"/>
              <w:left w:val="single" w:sz="2" w:space="0" w:color="auto"/>
              <w:bottom w:val="single" w:sz="2" w:space="0" w:color="auto"/>
              <w:right w:val="single" w:sz="2" w:space="0" w:color="auto"/>
            </w:tcBorders>
            <w:vAlign w:val="center"/>
          </w:tcPr>
          <w:p w14:paraId="0C8F0E8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672BF22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5" w:type="pct"/>
            <w:tcBorders>
              <w:top w:val="single" w:sz="2" w:space="0" w:color="auto"/>
              <w:left w:val="single" w:sz="2" w:space="0" w:color="auto"/>
              <w:bottom w:val="single" w:sz="2" w:space="0" w:color="auto"/>
              <w:right w:val="single" w:sz="2" w:space="0" w:color="auto"/>
            </w:tcBorders>
            <w:vAlign w:val="center"/>
          </w:tcPr>
          <w:p w14:paraId="1BF4CD9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171,571,679.93</w:t>
            </w:r>
          </w:p>
        </w:tc>
        <w:tc>
          <w:tcPr>
            <w:tcW w:w="374" w:type="pct"/>
            <w:tcBorders>
              <w:top w:val="single" w:sz="2" w:space="0" w:color="auto"/>
              <w:left w:val="single" w:sz="2" w:space="0" w:color="auto"/>
              <w:bottom w:val="single" w:sz="2" w:space="0" w:color="auto"/>
              <w:right w:val="single" w:sz="2" w:space="0" w:color="auto"/>
            </w:tcBorders>
            <w:vAlign w:val="center"/>
          </w:tcPr>
          <w:p w14:paraId="197F8EB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830,246,509.95</w:t>
            </w:r>
          </w:p>
        </w:tc>
        <w:tc>
          <w:tcPr>
            <w:tcW w:w="374" w:type="pct"/>
            <w:tcBorders>
              <w:top w:val="single" w:sz="2" w:space="0" w:color="auto"/>
              <w:left w:val="single" w:sz="2" w:space="0" w:color="auto"/>
              <w:bottom w:val="single" w:sz="2" w:space="0" w:color="auto"/>
              <w:right w:val="single" w:sz="2" w:space="0" w:color="auto"/>
            </w:tcBorders>
            <w:vAlign w:val="center"/>
          </w:tcPr>
          <w:p w14:paraId="4D91F3A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37,244,672.24</w:t>
            </w:r>
          </w:p>
        </w:tc>
        <w:tc>
          <w:tcPr>
            <w:tcW w:w="374" w:type="pct"/>
            <w:tcBorders>
              <w:top w:val="single" w:sz="2" w:space="0" w:color="auto"/>
              <w:left w:val="single" w:sz="2" w:space="0" w:color="auto"/>
              <w:bottom w:val="single" w:sz="2" w:space="0" w:color="auto"/>
              <w:right w:val="single" w:sz="2" w:space="0" w:color="auto"/>
            </w:tcBorders>
            <w:vAlign w:val="center"/>
          </w:tcPr>
          <w:p w14:paraId="733DB90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-11,777,820.33</w:t>
            </w:r>
          </w:p>
        </w:tc>
        <w:tc>
          <w:tcPr>
            <w:tcW w:w="374" w:type="pct"/>
            <w:tcBorders>
              <w:top w:val="single" w:sz="2" w:space="0" w:color="auto"/>
              <w:left w:val="single" w:sz="2" w:space="0" w:color="auto"/>
              <w:bottom w:val="single" w:sz="2" w:space="0" w:color="auto"/>
              <w:right w:val="single" w:sz="2" w:space="0" w:color="auto"/>
            </w:tcBorders>
            <w:vAlign w:val="center"/>
          </w:tcPr>
          <w:p w14:paraId="21EFBCC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0528D39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263,717,929.16</w:t>
            </w:r>
          </w:p>
        </w:tc>
        <w:tc>
          <w:tcPr>
            <w:tcW w:w="374" w:type="pct"/>
            <w:tcBorders>
              <w:top w:val="single" w:sz="2" w:space="0" w:color="auto"/>
              <w:left w:val="single" w:sz="2" w:space="0" w:color="auto"/>
              <w:bottom w:val="single" w:sz="2" w:space="0" w:color="auto"/>
              <w:right w:val="single" w:sz="2" w:space="0" w:color="auto"/>
            </w:tcBorders>
            <w:vAlign w:val="center"/>
          </w:tcPr>
          <w:p w14:paraId="0A4AFAE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15,171,713.72</w:t>
            </w:r>
          </w:p>
        </w:tc>
        <w:tc>
          <w:tcPr>
            <w:tcW w:w="374" w:type="pct"/>
            <w:tcBorders>
              <w:top w:val="single" w:sz="2" w:space="0" w:color="auto"/>
              <w:left w:val="single" w:sz="2" w:space="0" w:color="auto"/>
              <w:bottom w:val="single" w:sz="2" w:space="0" w:color="auto"/>
              <w:right w:val="single" w:sz="2" w:space="0" w:color="auto"/>
            </w:tcBorders>
            <w:vAlign w:val="center"/>
          </w:tcPr>
          <w:p w14:paraId="7988A46B"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0A188CA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2,310,813,828.19</w:t>
            </w:r>
          </w:p>
        </w:tc>
      </w:tr>
      <w:tr w:rsidR="001D26E7" w:rsidRPr="00F614F9" w14:paraId="29E2EE62"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290F51BD"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加：会计政策变更</w:t>
            </w:r>
          </w:p>
        </w:tc>
        <w:tc>
          <w:tcPr>
            <w:tcW w:w="375" w:type="pct"/>
            <w:tcBorders>
              <w:top w:val="single" w:sz="2" w:space="0" w:color="auto"/>
              <w:left w:val="single" w:sz="2" w:space="0" w:color="auto"/>
              <w:bottom w:val="single" w:sz="2" w:space="0" w:color="auto"/>
              <w:right w:val="single" w:sz="2" w:space="0" w:color="auto"/>
            </w:tcBorders>
            <w:vAlign w:val="center"/>
          </w:tcPr>
          <w:p w14:paraId="4BBF88B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5" w:type="pct"/>
            <w:tcBorders>
              <w:top w:val="single" w:sz="2" w:space="0" w:color="auto"/>
              <w:left w:val="single" w:sz="2" w:space="0" w:color="auto"/>
              <w:bottom w:val="single" w:sz="2" w:space="0" w:color="auto"/>
              <w:right w:val="single" w:sz="2" w:space="0" w:color="auto"/>
            </w:tcBorders>
            <w:vAlign w:val="center"/>
          </w:tcPr>
          <w:p w14:paraId="0DECB22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4C7AEAD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5" w:type="pct"/>
            <w:tcBorders>
              <w:top w:val="single" w:sz="2" w:space="0" w:color="auto"/>
              <w:left w:val="single" w:sz="2" w:space="0" w:color="auto"/>
              <w:bottom w:val="single" w:sz="2" w:space="0" w:color="auto"/>
              <w:right w:val="single" w:sz="2" w:space="0" w:color="auto"/>
            </w:tcBorders>
            <w:vAlign w:val="center"/>
          </w:tcPr>
          <w:p w14:paraId="22910DA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31C6AD8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2DFC857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4B98E32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434EF62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47453B3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45FD5DA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58,203.65</w:t>
            </w:r>
          </w:p>
        </w:tc>
        <w:tc>
          <w:tcPr>
            <w:tcW w:w="374" w:type="pct"/>
            <w:tcBorders>
              <w:top w:val="single" w:sz="2" w:space="0" w:color="auto"/>
              <w:left w:val="single" w:sz="2" w:space="0" w:color="auto"/>
              <w:bottom w:val="single" w:sz="2" w:space="0" w:color="auto"/>
              <w:right w:val="single" w:sz="2" w:space="0" w:color="auto"/>
            </w:tcBorders>
            <w:vAlign w:val="center"/>
          </w:tcPr>
          <w:p w14:paraId="23FFDEF6"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2A195BC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58,203.65</w:t>
            </w:r>
          </w:p>
        </w:tc>
      </w:tr>
      <w:tr w:rsidR="001D26E7" w:rsidRPr="00F614F9" w14:paraId="38B73B64"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01E00092"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前期差错更正</w:t>
            </w:r>
          </w:p>
        </w:tc>
        <w:tc>
          <w:tcPr>
            <w:tcW w:w="375" w:type="pct"/>
            <w:tcBorders>
              <w:top w:val="single" w:sz="2" w:space="0" w:color="auto"/>
              <w:left w:val="single" w:sz="2" w:space="0" w:color="auto"/>
              <w:bottom w:val="single" w:sz="2" w:space="0" w:color="auto"/>
              <w:right w:val="single" w:sz="2" w:space="0" w:color="auto"/>
            </w:tcBorders>
            <w:vAlign w:val="center"/>
          </w:tcPr>
          <w:p w14:paraId="098281C9"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6EB9BDF5"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6B94AD7"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6D790BEB"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7CB3333"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9781D0C"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FFF0FF3"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713DF20"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063C696"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EC63AFE"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5D1D53A"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4DEDD95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E67B296"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686E36EE"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375" w:type="pct"/>
            <w:tcBorders>
              <w:top w:val="single" w:sz="2" w:space="0" w:color="auto"/>
              <w:left w:val="single" w:sz="2" w:space="0" w:color="auto"/>
              <w:bottom w:val="single" w:sz="2" w:space="0" w:color="auto"/>
              <w:right w:val="single" w:sz="2" w:space="0" w:color="auto"/>
            </w:tcBorders>
            <w:vAlign w:val="center"/>
          </w:tcPr>
          <w:p w14:paraId="673E2CDD"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574C0369"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A2BA6EB"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17AF3BB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891E997"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0BB1C19"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531C78B"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1C0FEE1"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3FEE057"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3F16B4F"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FAE795C"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5372991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D8F80DE"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1B3B1D4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二、本年期初余额</w:t>
            </w:r>
          </w:p>
        </w:tc>
        <w:tc>
          <w:tcPr>
            <w:tcW w:w="375" w:type="pct"/>
            <w:tcBorders>
              <w:top w:val="single" w:sz="2" w:space="0" w:color="auto"/>
              <w:left w:val="single" w:sz="2" w:space="0" w:color="auto"/>
              <w:bottom w:val="single" w:sz="2" w:space="0" w:color="auto"/>
              <w:right w:val="single" w:sz="2" w:space="0" w:color="auto"/>
            </w:tcBorders>
            <w:vAlign w:val="center"/>
          </w:tcPr>
          <w:p w14:paraId="45DEFF2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1,079,128,488.00</w:t>
            </w:r>
          </w:p>
        </w:tc>
        <w:tc>
          <w:tcPr>
            <w:tcW w:w="375" w:type="pct"/>
            <w:tcBorders>
              <w:top w:val="single" w:sz="2" w:space="0" w:color="auto"/>
              <w:left w:val="single" w:sz="2" w:space="0" w:color="auto"/>
              <w:bottom w:val="single" w:sz="2" w:space="0" w:color="auto"/>
              <w:right w:val="single" w:sz="2" w:space="0" w:color="auto"/>
            </w:tcBorders>
            <w:vAlign w:val="center"/>
          </w:tcPr>
          <w:p w14:paraId="16EED37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6332FF0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5" w:type="pct"/>
            <w:tcBorders>
              <w:top w:val="single" w:sz="2" w:space="0" w:color="auto"/>
              <w:left w:val="single" w:sz="2" w:space="0" w:color="auto"/>
              <w:bottom w:val="single" w:sz="2" w:space="0" w:color="auto"/>
              <w:right w:val="single" w:sz="2" w:space="0" w:color="auto"/>
            </w:tcBorders>
            <w:vAlign w:val="center"/>
          </w:tcPr>
          <w:p w14:paraId="366D987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171,571,679.93</w:t>
            </w:r>
          </w:p>
        </w:tc>
        <w:tc>
          <w:tcPr>
            <w:tcW w:w="374" w:type="pct"/>
            <w:tcBorders>
              <w:top w:val="single" w:sz="2" w:space="0" w:color="auto"/>
              <w:left w:val="single" w:sz="2" w:space="0" w:color="auto"/>
              <w:bottom w:val="single" w:sz="2" w:space="0" w:color="auto"/>
              <w:right w:val="single" w:sz="2" w:space="0" w:color="auto"/>
            </w:tcBorders>
            <w:vAlign w:val="center"/>
          </w:tcPr>
          <w:p w14:paraId="257FC6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830,246,509.95</w:t>
            </w:r>
          </w:p>
        </w:tc>
        <w:tc>
          <w:tcPr>
            <w:tcW w:w="374" w:type="pct"/>
            <w:tcBorders>
              <w:top w:val="single" w:sz="2" w:space="0" w:color="auto"/>
              <w:left w:val="single" w:sz="2" w:space="0" w:color="auto"/>
              <w:bottom w:val="single" w:sz="2" w:space="0" w:color="auto"/>
              <w:right w:val="single" w:sz="2" w:space="0" w:color="auto"/>
            </w:tcBorders>
            <w:vAlign w:val="center"/>
          </w:tcPr>
          <w:p w14:paraId="31DDEE5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37,244,672.24</w:t>
            </w:r>
          </w:p>
        </w:tc>
        <w:tc>
          <w:tcPr>
            <w:tcW w:w="374" w:type="pct"/>
            <w:tcBorders>
              <w:top w:val="single" w:sz="2" w:space="0" w:color="auto"/>
              <w:left w:val="single" w:sz="2" w:space="0" w:color="auto"/>
              <w:bottom w:val="single" w:sz="2" w:space="0" w:color="auto"/>
              <w:right w:val="single" w:sz="2" w:space="0" w:color="auto"/>
            </w:tcBorders>
            <w:vAlign w:val="center"/>
          </w:tcPr>
          <w:p w14:paraId="2A0D3E9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-11,777,820.33</w:t>
            </w:r>
          </w:p>
        </w:tc>
        <w:tc>
          <w:tcPr>
            <w:tcW w:w="374" w:type="pct"/>
            <w:tcBorders>
              <w:top w:val="single" w:sz="2" w:space="0" w:color="auto"/>
              <w:left w:val="single" w:sz="2" w:space="0" w:color="auto"/>
              <w:bottom w:val="single" w:sz="2" w:space="0" w:color="auto"/>
              <w:right w:val="single" w:sz="2" w:space="0" w:color="auto"/>
            </w:tcBorders>
            <w:vAlign w:val="center"/>
          </w:tcPr>
          <w:p w14:paraId="59282A6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74EEDC8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263,717,929.16</w:t>
            </w:r>
          </w:p>
        </w:tc>
        <w:tc>
          <w:tcPr>
            <w:tcW w:w="374" w:type="pct"/>
            <w:tcBorders>
              <w:top w:val="single" w:sz="2" w:space="0" w:color="auto"/>
              <w:left w:val="single" w:sz="2" w:space="0" w:color="auto"/>
              <w:bottom w:val="single" w:sz="2" w:space="0" w:color="auto"/>
              <w:right w:val="single" w:sz="2" w:space="0" w:color="auto"/>
            </w:tcBorders>
            <w:vAlign w:val="center"/>
          </w:tcPr>
          <w:p w14:paraId="0A8EE2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15,229,917.37</w:t>
            </w:r>
          </w:p>
        </w:tc>
        <w:tc>
          <w:tcPr>
            <w:tcW w:w="374" w:type="pct"/>
            <w:tcBorders>
              <w:top w:val="single" w:sz="2" w:space="0" w:color="auto"/>
              <w:left w:val="single" w:sz="2" w:space="0" w:color="auto"/>
              <w:bottom w:val="single" w:sz="2" w:space="0" w:color="auto"/>
              <w:right w:val="single" w:sz="2" w:space="0" w:color="auto"/>
            </w:tcBorders>
            <w:vAlign w:val="center"/>
          </w:tcPr>
          <w:p w14:paraId="268A04D2"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17E7AAC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2,310,872,031.84</w:t>
            </w:r>
          </w:p>
        </w:tc>
      </w:tr>
      <w:tr w:rsidR="001D26E7" w:rsidRPr="00F614F9" w14:paraId="1C2537CC"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754F7FB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三、本期增减变动金额（减少以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75" w:type="pct"/>
            <w:tcBorders>
              <w:top w:val="single" w:sz="2" w:space="0" w:color="auto"/>
              <w:left w:val="single" w:sz="2" w:space="0" w:color="auto"/>
              <w:bottom w:val="single" w:sz="2" w:space="0" w:color="auto"/>
              <w:right w:val="single" w:sz="2" w:space="0" w:color="auto"/>
            </w:tcBorders>
            <w:vAlign w:val="center"/>
          </w:tcPr>
          <w:p w14:paraId="05E288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31,344.00</w:t>
            </w:r>
          </w:p>
        </w:tc>
        <w:tc>
          <w:tcPr>
            <w:tcW w:w="375" w:type="pct"/>
            <w:tcBorders>
              <w:top w:val="single" w:sz="2" w:space="0" w:color="auto"/>
              <w:left w:val="single" w:sz="2" w:space="0" w:color="auto"/>
              <w:bottom w:val="single" w:sz="2" w:space="0" w:color="auto"/>
              <w:right w:val="single" w:sz="2" w:space="0" w:color="auto"/>
            </w:tcBorders>
            <w:vAlign w:val="center"/>
          </w:tcPr>
          <w:p w14:paraId="5E91450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0612189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5" w:type="pct"/>
            <w:tcBorders>
              <w:top w:val="single" w:sz="2" w:space="0" w:color="auto"/>
              <w:left w:val="single" w:sz="2" w:space="0" w:color="auto"/>
              <w:bottom w:val="single" w:sz="2" w:space="0" w:color="auto"/>
              <w:right w:val="single" w:sz="2" w:space="0" w:color="auto"/>
            </w:tcBorders>
            <w:vAlign w:val="center"/>
          </w:tcPr>
          <w:p w14:paraId="7F45A2F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-797.95</w:t>
            </w:r>
          </w:p>
        </w:tc>
        <w:tc>
          <w:tcPr>
            <w:tcW w:w="374" w:type="pct"/>
            <w:tcBorders>
              <w:top w:val="single" w:sz="2" w:space="0" w:color="auto"/>
              <w:left w:val="single" w:sz="2" w:space="0" w:color="auto"/>
              <w:bottom w:val="single" w:sz="2" w:space="0" w:color="auto"/>
              <w:right w:val="single" w:sz="2" w:space="0" w:color="auto"/>
            </w:tcBorders>
            <w:vAlign w:val="center"/>
          </w:tcPr>
          <w:p w14:paraId="2D8A606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189,001.97</w:t>
            </w:r>
          </w:p>
        </w:tc>
        <w:tc>
          <w:tcPr>
            <w:tcW w:w="374" w:type="pct"/>
            <w:tcBorders>
              <w:top w:val="single" w:sz="2" w:space="0" w:color="auto"/>
              <w:left w:val="single" w:sz="2" w:space="0" w:color="auto"/>
              <w:bottom w:val="single" w:sz="2" w:space="0" w:color="auto"/>
              <w:right w:val="single" w:sz="2" w:space="0" w:color="auto"/>
            </w:tcBorders>
            <w:vAlign w:val="center"/>
          </w:tcPr>
          <w:p w14:paraId="30A06A5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292,780,411.05</w:t>
            </w:r>
          </w:p>
        </w:tc>
        <w:tc>
          <w:tcPr>
            <w:tcW w:w="374" w:type="pct"/>
            <w:tcBorders>
              <w:top w:val="single" w:sz="2" w:space="0" w:color="auto"/>
              <w:left w:val="single" w:sz="2" w:space="0" w:color="auto"/>
              <w:bottom w:val="single" w:sz="2" w:space="0" w:color="auto"/>
              <w:right w:val="single" w:sz="2" w:space="0" w:color="auto"/>
            </w:tcBorders>
            <w:vAlign w:val="center"/>
          </w:tcPr>
          <w:p w14:paraId="151C642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374" w:type="pct"/>
            <w:tcBorders>
              <w:top w:val="single" w:sz="2" w:space="0" w:color="auto"/>
              <w:left w:val="single" w:sz="2" w:space="0" w:color="auto"/>
              <w:bottom w:val="single" w:sz="2" w:space="0" w:color="auto"/>
              <w:right w:val="single" w:sz="2" w:space="0" w:color="auto"/>
            </w:tcBorders>
            <w:vAlign w:val="center"/>
          </w:tcPr>
          <w:p w14:paraId="7D3BBA4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776655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2BE0F36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-826,073,226.31</w:t>
            </w:r>
          </w:p>
        </w:tc>
        <w:tc>
          <w:tcPr>
            <w:tcW w:w="374" w:type="pct"/>
            <w:tcBorders>
              <w:top w:val="single" w:sz="2" w:space="0" w:color="auto"/>
              <w:left w:val="single" w:sz="2" w:space="0" w:color="auto"/>
              <w:bottom w:val="single" w:sz="2" w:space="0" w:color="auto"/>
              <w:right w:val="single" w:sz="2" w:space="0" w:color="auto"/>
            </w:tcBorders>
            <w:vAlign w:val="center"/>
          </w:tcPr>
          <w:p w14:paraId="6FE5B191"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59DA060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-1,118,956,269.01</w:t>
            </w:r>
          </w:p>
        </w:tc>
      </w:tr>
      <w:tr w:rsidR="001D26E7" w:rsidRPr="00F614F9" w14:paraId="5F2E8112"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5ADA420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（一）综合收益总额</w:t>
            </w:r>
          </w:p>
        </w:tc>
        <w:tc>
          <w:tcPr>
            <w:tcW w:w="375" w:type="pct"/>
            <w:tcBorders>
              <w:top w:val="single" w:sz="2" w:space="0" w:color="auto"/>
              <w:left w:val="single" w:sz="2" w:space="0" w:color="auto"/>
              <w:bottom w:val="single" w:sz="2" w:space="0" w:color="auto"/>
              <w:right w:val="single" w:sz="2" w:space="0" w:color="auto"/>
            </w:tcBorders>
            <w:vAlign w:val="center"/>
          </w:tcPr>
          <w:p w14:paraId="022329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5" w:type="pct"/>
            <w:tcBorders>
              <w:top w:val="single" w:sz="2" w:space="0" w:color="auto"/>
              <w:left w:val="single" w:sz="2" w:space="0" w:color="auto"/>
              <w:bottom w:val="single" w:sz="2" w:space="0" w:color="auto"/>
              <w:right w:val="single" w:sz="2" w:space="0" w:color="auto"/>
            </w:tcBorders>
            <w:vAlign w:val="center"/>
          </w:tcPr>
          <w:p w14:paraId="1A03DC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2131A26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5" w:type="pct"/>
            <w:tcBorders>
              <w:top w:val="single" w:sz="2" w:space="0" w:color="auto"/>
              <w:left w:val="single" w:sz="2" w:space="0" w:color="auto"/>
              <w:bottom w:val="single" w:sz="2" w:space="0" w:color="auto"/>
              <w:right w:val="single" w:sz="2" w:space="0" w:color="auto"/>
            </w:tcBorders>
            <w:vAlign w:val="center"/>
          </w:tcPr>
          <w:p w14:paraId="082F762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1FD5576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5686764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7F73C7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374" w:type="pct"/>
            <w:tcBorders>
              <w:top w:val="single" w:sz="2" w:space="0" w:color="auto"/>
              <w:left w:val="single" w:sz="2" w:space="0" w:color="auto"/>
              <w:bottom w:val="single" w:sz="2" w:space="0" w:color="auto"/>
              <w:right w:val="single" w:sz="2" w:space="0" w:color="auto"/>
            </w:tcBorders>
            <w:vAlign w:val="center"/>
          </w:tcPr>
          <w:p w14:paraId="17B9473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39ED574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613B14C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-826,073,226.31</w:t>
            </w:r>
          </w:p>
        </w:tc>
        <w:tc>
          <w:tcPr>
            <w:tcW w:w="374" w:type="pct"/>
            <w:tcBorders>
              <w:top w:val="single" w:sz="2" w:space="0" w:color="auto"/>
              <w:left w:val="single" w:sz="2" w:space="0" w:color="auto"/>
              <w:bottom w:val="single" w:sz="2" w:space="0" w:color="auto"/>
              <w:right w:val="single" w:sz="2" w:space="0" w:color="auto"/>
            </w:tcBorders>
            <w:vAlign w:val="center"/>
          </w:tcPr>
          <w:p w14:paraId="32987D58"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1F0D602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-826,395,405.98</w:t>
            </w:r>
          </w:p>
        </w:tc>
      </w:tr>
      <w:tr w:rsidR="001D26E7" w:rsidRPr="00F614F9" w14:paraId="726DCD45"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161A85A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（二）所有者投入和减少资本</w:t>
            </w:r>
          </w:p>
        </w:tc>
        <w:tc>
          <w:tcPr>
            <w:tcW w:w="375" w:type="pct"/>
            <w:tcBorders>
              <w:top w:val="single" w:sz="2" w:space="0" w:color="auto"/>
              <w:left w:val="single" w:sz="2" w:space="0" w:color="auto"/>
              <w:bottom w:val="single" w:sz="2" w:space="0" w:color="auto"/>
              <w:right w:val="single" w:sz="2" w:space="0" w:color="auto"/>
            </w:tcBorders>
            <w:vAlign w:val="center"/>
          </w:tcPr>
          <w:p w14:paraId="12852F2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31,344.00</w:t>
            </w:r>
          </w:p>
        </w:tc>
        <w:tc>
          <w:tcPr>
            <w:tcW w:w="375" w:type="pct"/>
            <w:tcBorders>
              <w:top w:val="single" w:sz="2" w:space="0" w:color="auto"/>
              <w:left w:val="single" w:sz="2" w:space="0" w:color="auto"/>
              <w:bottom w:val="single" w:sz="2" w:space="0" w:color="auto"/>
              <w:right w:val="single" w:sz="2" w:space="0" w:color="auto"/>
            </w:tcBorders>
            <w:vAlign w:val="center"/>
          </w:tcPr>
          <w:p w14:paraId="1A6ED7D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295A2EF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5" w:type="pct"/>
            <w:tcBorders>
              <w:top w:val="single" w:sz="2" w:space="0" w:color="auto"/>
              <w:left w:val="single" w:sz="2" w:space="0" w:color="auto"/>
              <w:bottom w:val="single" w:sz="2" w:space="0" w:color="auto"/>
              <w:right w:val="single" w:sz="2" w:space="0" w:color="auto"/>
            </w:tcBorders>
            <w:vAlign w:val="center"/>
          </w:tcPr>
          <w:p w14:paraId="03C7880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-797.95</w:t>
            </w:r>
          </w:p>
        </w:tc>
        <w:tc>
          <w:tcPr>
            <w:tcW w:w="374" w:type="pct"/>
            <w:tcBorders>
              <w:top w:val="single" w:sz="2" w:space="0" w:color="auto"/>
              <w:left w:val="single" w:sz="2" w:space="0" w:color="auto"/>
              <w:bottom w:val="single" w:sz="2" w:space="0" w:color="auto"/>
              <w:right w:val="single" w:sz="2" w:space="0" w:color="auto"/>
            </w:tcBorders>
            <w:vAlign w:val="center"/>
          </w:tcPr>
          <w:p w14:paraId="18B9478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189,001.97</w:t>
            </w:r>
          </w:p>
        </w:tc>
        <w:tc>
          <w:tcPr>
            <w:tcW w:w="374" w:type="pct"/>
            <w:tcBorders>
              <w:top w:val="single" w:sz="2" w:space="0" w:color="auto"/>
              <w:left w:val="single" w:sz="2" w:space="0" w:color="auto"/>
              <w:bottom w:val="single" w:sz="2" w:space="0" w:color="auto"/>
              <w:right w:val="single" w:sz="2" w:space="0" w:color="auto"/>
            </w:tcBorders>
            <w:vAlign w:val="center"/>
          </w:tcPr>
          <w:p w14:paraId="16FA1CF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292,780,411.05</w:t>
            </w:r>
          </w:p>
        </w:tc>
        <w:tc>
          <w:tcPr>
            <w:tcW w:w="374" w:type="pct"/>
            <w:tcBorders>
              <w:top w:val="single" w:sz="2" w:space="0" w:color="auto"/>
              <w:left w:val="single" w:sz="2" w:space="0" w:color="auto"/>
              <w:bottom w:val="single" w:sz="2" w:space="0" w:color="auto"/>
              <w:right w:val="single" w:sz="2" w:space="0" w:color="auto"/>
            </w:tcBorders>
            <w:vAlign w:val="center"/>
          </w:tcPr>
          <w:p w14:paraId="1435696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60184C3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1F30804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22B5A9F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2E4531FB"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2F9B433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-292,560,863.03</w:t>
            </w:r>
          </w:p>
        </w:tc>
      </w:tr>
      <w:tr w:rsidR="001D26E7" w:rsidRPr="00F614F9" w14:paraId="0F1AEA72"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7968D6C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．所有者投入的普通股</w:t>
            </w:r>
          </w:p>
        </w:tc>
        <w:tc>
          <w:tcPr>
            <w:tcW w:w="375" w:type="pct"/>
            <w:tcBorders>
              <w:top w:val="single" w:sz="2" w:space="0" w:color="auto"/>
              <w:left w:val="single" w:sz="2" w:space="0" w:color="auto"/>
              <w:bottom w:val="single" w:sz="2" w:space="0" w:color="auto"/>
              <w:right w:val="single" w:sz="2" w:space="0" w:color="auto"/>
            </w:tcBorders>
            <w:vAlign w:val="center"/>
          </w:tcPr>
          <w:p w14:paraId="4604CDA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31,344.00</w:t>
            </w:r>
          </w:p>
        </w:tc>
        <w:tc>
          <w:tcPr>
            <w:tcW w:w="375" w:type="pct"/>
            <w:tcBorders>
              <w:top w:val="single" w:sz="2" w:space="0" w:color="auto"/>
              <w:left w:val="single" w:sz="2" w:space="0" w:color="auto"/>
              <w:bottom w:val="single" w:sz="2" w:space="0" w:color="auto"/>
              <w:right w:val="single" w:sz="2" w:space="0" w:color="auto"/>
            </w:tcBorders>
            <w:vAlign w:val="center"/>
          </w:tcPr>
          <w:p w14:paraId="4151C05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784D2A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5" w:type="pct"/>
            <w:tcBorders>
              <w:top w:val="single" w:sz="2" w:space="0" w:color="auto"/>
              <w:left w:val="single" w:sz="2" w:space="0" w:color="auto"/>
              <w:bottom w:val="single" w:sz="2" w:space="0" w:color="auto"/>
              <w:right w:val="single" w:sz="2" w:space="0" w:color="auto"/>
            </w:tcBorders>
            <w:vAlign w:val="center"/>
          </w:tcPr>
          <w:p w14:paraId="435A556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7B8C2CC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189,001.97</w:t>
            </w:r>
          </w:p>
        </w:tc>
        <w:tc>
          <w:tcPr>
            <w:tcW w:w="374" w:type="pct"/>
            <w:tcBorders>
              <w:top w:val="single" w:sz="2" w:space="0" w:color="auto"/>
              <w:left w:val="single" w:sz="2" w:space="0" w:color="auto"/>
              <w:bottom w:val="single" w:sz="2" w:space="0" w:color="auto"/>
              <w:right w:val="single" w:sz="2" w:space="0" w:color="auto"/>
            </w:tcBorders>
            <w:vAlign w:val="center"/>
          </w:tcPr>
          <w:p w14:paraId="4B9DF97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06787F7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57BF7A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67C8CB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1D38375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10AF5D92"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32A56B8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220,345.97</w:t>
            </w:r>
          </w:p>
        </w:tc>
      </w:tr>
      <w:tr w:rsidR="001D26E7" w:rsidRPr="00F614F9" w14:paraId="58EDAED8"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16A0C71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．其他权益工具持有者投入资本</w:t>
            </w:r>
          </w:p>
        </w:tc>
        <w:tc>
          <w:tcPr>
            <w:tcW w:w="375" w:type="pct"/>
            <w:tcBorders>
              <w:top w:val="single" w:sz="2" w:space="0" w:color="auto"/>
              <w:left w:val="single" w:sz="2" w:space="0" w:color="auto"/>
              <w:bottom w:val="single" w:sz="2" w:space="0" w:color="auto"/>
              <w:right w:val="single" w:sz="2" w:space="0" w:color="auto"/>
            </w:tcBorders>
            <w:vAlign w:val="center"/>
          </w:tcPr>
          <w:p w14:paraId="3101C51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5" w:type="pct"/>
            <w:tcBorders>
              <w:top w:val="single" w:sz="2" w:space="0" w:color="auto"/>
              <w:left w:val="single" w:sz="2" w:space="0" w:color="auto"/>
              <w:bottom w:val="single" w:sz="2" w:space="0" w:color="auto"/>
              <w:right w:val="single" w:sz="2" w:space="0" w:color="auto"/>
            </w:tcBorders>
            <w:vAlign w:val="center"/>
          </w:tcPr>
          <w:p w14:paraId="2BF3157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278B57B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5" w:type="pct"/>
            <w:tcBorders>
              <w:top w:val="single" w:sz="2" w:space="0" w:color="auto"/>
              <w:left w:val="single" w:sz="2" w:space="0" w:color="auto"/>
              <w:bottom w:val="single" w:sz="2" w:space="0" w:color="auto"/>
              <w:right w:val="single" w:sz="2" w:space="0" w:color="auto"/>
            </w:tcBorders>
            <w:vAlign w:val="center"/>
          </w:tcPr>
          <w:p w14:paraId="27B0C70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43CFE5D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19B1D0A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559DBB0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1F1CF62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351B09C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6952330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117CDF20"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7E8895F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7D924BE1"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3159826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．股份支付计入所有者权益的金额</w:t>
            </w:r>
          </w:p>
        </w:tc>
        <w:tc>
          <w:tcPr>
            <w:tcW w:w="375" w:type="pct"/>
            <w:tcBorders>
              <w:top w:val="single" w:sz="2" w:space="0" w:color="auto"/>
              <w:left w:val="single" w:sz="2" w:space="0" w:color="auto"/>
              <w:bottom w:val="single" w:sz="2" w:space="0" w:color="auto"/>
              <w:right w:val="single" w:sz="2" w:space="0" w:color="auto"/>
            </w:tcBorders>
            <w:vAlign w:val="center"/>
          </w:tcPr>
          <w:p w14:paraId="51EBFB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5" w:type="pct"/>
            <w:tcBorders>
              <w:top w:val="single" w:sz="2" w:space="0" w:color="auto"/>
              <w:left w:val="single" w:sz="2" w:space="0" w:color="auto"/>
              <w:bottom w:val="single" w:sz="2" w:space="0" w:color="auto"/>
              <w:right w:val="single" w:sz="2" w:space="0" w:color="auto"/>
            </w:tcBorders>
            <w:vAlign w:val="center"/>
          </w:tcPr>
          <w:p w14:paraId="6524569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3E1B117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5" w:type="pct"/>
            <w:tcBorders>
              <w:top w:val="single" w:sz="2" w:space="0" w:color="auto"/>
              <w:left w:val="single" w:sz="2" w:space="0" w:color="auto"/>
              <w:bottom w:val="single" w:sz="2" w:space="0" w:color="auto"/>
              <w:right w:val="single" w:sz="2" w:space="0" w:color="auto"/>
            </w:tcBorders>
            <w:vAlign w:val="center"/>
          </w:tcPr>
          <w:p w14:paraId="2F7A9D1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0DE9231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43F3275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6239A24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58135DE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7A0728A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7FAFB3E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1294D2E0"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726A92E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57357903"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7075FE2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．其他</w:t>
            </w:r>
          </w:p>
        </w:tc>
        <w:tc>
          <w:tcPr>
            <w:tcW w:w="375" w:type="pct"/>
            <w:tcBorders>
              <w:top w:val="single" w:sz="2" w:space="0" w:color="auto"/>
              <w:left w:val="single" w:sz="2" w:space="0" w:color="auto"/>
              <w:bottom w:val="single" w:sz="2" w:space="0" w:color="auto"/>
              <w:right w:val="single" w:sz="2" w:space="0" w:color="auto"/>
            </w:tcBorders>
            <w:vAlign w:val="center"/>
          </w:tcPr>
          <w:p w14:paraId="79A340E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5" w:type="pct"/>
            <w:tcBorders>
              <w:top w:val="single" w:sz="2" w:space="0" w:color="auto"/>
              <w:left w:val="single" w:sz="2" w:space="0" w:color="auto"/>
              <w:bottom w:val="single" w:sz="2" w:space="0" w:color="auto"/>
              <w:right w:val="single" w:sz="2" w:space="0" w:color="auto"/>
            </w:tcBorders>
            <w:vAlign w:val="center"/>
          </w:tcPr>
          <w:p w14:paraId="06FCF28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30F1B39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5" w:type="pct"/>
            <w:tcBorders>
              <w:top w:val="single" w:sz="2" w:space="0" w:color="auto"/>
              <w:left w:val="single" w:sz="2" w:space="0" w:color="auto"/>
              <w:bottom w:val="single" w:sz="2" w:space="0" w:color="auto"/>
              <w:right w:val="single" w:sz="2" w:space="0" w:color="auto"/>
            </w:tcBorders>
            <w:vAlign w:val="center"/>
          </w:tcPr>
          <w:p w14:paraId="43843DD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-797.95</w:t>
            </w:r>
          </w:p>
        </w:tc>
        <w:tc>
          <w:tcPr>
            <w:tcW w:w="374" w:type="pct"/>
            <w:tcBorders>
              <w:top w:val="single" w:sz="2" w:space="0" w:color="auto"/>
              <w:left w:val="single" w:sz="2" w:space="0" w:color="auto"/>
              <w:bottom w:val="single" w:sz="2" w:space="0" w:color="auto"/>
              <w:right w:val="single" w:sz="2" w:space="0" w:color="auto"/>
            </w:tcBorders>
            <w:vAlign w:val="center"/>
          </w:tcPr>
          <w:p w14:paraId="4345369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514C6F1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292,780,411.05</w:t>
            </w:r>
          </w:p>
        </w:tc>
        <w:tc>
          <w:tcPr>
            <w:tcW w:w="374" w:type="pct"/>
            <w:tcBorders>
              <w:top w:val="single" w:sz="2" w:space="0" w:color="auto"/>
              <w:left w:val="single" w:sz="2" w:space="0" w:color="auto"/>
              <w:bottom w:val="single" w:sz="2" w:space="0" w:color="auto"/>
              <w:right w:val="single" w:sz="2" w:space="0" w:color="auto"/>
            </w:tcBorders>
            <w:vAlign w:val="center"/>
          </w:tcPr>
          <w:p w14:paraId="7C4E813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6AC0469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6D60010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1713D6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6F0DB4D9"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7BDFE3D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-292,781,209.00</w:t>
            </w:r>
          </w:p>
        </w:tc>
      </w:tr>
      <w:tr w:rsidR="001D26E7" w:rsidRPr="00F614F9" w14:paraId="38B0F53C"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39705F4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（三）利润分配</w:t>
            </w:r>
          </w:p>
        </w:tc>
        <w:tc>
          <w:tcPr>
            <w:tcW w:w="375" w:type="pct"/>
            <w:tcBorders>
              <w:top w:val="single" w:sz="2" w:space="0" w:color="auto"/>
              <w:left w:val="single" w:sz="2" w:space="0" w:color="auto"/>
              <w:bottom w:val="single" w:sz="2" w:space="0" w:color="auto"/>
              <w:right w:val="single" w:sz="2" w:space="0" w:color="auto"/>
            </w:tcBorders>
            <w:vAlign w:val="center"/>
          </w:tcPr>
          <w:p w14:paraId="2704E670"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02092BE3"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4E544BC"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5A8AACA6"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50E50AC"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1398D55"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7EFCE37"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5C71A1A"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24136AF"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ADB85E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2ABEC51"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4895DFA1"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6728DA2"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77BCDF2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1</w:t>
            </w:r>
            <w:r w:rsidRPr="00F614F9">
              <w:rPr>
                <w:rFonts w:ascii="Times New Roman" w:eastAsia="宋体" w:hAnsi="Times New Roman" w:cs="宋体"/>
                <w:sz w:val="18"/>
                <w:szCs w:val="18"/>
              </w:rPr>
              <w:t>．提取盈余公积</w:t>
            </w:r>
          </w:p>
        </w:tc>
        <w:tc>
          <w:tcPr>
            <w:tcW w:w="375" w:type="pct"/>
            <w:tcBorders>
              <w:top w:val="single" w:sz="2" w:space="0" w:color="auto"/>
              <w:left w:val="single" w:sz="2" w:space="0" w:color="auto"/>
              <w:bottom w:val="single" w:sz="2" w:space="0" w:color="auto"/>
              <w:right w:val="single" w:sz="2" w:space="0" w:color="auto"/>
            </w:tcBorders>
            <w:vAlign w:val="center"/>
          </w:tcPr>
          <w:p w14:paraId="23C9CBA3"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0F95F86C"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767F04D"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397A5BC4"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61F44F9"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8A5C4F9"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A8246FF"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2EA6380"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4F80E8C"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B530406"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ACE3AFD"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64B9C97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3EB5285"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33B04A8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．对所有者（或股东）的分配</w:t>
            </w:r>
          </w:p>
        </w:tc>
        <w:tc>
          <w:tcPr>
            <w:tcW w:w="375" w:type="pct"/>
            <w:tcBorders>
              <w:top w:val="single" w:sz="2" w:space="0" w:color="auto"/>
              <w:left w:val="single" w:sz="2" w:space="0" w:color="auto"/>
              <w:bottom w:val="single" w:sz="2" w:space="0" w:color="auto"/>
              <w:right w:val="single" w:sz="2" w:space="0" w:color="auto"/>
            </w:tcBorders>
            <w:vAlign w:val="center"/>
          </w:tcPr>
          <w:p w14:paraId="0D29071A"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7A0217EE"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D5CFB19"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3319CED1"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01FEE83"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40DCF1C"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0CF55DF"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D1DEEB4"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05B4D0D"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9A7D30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656EFE2"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403D8A31"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0762152"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45C96E3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．其他</w:t>
            </w:r>
          </w:p>
        </w:tc>
        <w:tc>
          <w:tcPr>
            <w:tcW w:w="375" w:type="pct"/>
            <w:tcBorders>
              <w:top w:val="single" w:sz="2" w:space="0" w:color="auto"/>
              <w:left w:val="single" w:sz="2" w:space="0" w:color="auto"/>
              <w:bottom w:val="single" w:sz="2" w:space="0" w:color="auto"/>
              <w:right w:val="single" w:sz="2" w:space="0" w:color="auto"/>
            </w:tcBorders>
            <w:vAlign w:val="center"/>
          </w:tcPr>
          <w:p w14:paraId="5B951847"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01D14AC4"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52DF50D"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5F1EE83D"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FC047F3"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E94FC4F"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4A04408"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35EBEDF"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4CD544A"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4278E93"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C956242"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09E77B69"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11A8C1B"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1EE906C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（四）所有者权益内部结转</w:t>
            </w:r>
          </w:p>
        </w:tc>
        <w:tc>
          <w:tcPr>
            <w:tcW w:w="375" w:type="pct"/>
            <w:tcBorders>
              <w:top w:val="single" w:sz="2" w:space="0" w:color="auto"/>
              <w:left w:val="single" w:sz="2" w:space="0" w:color="auto"/>
              <w:bottom w:val="single" w:sz="2" w:space="0" w:color="auto"/>
              <w:right w:val="single" w:sz="2" w:space="0" w:color="auto"/>
            </w:tcBorders>
            <w:vAlign w:val="center"/>
          </w:tcPr>
          <w:p w14:paraId="6CB5DEC6"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1830540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11390CB"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36A67AD6"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BC33B56"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BC812AD"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5817F24"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3F77181"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6CA2B25"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4E5F6A4"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533E75D"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133FC94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65D7894"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427DA85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．资本公积转增资本（或股本）</w:t>
            </w:r>
          </w:p>
        </w:tc>
        <w:tc>
          <w:tcPr>
            <w:tcW w:w="375" w:type="pct"/>
            <w:tcBorders>
              <w:top w:val="single" w:sz="2" w:space="0" w:color="auto"/>
              <w:left w:val="single" w:sz="2" w:space="0" w:color="auto"/>
              <w:bottom w:val="single" w:sz="2" w:space="0" w:color="auto"/>
              <w:right w:val="single" w:sz="2" w:space="0" w:color="auto"/>
            </w:tcBorders>
            <w:vAlign w:val="center"/>
          </w:tcPr>
          <w:p w14:paraId="69AF3AB0"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026B572B"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AFBCF4E"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594CD680"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3CDE44F"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CBC958C"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9C1F699"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11E2427"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C5D941B"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D07A288"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8F30343"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4DD10299"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EC08CBF"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2AE7AD2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．盈余公积转增资本（或股本）</w:t>
            </w:r>
          </w:p>
        </w:tc>
        <w:tc>
          <w:tcPr>
            <w:tcW w:w="375" w:type="pct"/>
            <w:tcBorders>
              <w:top w:val="single" w:sz="2" w:space="0" w:color="auto"/>
              <w:left w:val="single" w:sz="2" w:space="0" w:color="auto"/>
              <w:bottom w:val="single" w:sz="2" w:space="0" w:color="auto"/>
              <w:right w:val="single" w:sz="2" w:space="0" w:color="auto"/>
            </w:tcBorders>
            <w:vAlign w:val="center"/>
          </w:tcPr>
          <w:p w14:paraId="14EB1793"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19F42AC9"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71A2654"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513D3F07"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5A7D991"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3526A58"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BC65D35"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3F26650"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54BF468"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DEBECCF"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EE88F6C"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3AD3145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DA6360A"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4BE4633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．盈余公积弥补亏损</w:t>
            </w:r>
          </w:p>
        </w:tc>
        <w:tc>
          <w:tcPr>
            <w:tcW w:w="375" w:type="pct"/>
            <w:tcBorders>
              <w:top w:val="single" w:sz="2" w:space="0" w:color="auto"/>
              <w:left w:val="single" w:sz="2" w:space="0" w:color="auto"/>
              <w:bottom w:val="single" w:sz="2" w:space="0" w:color="auto"/>
              <w:right w:val="single" w:sz="2" w:space="0" w:color="auto"/>
            </w:tcBorders>
            <w:vAlign w:val="center"/>
          </w:tcPr>
          <w:p w14:paraId="13BFEB90"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44BCA2F8"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3C4CBA7"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7FC58B0C"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8745334"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1A8D7DF"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56E41A8"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1D993FD"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30F1A9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57AF55A"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923853F"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32BB7C8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AFF53DD"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4C74116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．设定受益计划变动额结转留存收益</w:t>
            </w:r>
          </w:p>
        </w:tc>
        <w:tc>
          <w:tcPr>
            <w:tcW w:w="375" w:type="pct"/>
            <w:tcBorders>
              <w:top w:val="single" w:sz="2" w:space="0" w:color="auto"/>
              <w:left w:val="single" w:sz="2" w:space="0" w:color="auto"/>
              <w:bottom w:val="single" w:sz="2" w:space="0" w:color="auto"/>
              <w:right w:val="single" w:sz="2" w:space="0" w:color="auto"/>
            </w:tcBorders>
            <w:vAlign w:val="center"/>
          </w:tcPr>
          <w:p w14:paraId="1BCC41E2"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06084E0D"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7A6FF20"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2C961D28"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5E959A8"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4213881"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98188B9"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9671591"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2B35F54"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65CD289"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205B461"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4FE5B937"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7845789"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704119C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5</w:t>
            </w:r>
            <w:r w:rsidRPr="00F614F9">
              <w:rPr>
                <w:rFonts w:ascii="Times New Roman" w:eastAsia="宋体" w:hAnsi="Times New Roman" w:cs="宋体"/>
                <w:sz w:val="18"/>
                <w:szCs w:val="18"/>
              </w:rPr>
              <w:t>．其他综合收益结转留存收益</w:t>
            </w:r>
          </w:p>
        </w:tc>
        <w:tc>
          <w:tcPr>
            <w:tcW w:w="375" w:type="pct"/>
            <w:tcBorders>
              <w:top w:val="single" w:sz="2" w:space="0" w:color="auto"/>
              <w:left w:val="single" w:sz="2" w:space="0" w:color="auto"/>
              <w:bottom w:val="single" w:sz="2" w:space="0" w:color="auto"/>
              <w:right w:val="single" w:sz="2" w:space="0" w:color="auto"/>
            </w:tcBorders>
            <w:vAlign w:val="center"/>
          </w:tcPr>
          <w:p w14:paraId="0C87C97C"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50493ED6"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4FC78B4"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04AF4685"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3310779"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AF89EC7"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EEFE865"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4B35C0E"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FDF7E78"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C03A553"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2EA31ED"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2D8A2398"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A0BDD60"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1B1EEA0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6</w:t>
            </w:r>
            <w:r w:rsidRPr="00F614F9">
              <w:rPr>
                <w:rFonts w:ascii="Times New Roman" w:eastAsia="宋体" w:hAnsi="Times New Roman" w:cs="宋体"/>
                <w:sz w:val="18"/>
                <w:szCs w:val="18"/>
              </w:rPr>
              <w:t>．其他</w:t>
            </w:r>
          </w:p>
        </w:tc>
        <w:tc>
          <w:tcPr>
            <w:tcW w:w="375" w:type="pct"/>
            <w:tcBorders>
              <w:top w:val="single" w:sz="2" w:space="0" w:color="auto"/>
              <w:left w:val="single" w:sz="2" w:space="0" w:color="auto"/>
              <w:bottom w:val="single" w:sz="2" w:space="0" w:color="auto"/>
              <w:right w:val="single" w:sz="2" w:space="0" w:color="auto"/>
            </w:tcBorders>
            <w:vAlign w:val="center"/>
          </w:tcPr>
          <w:p w14:paraId="0C04DE6C"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31D57A7A"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5C8585C"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51F2AA8C"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58590A1"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00A4D2D"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63F8546"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DE8A4AC"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10236F3"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D02C14C"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DBE6338"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2BF11052"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1D1EA9E"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14387F9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（五）专项储备</w:t>
            </w:r>
          </w:p>
        </w:tc>
        <w:tc>
          <w:tcPr>
            <w:tcW w:w="375" w:type="pct"/>
            <w:tcBorders>
              <w:top w:val="single" w:sz="2" w:space="0" w:color="auto"/>
              <w:left w:val="single" w:sz="2" w:space="0" w:color="auto"/>
              <w:bottom w:val="single" w:sz="2" w:space="0" w:color="auto"/>
              <w:right w:val="single" w:sz="2" w:space="0" w:color="auto"/>
            </w:tcBorders>
            <w:vAlign w:val="center"/>
          </w:tcPr>
          <w:p w14:paraId="5682D9C2"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74E8B985"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F221F8D"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7B211DFD"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08874D6"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DF70E6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9EF9ADF"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8152B9D"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F36EE43"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95F846F"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0689F84"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28BC7B4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F557513"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4D22A67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．本期提取</w:t>
            </w:r>
          </w:p>
        </w:tc>
        <w:tc>
          <w:tcPr>
            <w:tcW w:w="375" w:type="pct"/>
            <w:tcBorders>
              <w:top w:val="single" w:sz="2" w:space="0" w:color="auto"/>
              <w:left w:val="single" w:sz="2" w:space="0" w:color="auto"/>
              <w:bottom w:val="single" w:sz="2" w:space="0" w:color="auto"/>
              <w:right w:val="single" w:sz="2" w:space="0" w:color="auto"/>
            </w:tcBorders>
            <w:vAlign w:val="center"/>
          </w:tcPr>
          <w:p w14:paraId="4558C865"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7A0CA820"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29AC0DF"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15E5FE8F"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3637BBB"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A8E8F3A"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A1952D4"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88B4FAD"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37C96AE"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DAD9490"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7291BD2"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5F1D3A61"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6BA6303"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0C7951F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．本期使用</w:t>
            </w:r>
          </w:p>
        </w:tc>
        <w:tc>
          <w:tcPr>
            <w:tcW w:w="375" w:type="pct"/>
            <w:tcBorders>
              <w:top w:val="single" w:sz="2" w:space="0" w:color="auto"/>
              <w:left w:val="single" w:sz="2" w:space="0" w:color="auto"/>
              <w:bottom w:val="single" w:sz="2" w:space="0" w:color="auto"/>
              <w:right w:val="single" w:sz="2" w:space="0" w:color="auto"/>
            </w:tcBorders>
            <w:vAlign w:val="center"/>
          </w:tcPr>
          <w:p w14:paraId="25493DBB"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05D1E4BC"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040C3CE"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2FA4A8ED"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AF165EF"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9E079DB"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3AFC650"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957B95C"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56EF78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D19FE14"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9354CE2"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3CD3719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7C09116"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07752EC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（六）其他</w:t>
            </w:r>
          </w:p>
        </w:tc>
        <w:tc>
          <w:tcPr>
            <w:tcW w:w="375" w:type="pct"/>
            <w:tcBorders>
              <w:top w:val="single" w:sz="2" w:space="0" w:color="auto"/>
              <w:left w:val="single" w:sz="2" w:space="0" w:color="auto"/>
              <w:bottom w:val="single" w:sz="2" w:space="0" w:color="auto"/>
              <w:right w:val="single" w:sz="2" w:space="0" w:color="auto"/>
            </w:tcBorders>
            <w:vAlign w:val="center"/>
          </w:tcPr>
          <w:p w14:paraId="3591379B"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1F0EF394"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BA32612"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5CF847F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BECECBA"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B425EEF"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C40B59E"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9842A1E"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E5091D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3F705BA"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6A35B48"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33F1A12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A3A9A09"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118AE81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四、本期期末余额</w:t>
            </w:r>
          </w:p>
        </w:tc>
        <w:tc>
          <w:tcPr>
            <w:tcW w:w="375" w:type="pct"/>
            <w:tcBorders>
              <w:top w:val="single" w:sz="2" w:space="0" w:color="auto"/>
              <w:left w:val="single" w:sz="2" w:space="0" w:color="auto"/>
              <w:bottom w:val="single" w:sz="2" w:space="0" w:color="auto"/>
              <w:right w:val="single" w:sz="2" w:space="0" w:color="auto"/>
            </w:tcBorders>
            <w:vAlign w:val="center"/>
          </w:tcPr>
          <w:p w14:paraId="18F7625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1,079,159,832.00</w:t>
            </w:r>
          </w:p>
        </w:tc>
        <w:tc>
          <w:tcPr>
            <w:tcW w:w="375" w:type="pct"/>
            <w:tcBorders>
              <w:top w:val="single" w:sz="2" w:space="0" w:color="auto"/>
              <w:left w:val="single" w:sz="2" w:space="0" w:color="auto"/>
              <w:bottom w:val="single" w:sz="2" w:space="0" w:color="auto"/>
              <w:right w:val="single" w:sz="2" w:space="0" w:color="auto"/>
            </w:tcBorders>
            <w:vAlign w:val="center"/>
          </w:tcPr>
          <w:p w14:paraId="6583D0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0CD1BB5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5" w:type="pct"/>
            <w:tcBorders>
              <w:top w:val="single" w:sz="2" w:space="0" w:color="auto"/>
              <w:left w:val="single" w:sz="2" w:space="0" w:color="auto"/>
              <w:bottom w:val="single" w:sz="2" w:space="0" w:color="auto"/>
              <w:right w:val="single" w:sz="2" w:space="0" w:color="auto"/>
            </w:tcBorders>
            <w:vAlign w:val="center"/>
          </w:tcPr>
          <w:p w14:paraId="650D0E6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171,570,881.98</w:t>
            </w:r>
          </w:p>
        </w:tc>
        <w:tc>
          <w:tcPr>
            <w:tcW w:w="374" w:type="pct"/>
            <w:tcBorders>
              <w:top w:val="single" w:sz="2" w:space="0" w:color="auto"/>
              <w:left w:val="single" w:sz="2" w:space="0" w:color="auto"/>
              <w:bottom w:val="single" w:sz="2" w:space="0" w:color="auto"/>
              <w:right w:val="single" w:sz="2" w:space="0" w:color="auto"/>
            </w:tcBorders>
            <w:vAlign w:val="center"/>
          </w:tcPr>
          <w:p w14:paraId="40EDC9A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830,435,511.92</w:t>
            </w:r>
          </w:p>
        </w:tc>
        <w:tc>
          <w:tcPr>
            <w:tcW w:w="374" w:type="pct"/>
            <w:tcBorders>
              <w:top w:val="single" w:sz="2" w:space="0" w:color="auto"/>
              <w:left w:val="single" w:sz="2" w:space="0" w:color="auto"/>
              <w:bottom w:val="single" w:sz="2" w:space="0" w:color="auto"/>
              <w:right w:val="single" w:sz="2" w:space="0" w:color="auto"/>
            </w:tcBorders>
            <w:vAlign w:val="center"/>
          </w:tcPr>
          <w:p w14:paraId="7D5CDAE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330,025,083.29</w:t>
            </w:r>
          </w:p>
        </w:tc>
        <w:tc>
          <w:tcPr>
            <w:tcW w:w="374" w:type="pct"/>
            <w:tcBorders>
              <w:top w:val="single" w:sz="2" w:space="0" w:color="auto"/>
              <w:left w:val="single" w:sz="2" w:space="0" w:color="auto"/>
              <w:bottom w:val="single" w:sz="2" w:space="0" w:color="auto"/>
              <w:right w:val="single" w:sz="2" w:space="0" w:color="auto"/>
            </w:tcBorders>
            <w:vAlign w:val="center"/>
          </w:tcPr>
          <w:p w14:paraId="6E470A0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-12,100,000.00</w:t>
            </w:r>
          </w:p>
        </w:tc>
        <w:tc>
          <w:tcPr>
            <w:tcW w:w="374" w:type="pct"/>
            <w:tcBorders>
              <w:top w:val="single" w:sz="2" w:space="0" w:color="auto"/>
              <w:left w:val="single" w:sz="2" w:space="0" w:color="auto"/>
              <w:bottom w:val="single" w:sz="2" w:space="0" w:color="auto"/>
              <w:right w:val="single" w:sz="2" w:space="0" w:color="auto"/>
            </w:tcBorders>
            <w:vAlign w:val="center"/>
          </w:tcPr>
          <w:p w14:paraId="365902F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0FD395C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263,717,929.16</w:t>
            </w:r>
          </w:p>
        </w:tc>
        <w:tc>
          <w:tcPr>
            <w:tcW w:w="374" w:type="pct"/>
            <w:tcBorders>
              <w:top w:val="single" w:sz="2" w:space="0" w:color="auto"/>
              <w:left w:val="single" w:sz="2" w:space="0" w:color="auto"/>
              <w:bottom w:val="single" w:sz="2" w:space="0" w:color="auto"/>
              <w:right w:val="single" w:sz="2" w:space="0" w:color="auto"/>
            </w:tcBorders>
            <w:vAlign w:val="center"/>
          </w:tcPr>
          <w:p w14:paraId="432590D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-810,843,308.94</w:t>
            </w:r>
          </w:p>
        </w:tc>
        <w:tc>
          <w:tcPr>
            <w:tcW w:w="374" w:type="pct"/>
            <w:tcBorders>
              <w:top w:val="single" w:sz="2" w:space="0" w:color="auto"/>
              <w:left w:val="single" w:sz="2" w:space="0" w:color="auto"/>
              <w:bottom w:val="single" w:sz="2" w:space="0" w:color="auto"/>
              <w:right w:val="single" w:sz="2" w:space="0" w:color="auto"/>
            </w:tcBorders>
            <w:vAlign w:val="center"/>
          </w:tcPr>
          <w:p w14:paraId="13316B22"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69E7BC9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1,191,915,762.83</w:t>
            </w:r>
          </w:p>
        </w:tc>
      </w:tr>
    </w:tbl>
    <w:p w14:paraId="3534396A" w14:textId="77777777" w:rsidR="006C7FCA" w:rsidRPr="00F614F9" w:rsidRDefault="006C7FCA">
      <w:pPr>
        <w:spacing w:before="40" w:after="40" w:line="240" w:lineRule="exact"/>
        <w:rPr>
          <w:rFonts w:ascii="Times New Roman" w:eastAsia="宋体" w:hAnsi="Times New Roman" w:cs="宋体"/>
          <w:sz w:val="18"/>
          <w:szCs w:val="18"/>
        </w:rPr>
      </w:pPr>
    </w:p>
    <w:p w14:paraId="2F8B71F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上期金额</w:t>
      </w:r>
    </w:p>
    <w:p w14:paraId="139F33F9"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14742"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28" w:type="dxa"/>
          <w:right w:w="57" w:type="dxa"/>
        </w:tblCellMar>
        <w:tblLook w:val="04A0" w:firstRow="1" w:lastRow="0" w:firstColumn="1" w:lastColumn="0" w:noHBand="0" w:noVBand="1"/>
      </w:tblPr>
      <w:tblGrid>
        <w:gridCol w:w="1299"/>
        <w:gridCol w:w="1345"/>
        <w:gridCol w:w="922"/>
        <w:gridCol w:w="919"/>
        <w:gridCol w:w="1210"/>
        <w:gridCol w:w="1210"/>
        <w:gridCol w:w="1120"/>
        <w:gridCol w:w="1114"/>
        <w:gridCol w:w="919"/>
        <w:gridCol w:w="1210"/>
        <w:gridCol w:w="1210"/>
        <w:gridCol w:w="919"/>
        <w:gridCol w:w="1345"/>
      </w:tblGrid>
      <w:tr w:rsidR="001D26E7" w:rsidRPr="00F614F9" w14:paraId="706D624F" w14:textId="77777777" w:rsidTr="006C7FCA">
        <w:trPr>
          <w:trHeight w:val="240"/>
          <w:jc w:val="center"/>
        </w:trPr>
        <w:tc>
          <w:tcPr>
            <w:tcW w:w="503"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D998FE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lastRenderedPageBreak/>
              <w:t>项目</w:t>
            </w:r>
          </w:p>
        </w:tc>
        <w:tc>
          <w:tcPr>
            <w:tcW w:w="4497" w:type="pct"/>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67317BF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年度</w:t>
            </w:r>
          </w:p>
        </w:tc>
      </w:tr>
      <w:tr w:rsidR="001D26E7" w:rsidRPr="00F614F9" w14:paraId="237CEE92" w14:textId="77777777" w:rsidTr="006C7FCA">
        <w:trPr>
          <w:trHeight w:val="240"/>
          <w:jc w:val="center"/>
        </w:trPr>
        <w:tc>
          <w:tcPr>
            <w:tcW w:w="503"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2F6157A7" w14:textId="77777777" w:rsidR="001D26E7" w:rsidRPr="00F614F9" w:rsidRDefault="001D26E7">
            <w:pPr>
              <w:rPr>
                <w:rFonts w:ascii="Times New Roman" w:hAnsi="Times New Roman"/>
              </w:rPr>
            </w:pPr>
          </w:p>
        </w:tc>
        <w:tc>
          <w:tcPr>
            <w:tcW w:w="375"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46C6B5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股本</w:t>
            </w:r>
          </w:p>
        </w:tc>
        <w:tc>
          <w:tcPr>
            <w:tcW w:w="1124" w:type="pct"/>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0E5E17D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其他权益工具</w:t>
            </w:r>
          </w:p>
        </w:tc>
        <w:tc>
          <w:tcPr>
            <w:tcW w:w="374"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AC5279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资本公积</w:t>
            </w:r>
          </w:p>
        </w:tc>
        <w:tc>
          <w:tcPr>
            <w:tcW w:w="374"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88B895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减：库存股</w:t>
            </w:r>
          </w:p>
        </w:tc>
        <w:tc>
          <w:tcPr>
            <w:tcW w:w="374"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C20BA2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其他综合收益</w:t>
            </w:r>
          </w:p>
        </w:tc>
        <w:tc>
          <w:tcPr>
            <w:tcW w:w="374"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E91509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专项储备</w:t>
            </w:r>
          </w:p>
        </w:tc>
        <w:tc>
          <w:tcPr>
            <w:tcW w:w="374"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7CC96B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盈余公积</w:t>
            </w:r>
          </w:p>
        </w:tc>
        <w:tc>
          <w:tcPr>
            <w:tcW w:w="374"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EBF456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未分配利润</w:t>
            </w:r>
          </w:p>
        </w:tc>
        <w:tc>
          <w:tcPr>
            <w:tcW w:w="374"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AD710A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377"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7A5ECD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所有者权益合计</w:t>
            </w:r>
          </w:p>
        </w:tc>
      </w:tr>
      <w:tr w:rsidR="001D26E7" w:rsidRPr="00F614F9" w14:paraId="736DF99A" w14:textId="77777777" w:rsidTr="006C7FCA">
        <w:trPr>
          <w:trHeight w:val="240"/>
          <w:jc w:val="center"/>
        </w:trPr>
        <w:tc>
          <w:tcPr>
            <w:tcW w:w="503"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0AD91C6D" w14:textId="77777777" w:rsidR="001D26E7" w:rsidRPr="00F614F9" w:rsidRDefault="001D26E7">
            <w:pPr>
              <w:rPr>
                <w:rFonts w:ascii="Times New Roman" w:hAnsi="Times New Roman"/>
              </w:rPr>
            </w:pPr>
          </w:p>
        </w:tc>
        <w:tc>
          <w:tcPr>
            <w:tcW w:w="375"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46243CB7" w14:textId="77777777" w:rsidR="001D26E7" w:rsidRPr="00F614F9" w:rsidRDefault="001D26E7">
            <w:pPr>
              <w:rPr>
                <w:rFonts w:ascii="Times New Roman" w:hAnsi="Times New Roman"/>
              </w:rPr>
            </w:pPr>
          </w:p>
        </w:tc>
        <w:tc>
          <w:tcPr>
            <w:tcW w:w="375" w:type="pct"/>
            <w:tcBorders>
              <w:top w:val="single" w:sz="2" w:space="0" w:color="auto"/>
              <w:left w:val="single" w:sz="2" w:space="0" w:color="auto"/>
              <w:bottom w:val="single" w:sz="2" w:space="0" w:color="auto"/>
              <w:right w:val="single" w:sz="2" w:space="0" w:color="auto"/>
            </w:tcBorders>
            <w:shd w:val="clear" w:color="auto" w:fill="D3D3D3"/>
            <w:vAlign w:val="center"/>
          </w:tcPr>
          <w:p w14:paraId="773A1E6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优先股</w:t>
            </w:r>
          </w:p>
        </w:tc>
        <w:tc>
          <w:tcPr>
            <w:tcW w:w="374" w:type="pct"/>
            <w:tcBorders>
              <w:top w:val="single" w:sz="2" w:space="0" w:color="auto"/>
              <w:left w:val="single" w:sz="2" w:space="0" w:color="auto"/>
              <w:bottom w:val="single" w:sz="2" w:space="0" w:color="auto"/>
              <w:right w:val="single" w:sz="2" w:space="0" w:color="auto"/>
            </w:tcBorders>
            <w:shd w:val="clear" w:color="auto" w:fill="D3D3D3"/>
            <w:vAlign w:val="center"/>
          </w:tcPr>
          <w:p w14:paraId="0BAC70A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永续债</w:t>
            </w:r>
          </w:p>
        </w:tc>
        <w:tc>
          <w:tcPr>
            <w:tcW w:w="375" w:type="pct"/>
            <w:tcBorders>
              <w:top w:val="single" w:sz="2" w:space="0" w:color="auto"/>
              <w:left w:val="single" w:sz="2" w:space="0" w:color="auto"/>
              <w:bottom w:val="single" w:sz="2" w:space="0" w:color="auto"/>
              <w:right w:val="single" w:sz="2" w:space="0" w:color="auto"/>
            </w:tcBorders>
            <w:shd w:val="clear" w:color="auto" w:fill="D3D3D3"/>
            <w:vAlign w:val="center"/>
          </w:tcPr>
          <w:p w14:paraId="716A11B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374"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0D36F7B9" w14:textId="77777777" w:rsidR="001D26E7" w:rsidRPr="00F614F9" w:rsidRDefault="001D26E7">
            <w:pPr>
              <w:rPr>
                <w:rFonts w:ascii="Times New Roman" w:hAnsi="Times New Roman"/>
              </w:rPr>
            </w:pPr>
          </w:p>
        </w:tc>
        <w:tc>
          <w:tcPr>
            <w:tcW w:w="374"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10CA1E18" w14:textId="77777777" w:rsidR="001D26E7" w:rsidRPr="00F614F9" w:rsidRDefault="001D26E7">
            <w:pPr>
              <w:rPr>
                <w:rFonts w:ascii="Times New Roman" w:hAnsi="Times New Roman"/>
              </w:rPr>
            </w:pPr>
          </w:p>
        </w:tc>
        <w:tc>
          <w:tcPr>
            <w:tcW w:w="374"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34F146CD" w14:textId="77777777" w:rsidR="001D26E7" w:rsidRPr="00F614F9" w:rsidRDefault="001D26E7">
            <w:pPr>
              <w:rPr>
                <w:rFonts w:ascii="Times New Roman" w:hAnsi="Times New Roman"/>
              </w:rPr>
            </w:pPr>
          </w:p>
        </w:tc>
        <w:tc>
          <w:tcPr>
            <w:tcW w:w="374" w:type="pct"/>
            <w:vMerge/>
            <w:tcBorders>
              <w:top w:val="single" w:sz="2" w:space="0" w:color="auto"/>
              <w:left w:val="single" w:sz="2" w:space="0" w:color="auto"/>
              <w:bottom w:val="single" w:sz="2" w:space="0" w:color="auto"/>
              <w:right w:val="single" w:sz="2" w:space="0" w:color="auto"/>
            </w:tcBorders>
            <w:vAlign w:val="center"/>
          </w:tcPr>
          <w:p w14:paraId="2735F646" w14:textId="77777777" w:rsidR="001D26E7" w:rsidRPr="00F614F9" w:rsidRDefault="001D26E7">
            <w:pPr>
              <w:rPr>
                <w:rFonts w:ascii="Times New Roman" w:hAnsi="Times New Roman"/>
              </w:rPr>
            </w:pPr>
          </w:p>
        </w:tc>
        <w:tc>
          <w:tcPr>
            <w:tcW w:w="374"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5C35A010" w14:textId="77777777" w:rsidR="001D26E7" w:rsidRPr="00F614F9" w:rsidRDefault="001D26E7">
            <w:pPr>
              <w:rPr>
                <w:rFonts w:ascii="Times New Roman" w:hAnsi="Times New Roman"/>
              </w:rPr>
            </w:pPr>
          </w:p>
        </w:tc>
        <w:tc>
          <w:tcPr>
            <w:tcW w:w="374"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104A6E57" w14:textId="77777777" w:rsidR="001D26E7" w:rsidRPr="00F614F9" w:rsidRDefault="001D26E7">
            <w:pPr>
              <w:rPr>
                <w:rFonts w:ascii="Times New Roman" w:hAnsi="Times New Roman"/>
              </w:rPr>
            </w:pPr>
          </w:p>
        </w:tc>
        <w:tc>
          <w:tcPr>
            <w:tcW w:w="374" w:type="pct"/>
            <w:vMerge/>
            <w:tcBorders>
              <w:top w:val="single" w:sz="2" w:space="0" w:color="auto"/>
              <w:left w:val="single" w:sz="2" w:space="0" w:color="auto"/>
              <w:bottom w:val="single" w:sz="2" w:space="0" w:color="auto"/>
              <w:right w:val="single" w:sz="2" w:space="0" w:color="auto"/>
            </w:tcBorders>
            <w:vAlign w:val="center"/>
          </w:tcPr>
          <w:p w14:paraId="1277C1FF" w14:textId="77777777" w:rsidR="001D26E7" w:rsidRPr="00F614F9" w:rsidRDefault="001D26E7">
            <w:pPr>
              <w:rPr>
                <w:rFonts w:ascii="Times New Roman" w:hAnsi="Times New Roman"/>
              </w:rPr>
            </w:pPr>
          </w:p>
        </w:tc>
        <w:tc>
          <w:tcPr>
            <w:tcW w:w="377"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175A0491" w14:textId="77777777" w:rsidR="001D26E7" w:rsidRPr="00F614F9" w:rsidRDefault="001D26E7">
            <w:pPr>
              <w:rPr>
                <w:rFonts w:ascii="Times New Roman" w:hAnsi="Times New Roman"/>
              </w:rPr>
            </w:pPr>
          </w:p>
        </w:tc>
      </w:tr>
      <w:tr w:rsidR="001D26E7" w:rsidRPr="00F614F9" w14:paraId="013B0230"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5D0D7B5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一、上年期末余额</w:t>
            </w:r>
          </w:p>
        </w:tc>
        <w:tc>
          <w:tcPr>
            <w:tcW w:w="375" w:type="pct"/>
            <w:tcBorders>
              <w:top w:val="single" w:sz="2" w:space="0" w:color="auto"/>
              <w:left w:val="single" w:sz="2" w:space="0" w:color="auto"/>
              <w:bottom w:val="single" w:sz="2" w:space="0" w:color="auto"/>
              <w:right w:val="single" w:sz="2" w:space="0" w:color="auto"/>
            </w:tcBorders>
            <w:vAlign w:val="center"/>
          </w:tcPr>
          <w:p w14:paraId="6942605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1,078,860,185.00</w:t>
            </w:r>
          </w:p>
        </w:tc>
        <w:tc>
          <w:tcPr>
            <w:tcW w:w="375" w:type="pct"/>
            <w:tcBorders>
              <w:top w:val="single" w:sz="2" w:space="0" w:color="auto"/>
              <w:left w:val="single" w:sz="2" w:space="0" w:color="auto"/>
              <w:bottom w:val="single" w:sz="2" w:space="0" w:color="auto"/>
              <w:right w:val="single" w:sz="2" w:space="0" w:color="auto"/>
            </w:tcBorders>
            <w:vAlign w:val="center"/>
          </w:tcPr>
          <w:p w14:paraId="32770DB3"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C555DED"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1201150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171,581,632.30</w:t>
            </w:r>
          </w:p>
        </w:tc>
        <w:tc>
          <w:tcPr>
            <w:tcW w:w="374" w:type="pct"/>
            <w:tcBorders>
              <w:top w:val="single" w:sz="2" w:space="0" w:color="auto"/>
              <w:left w:val="single" w:sz="2" w:space="0" w:color="auto"/>
              <w:bottom w:val="single" w:sz="2" w:space="0" w:color="auto"/>
              <w:right w:val="single" w:sz="2" w:space="0" w:color="auto"/>
            </w:tcBorders>
            <w:vAlign w:val="center"/>
          </w:tcPr>
          <w:p w14:paraId="4E9095C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812,154,712.44</w:t>
            </w:r>
          </w:p>
        </w:tc>
        <w:tc>
          <w:tcPr>
            <w:tcW w:w="374" w:type="pct"/>
            <w:tcBorders>
              <w:top w:val="single" w:sz="2" w:space="0" w:color="auto"/>
              <w:left w:val="single" w:sz="2" w:space="0" w:color="auto"/>
              <w:bottom w:val="single" w:sz="2" w:space="0" w:color="auto"/>
              <w:right w:val="single" w:sz="2" w:space="0" w:color="auto"/>
            </w:tcBorders>
            <w:vAlign w:val="center"/>
          </w:tcPr>
          <w:p w14:paraId="1BCE737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31,491,174.00</w:t>
            </w:r>
          </w:p>
        </w:tc>
        <w:tc>
          <w:tcPr>
            <w:tcW w:w="374" w:type="pct"/>
            <w:tcBorders>
              <w:top w:val="single" w:sz="2" w:space="0" w:color="auto"/>
              <w:left w:val="single" w:sz="2" w:space="0" w:color="auto"/>
              <w:bottom w:val="single" w:sz="2" w:space="0" w:color="auto"/>
              <w:right w:val="single" w:sz="2" w:space="0" w:color="auto"/>
            </w:tcBorders>
            <w:vAlign w:val="center"/>
          </w:tcPr>
          <w:p w14:paraId="5A2F9DD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-8,833,365.24</w:t>
            </w:r>
          </w:p>
        </w:tc>
        <w:tc>
          <w:tcPr>
            <w:tcW w:w="374" w:type="pct"/>
            <w:tcBorders>
              <w:top w:val="single" w:sz="2" w:space="0" w:color="auto"/>
              <w:left w:val="single" w:sz="2" w:space="0" w:color="auto"/>
              <w:bottom w:val="single" w:sz="2" w:space="0" w:color="auto"/>
              <w:right w:val="single" w:sz="2" w:space="0" w:color="auto"/>
            </w:tcBorders>
            <w:vAlign w:val="center"/>
          </w:tcPr>
          <w:p w14:paraId="6FC69771"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0ACCA8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263,717,929.16</w:t>
            </w:r>
          </w:p>
        </w:tc>
        <w:tc>
          <w:tcPr>
            <w:tcW w:w="374" w:type="pct"/>
            <w:tcBorders>
              <w:top w:val="single" w:sz="2" w:space="0" w:color="auto"/>
              <w:left w:val="single" w:sz="2" w:space="0" w:color="auto"/>
              <w:bottom w:val="single" w:sz="2" w:space="0" w:color="auto"/>
              <w:right w:val="single" w:sz="2" w:space="0" w:color="auto"/>
            </w:tcBorders>
            <w:vAlign w:val="center"/>
          </w:tcPr>
          <w:p w14:paraId="6FE370D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138,660,036.63</w:t>
            </w:r>
          </w:p>
        </w:tc>
        <w:tc>
          <w:tcPr>
            <w:tcW w:w="374" w:type="pct"/>
            <w:tcBorders>
              <w:top w:val="single" w:sz="2" w:space="0" w:color="auto"/>
              <w:left w:val="single" w:sz="2" w:space="0" w:color="auto"/>
              <w:bottom w:val="single" w:sz="2" w:space="0" w:color="auto"/>
              <w:right w:val="single" w:sz="2" w:space="0" w:color="auto"/>
            </w:tcBorders>
            <w:vAlign w:val="center"/>
          </w:tcPr>
          <w:p w14:paraId="036CDE59"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029AA1B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2,424,649,956.29</w:t>
            </w:r>
          </w:p>
        </w:tc>
      </w:tr>
      <w:tr w:rsidR="001D26E7" w:rsidRPr="00F614F9" w14:paraId="6A8E90CA"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4FCFA5F5"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加：会计政策变更</w:t>
            </w:r>
          </w:p>
        </w:tc>
        <w:tc>
          <w:tcPr>
            <w:tcW w:w="375" w:type="pct"/>
            <w:tcBorders>
              <w:top w:val="single" w:sz="2" w:space="0" w:color="auto"/>
              <w:left w:val="single" w:sz="2" w:space="0" w:color="auto"/>
              <w:bottom w:val="single" w:sz="2" w:space="0" w:color="auto"/>
              <w:right w:val="single" w:sz="2" w:space="0" w:color="auto"/>
            </w:tcBorders>
            <w:vAlign w:val="center"/>
          </w:tcPr>
          <w:p w14:paraId="6C1E9385"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6C0E3526"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819D8EE"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12A4127B"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B65C171"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9BACDD6"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E777704"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81D99FC"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2A947F7"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33AAC64"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CF4541E"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044BC9E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AF1E2C8"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7A5593B5"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前期差错更正</w:t>
            </w:r>
          </w:p>
        </w:tc>
        <w:tc>
          <w:tcPr>
            <w:tcW w:w="375" w:type="pct"/>
            <w:tcBorders>
              <w:top w:val="single" w:sz="2" w:space="0" w:color="auto"/>
              <w:left w:val="single" w:sz="2" w:space="0" w:color="auto"/>
              <w:bottom w:val="single" w:sz="2" w:space="0" w:color="auto"/>
              <w:right w:val="single" w:sz="2" w:space="0" w:color="auto"/>
            </w:tcBorders>
            <w:vAlign w:val="center"/>
          </w:tcPr>
          <w:p w14:paraId="40109066"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56806674"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6E76256"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45B429D3"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BB5606A"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8409766"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0FD1C8B"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93CB6F8"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94423F6"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6243C0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71ECF94"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440E12B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012B88F"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5C95F1BD"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375" w:type="pct"/>
            <w:tcBorders>
              <w:top w:val="single" w:sz="2" w:space="0" w:color="auto"/>
              <w:left w:val="single" w:sz="2" w:space="0" w:color="auto"/>
              <w:bottom w:val="single" w:sz="2" w:space="0" w:color="auto"/>
              <w:right w:val="single" w:sz="2" w:space="0" w:color="auto"/>
            </w:tcBorders>
            <w:vAlign w:val="center"/>
          </w:tcPr>
          <w:p w14:paraId="7F67CCD4"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4C29D3CE"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BAF6A29"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1388AF6B"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DBE4D8C"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8B1DE1D"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AA2A187"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C1B8B37"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7B8884A"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D51210D"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C6DC2F8"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59DD765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936CF78"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093F199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二、本年期初余额</w:t>
            </w:r>
          </w:p>
        </w:tc>
        <w:tc>
          <w:tcPr>
            <w:tcW w:w="375" w:type="pct"/>
            <w:tcBorders>
              <w:top w:val="single" w:sz="2" w:space="0" w:color="auto"/>
              <w:left w:val="single" w:sz="2" w:space="0" w:color="auto"/>
              <w:bottom w:val="single" w:sz="2" w:space="0" w:color="auto"/>
              <w:right w:val="single" w:sz="2" w:space="0" w:color="auto"/>
            </w:tcBorders>
            <w:vAlign w:val="center"/>
          </w:tcPr>
          <w:p w14:paraId="54C4C4C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1,078,860,185.00</w:t>
            </w:r>
          </w:p>
        </w:tc>
        <w:tc>
          <w:tcPr>
            <w:tcW w:w="375" w:type="pct"/>
            <w:tcBorders>
              <w:top w:val="single" w:sz="2" w:space="0" w:color="auto"/>
              <w:left w:val="single" w:sz="2" w:space="0" w:color="auto"/>
              <w:bottom w:val="single" w:sz="2" w:space="0" w:color="auto"/>
              <w:right w:val="single" w:sz="2" w:space="0" w:color="auto"/>
            </w:tcBorders>
            <w:vAlign w:val="center"/>
          </w:tcPr>
          <w:p w14:paraId="1BBE4F8E"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EFEA9B7"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3AC1B4F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171,581,632.30</w:t>
            </w:r>
          </w:p>
        </w:tc>
        <w:tc>
          <w:tcPr>
            <w:tcW w:w="374" w:type="pct"/>
            <w:tcBorders>
              <w:top w:val="single" w:sz="2" w:space="0" w:color="auto"/>
              <w:left w:val="single" w:sz="2" w:space="0" w:color="auto"/>
              <w:bottom w:val="single" w:sz="2" w:space="0" w:color="auto"/>
              <w:right w:val="single" w:sz="2" w:space="0" w:color="auto"/>
            </w:tcBorders>
            <w:vAlign w:val="center"/>
          </w:tcPr>
          <w:p w14:paraId="344909C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812,154,712.44</w:t>
            </w:r>
          </w:p>
        </w:tc>
        <w:tc>
          <w:tcPr>
            <w:tcW w:w="374" w:type="pct"/>
            <w:tcBorders>
              <w:top w:val="single" w:sz="2" w:space="0" w:color="auto"/>
              <w:left w:val="single" w:sz="2" w:space="0" w:color="auto"/>
              <w:bottom w:val="single" w:sz="2" w:space="0" w:color="auto"/>
              <w:right w:val="single" w:sz="2" w:space="0" w:color="auto"/>
            </w:tcBorders>
            <w:vAlign w:val="center"/>
          </w:tcPr>
          <w:p w14:paraId="7108F62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31,491,174.00</w:t>
            </w:r>
          </w:p>
        </w:tc>
        <w:tc>
          <w:tcPr>
            <w:tcW w:w="374" w:type="pct"/>
            <w:tcBorders>
              <w:top w:val="single" w:sz="2" w:space="0" w:color="auto"/>
              <w:left w:val="single" w:sz="2" w:space="0" w:color="auto"/>
              <w:bottom w:val="single" w:sz="2" w:space="0" w:color="auto"/>
              <w:right w:val="single" w:sz="2" w:space="0" w:color="auto"/>
            </w:tcBorders>
            <w:vAlign w:val="center"/>
          </w:tcPr>
          <w:p w14:paraId="7FD80E5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-8,833,365.24</w:t>
            </w:r>
          </w:p>
        </w:tc>
        <w:tc>
          <w:tcPr>
            <w:tcW w:w="374" w:type="pct"/>
            <w:tcBorders>
              <w:top w:val="single" w:sz="2" w:space="0" w:color="auto"/>
              <w:left w:val="single" w:sz="2" w:space="0" w:color="auto"/>
              <w:bottom w:val="single" w:sz="2" w:space="0" w:color="auto"/>
              <w:right w:val="single" w:sz="2" w:space="0" w:color="auto"/>
            </w:tcBorders>
            <w:vAlign w:val="center"/>
          </w:tcPr>
          <w:p w14:paraId="1EABB15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BBE5EC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263,717,929.16</w:t>
            </w:r>
          </w:p>
        </w:tc>
        <w:tc>
          <w:tcPr>
            <w:tcW w:w="374" w:type="pct"/>
            <w:tcBorders>
              <w:top w:val="single" w:sz="2" w:space="0" w:color="auto"/>
              <w:left w:val="single" w:sz="2" w:space="0" w:color="auto"/>
              <w:bottom w:val="single" w:sz="2" w:space="0" w:color="auto"/>
              <w:right w:val="single" w:sz="2" w:space="0" w:color="auto"/>
            </w:tcBorders>
            <w:vAlign w:val="center"/>
          </w:tcPr>
          <w:p w14:paraId="114780F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138,660,036.63</w:t>
            </w:r>
          </w:p>
        </w:tc>
        <w:tc>
          <w:tcPr>
            <w:tcW w:w="374" w:type="pct"/>
            <w:tcBorders>
              <w:top w:val="single" w:sz="2" w:space="0" w:color="auto"/>
              <w:left w:val="single" w:sz="2" w:space="0" w:color="auto"/>
              <w:bottom w:val="single" w:sz="2" w:space="0" w:color="auto"/>
              <w:right w:val="single" w:sz="2" w:space="0" w:color="auto"/>
            </w:tcBorders>
            <w:vAlign w:val="center"/>
          </w:tcPr>
          <w:p w14:paraId="7F2A664D"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18A3A67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2,424,649,956.29</w:t>
            </w:r>
          </w:p>
        </w:tc>
      </w:tr>
      <w:tr w:rsidR="001D26E7" w:rsidRPr="00F614F9" w14:paraId="34EE5331"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26C2021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三、本期增减变动金额（减少以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75" w:type="pct"/>
            <w:tcBorders>
              <w:top w:val="single" w:sz="2" w:space="0" w:color="auto"/>
              <w:left w:val="single" w:sz="2" w:space="0" w:color="auto"/>
              <w:bottom w:val="single" w:sz="2" w:space="0" w:color="auto"/>
              <w:right w:val="single" w:sz="2" w:space="0" w:color="auto"/>
            </w:tcBorders>
            <w:vAlign w:val="center"/>
          </w:tcPr>
          <w:p w14:paraId="7BD606F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268,303.00</w:t>
            </w:r>
          </w:p>
        </w:tc>
        <w:tc>
          <w:tcPr>
            <w:tcW w:w="375" w:type="pct"/>
            <w:tcBorders>
              <w:top w:val="single" w:sz="2" w:space="0" w:color="auto"/>
              <w:left w:val="single" w:sz="2" w:space="0" w:color="auto"/>
              <w:bottom w:val="single" w:sz="2" w:space="0" w:color="auto"/>
              <w:right w:val="single" w:sz="2" w:space="0" w:color="auto"/>
            </w:tcBorders>
            <w:vAlign w:val="center"/>
          </w:tcPr>
          <w:p w14:paraId="5CD6F65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DB47C89"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501A57F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-9,952.37</w:t>
            </w:r>
          </w:p>
        </w:tc>
        <w:tc>
          <w:tcPr>
            <w:tcW w:w="374" w:type="pct"/>
            <w:tcBorders>
              <w:top w:val="single" w:sz="2" w:space="0" w:color="auto"/>
              <w:left w:val="single" w:sz="2" w:space="0" w:color="auto"/>
              <w:bottom w:val="single" w:sz="2" w:space="0" w:color="auto"/>
              <w:right w:val="single" w:sz="2" w:space="0" w:color="auto"/>
            </w:tcBorders>
            <w:vAlign w:val="center"/>
          </w:tcPr>
          <w:p w14:paraId="1DAD10B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18,091,797.51</w:t>
            </w:r>
          </w:p>
        </w:tc>
        <w:tc>
          <w:tcPr>
            <w:tcW w:w="374" w:type="pct"/>
            <w:tcBorders>
              <w:top w:val="single" w:sz="2" w:space="0" w:color="auto"/>
              <w:left w:val="single" w:sz="2" w:space="0" w:color="auto"/>
              <w:bottom w:val="single" w:sz="2" w:space="0" w:color="auto"/>
              <w:right w:val="single" w:sz="2" w:space="0" w:color="auto"/>
            </w:tcBorders>
            <w:vAlign w:val="center"/>
          </w:tcPr>
          <w:p w14:paraId="13673DF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5,753,498.24</w:t>
            </w:r>
          </w:p>
        </w:tc>
        <w:tc>
          <w:tcPr>
            <w:tcW w:w="374" w:type="pct"/>
            <w:tcBorders>
              <w:top w:val="single" w:sz="2" w:space="0" w:color="auto"/>
              <w:left w:val="single" w:sz="2" w:space="0" w:color="auto"/>
              <w:bottom w:val="single" w:sz="2" w:space="0" w:color="auto"/>
              <w:right w:val="single" w:sz="2" w:space="0" w:color="auto"/>
            </w:tcBorders>
            <w:vAlign w:val="center"/>
          </w:tcPr>
          <w:p w14:paraId="7AC0B50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-2,944,455.09</w:t>
            </w:r>
          </w:p>
        </w:tc>
        <w:tc>
          <w:tcPr>
            <w:tcW w:w="374" w:type="pct"/>
            <w:tcBorders>
              <w:top w:val="single" w:sz="2" w:space="0" w:color="auto"/>
              <w:left w:val="single" w:sz="2" w:space="0" w:color="auto"/>
              <w:bottom w:val="single" w:sz="2" w:space="0" w:color="auto"/>
              <w:right w:val="single" w:sz="2" w:space="0" w:color="auto"/>
            </w:tcBorders>
            <w:vAlign w:val="center"/>
          </w:tcPr>
          <w:p w14:paraId="4DEE6D6B"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EE876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471B4F9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-123,488,322.91</w:t>
            </w:r>
          </w:p>
        </w:tc>
        <w:tc>
          <w:tcPr>
            <w:tcW w:w="374" w:type="pct"/>
            <w:tcBorders>
              <w:top w:val="single" w:sz="2" w:space="0" w:color="auto"/>
              <w:left w:val="single" w:sz="2" w:space="0" w:color="auto"/>
              <w:bottom w:val="single" w:sz="2" w:space="0" w:color="auto"/>
              <w:right w:val="single" w:sz="2" w:space="0" w:color="auto"/>
            </w:tcBorders>
            <w:vAlign w:val="center"/>
          </w:tcPr>
          <w:p w14:paraId="7DC8EC34"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201A88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-113,836,128.10</w:t>
            </w:r>
          </w:p>
        </w:tc>
      </w:tr>
      <w:tr w:rsidR="001D26E7" w:rsidRPr="00F614F9" w14:paraId="4B1E83B4"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35FA5ED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（一）综合收益总额</w:t>
            </w:r>
          </w:p>
        </w:tc>
        <w:tc>
          <w:tcPr>
            <w:tcW w:w="375" w:type="pct"/>
            <w:tcBorders>
              <w:top w:val="single" w:sz="2" w:space="0" w:color="auto"/>
              <w:left w:val="single" w:sz="2" w:space="0" w:color="auto"/>
              <w:bottom w:val="single" w:sz="2" w:space="0" w:color="auto"/>
              <w:right w:val="single" w:sz="2" w:space="0" w:color="auto"/>
            </w:tcBorders>
            <w:vAlign w:val="center"/>
          </w:tcPr>
          <w:p w14:paraId="6115F28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5" w:type="pct"/>
            <w:tcBorders>
              <w:top w:val="single" w:sz="2" w:space="0" w:color="auto"/>
              <w:left w:val="single" w:sz="2" w:space="0" w:color="auto"/>
              <w:bottom w:val="single" w:sz="2" w:space="0" w:color="auto"/>
              <w:right w:val="single" w:sz="2" w:space="0" w:color="auto"/>
            </w:tcBorders>
            <w:vAlign w:val="center"/>
          </w:tcPr>
          <w:p w14:paraId="22058E91"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A3B17A2"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58067C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0BD8261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7E393D1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74E91F7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-2,944,455.09</w:t>
            </w:r>
          </w:p>
        </w:tc>
        <w:tc>
          <w:tcPr>
            <w:tcW w:w="374" w:type="pct"/>
            <w:tcBorders>
              <w:top w:val="single" w:sz="2" w:space="0" w:color="auto"/>
              <w:left w:val="single" w:sz="2" w:space="0" w:color="auto"/>
              <w:bottom w:val="single" w:sz="2" w:space="0" w:color="auto"/>
              <w:right w:val="single" w:sz="2" w:space="0" w:color="auto"/>
            </w:tcBorders>
            <w:vAlign w:val="center"/>
          </w:tcPr>
          <w:p w14:paraId="2E6964DC"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C4F282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23C4776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-123,821,472.64</w:t>
            </w:r>
          </w:p>
        </w:tc>
        <w:tc>
          <w:tcPr>
            <w:tcW w:w="374" w:type="pct"/>
            <w:tcBorders>
              <w:top w:val="single" w:sz="2" w:space="0" w:color="auto"/>
              <w:left w:val="single" w:sz="2" w:space="0" w:color="auto"/>
              <w:bottom w:val="single" w:sz="2" w:space="0" w:color="auto"/>
              <w:right w:val="single" w:sz="2" w:space="0" w:color="auto"/>
            </w:tcBorders>
            <w:vAlign w:val="center"/>
          </w:tcPr>
          <w:p w14:paraId="4324667B"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667C56E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-126,765,927.73</w:t>
            </w:r>
          </w:p>
        </w:tc>
      </w:tr>
      <w:tr w:rsidR="001D26E7" w:rsidRPr="00F614F9" w14:paraId="1970E32D"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6CAF7B8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（二）所有者投入和减少资本</w:t>
            </w:r>
          </w:p>
        </w:tc>
        <w:tc>
          <w:tcPr>
            <w:tcW w:w="375" w:type="pct"/>
            <w:tcBorders>
              <w:top w:val="single" w:sz="2" w:space="0" w:color="auto"/>
              <w:left w:val="single" w:sz="2" w:space="0" w:color="auto"/>
              <w:bottom w:val="single" w:sz="2" w:space="0" w:color="auto"/>
              <w:right w:val="single" w:sz="2" w:space="0" w:color="auto"/>
            </w:tcBorders>
            <w:vAlign w:val="center"/>
          </w:tcPr>
          <w:p w14:paraId="23232D3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268,303.00</w:t>
            </w:r>
          </w:p>
        </w:tc>
        <w:tc>
          <w:tcPr>
            <w:tcW w:w="375" w:type="pct"/>
            <w:tcBorders>
              <w:top w:val="single" w:sz="2" w:space="0" w:color="auto"/>
              <w:left w:val="single" w:sz="2" w:space="0" w:color="auto"/>
              <w:bottom w:val="single" w:sz="2" w:space="0" w:color="auto"/>
              <w:right w:val="single" w:sz="2" w:space="0" w:color="auto"/>
            </w:tcBorders>
            <w:vAlign w:val="center"/>
          </w:tcPr>
          <w:p w14:paraId="178B1105"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D18A576"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459085F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-9,952.37</w:t>
            </w:r>
          </w:p>
        </w:tc>
        <w:tc>
          <w:tcPr>
            <w:tcW w:w="374" w:type="pct"/>
            <w:tcBorders>
              <w:top w:val="single" w:sz="2" w:space="0" w:color="auto"/>
              <w:left w:val="single" w:sz="2" w:space="0" w:color="auto"/>
              <w:bottom w:val="single" w:sz="2" w:space="0" w:color="auto"/>
              <w:right w:val="single" w:sz="2" w:space="0" w:color="auto"/>
            </w:tcBorders>
            <w:vAlign w:val="center"/>
          </w:tcPr>
          <w:p w14:paraId="547151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18,091,797.51</w:t>
            </w:r>
          </w:p>
        </w:tc>
        <w:tc>
          <w:tcPr>
            <w:tcW w:w="374" w:type="pct"/>
            <w:tcBorders>
              <w:top w:val="single" w:sz="2" w:space="0" w:color="auto"/>
              <w:left w:val="single" w:sz="2" w:space="0" w:color="auto"/>
              <w:bottom w:val="single" w:sz="2" w:space="0" w:color="auto"/>
              <w:right w:val="single" w:sz="2" w:space="0" w:color="auto"/>
            </w:tcBorders>
            <w:vAlign w:val="center"/>
          </w:tcPr>
          <w:p w14:paraId="1A4593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5,753,498.24</w:t>
            </w:r>
          </w:p>
        </w:tc>
        <w:tc>
          <w:tcPr>
            <w:tcW w:w="374" w:type="pct"/>
            <w:tcBorders>
              <w:top w:val="single" w:sz="2" w:space="0" w:color="auto"/>
              <w:left w:val="single" w:sz="2" w:space="0" w:color="auto"/>
              <w:bottom w:val="single" w:sz="2" w:space="0" w:color="auto"/>
              <w:right w:val="single" w:sz="2" w:space="0" w:color="auto"/>
            </w:tcBorders>
            <w:vAlign w:val="center"/>
          </w:tcPr>
          <w:p w14:paraId="7A27656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546976FB"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D066A4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2A28F42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002A35B0"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6E5A4E0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12,596,649.90</w:t>
            </w:r>
          </w:p>
        </w:tc>
      </w:tr>
      <w:tr w:rsidR="001D26E7" w:rsidRPr="00F614F9" w14:paraId="71771A1A"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1AC7FBD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．所有者投入的普通股</w:t>
            </w:r>
          </w:p>
        </w:tc>
        <w:tc>
          <w:tcPr>
            <w:tcW w:w="375" w:type="pct"/>
            <w:tcBorders>
              <w:top w:val="single" w:sz="2" w:space="0" w:color="auto"/>
              <w:left w:val="single" w:sz="2" w:space="0" w:color="auto"/>
              <w:bottom w:val="single" w:sz="2" w:space="0" w:color="auto"/>
              <w:right w:val="single" w:sz="2" w:space="0" w:color="auto"/>
            </w:tcBorders>
            <w:vAlign w:val="center"/>
          </w:tcPr>
          <w:p w14:paraId="0515D77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4,716,877.00</w:t>
            </w:r>
          </w:p>
        </w:tc>
        <w:tc>
          <w:tcPr>
            <w:tcW w:w="375" w:type="pct"/>
            <w:tcBorders>
              <w:top w:val="single" w:sz="2" w:space="0" w:color="auto"/>
              <w:left w:val="single" w:sz="2" w:space="0" w:color="auto"/>
              <w:bottom w:val="single" w:sz="2" w:space="0" w:color="auto"/>
              <w:right w:val="single" w:sz="2" w:space="0" w:color="auto"/>
            </w:tcBorders>
            <w:vAlign w:val="center"/>
          </w:tcPr>
          <w:p w14:paraId="31F831C5"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99A333A"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4BABF7A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1F49D69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29,128,327.48</w:t>
            </w:r>
          </w:p>
        </w:tc>
        <w:tc>
          <w:tcPr>
            <w:tcW w:w="374" w:type="pct"/>
            <w:tcBorders>
              <w:top w:val="single" w:sz="2" w:space="0" w:color="auto"/>
              <w:left w:val="single" w:sz="2" w:space="0" w:color="auto"/>
              <w:bottom w:val="single" w:sz="2" w:space="0" w:color="auto"/>
              <w:right w:val="single" w:sz="2" w:space="0" w:color="auto"/>
            </w:tcBorders>
            <w:vAlign w:val="center"/>
          </w:tcPr>
          <w:p w14:paraId="6EB9DC1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6B3CF62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1CBD39ED"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263EC4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6E6C159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43852BBB"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66EB71B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33,845,204.48</w:t>
            </w:r>
          </w:p>
        </w:tc>
      </w:tr>
      <w:tr w:rsidR="001D26E7" w:rsidRPr="00F614F9" w14:paraId="2C6DDB40"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01314B5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．其他权益工具持有者投入资本</w:t>
            </w:r>
          </w:p>
        </w:tc>
        <w:tc>
          <w:tcPr>
            <w:tcW w:w="375" w:type="pct"/>
            <w:tcBorders>
              <w:top w:val="single" w:sz="2" w:space="0" w:color="auto"/>
              <w:left w:val="single" w:sz="2" w:space="0" w:color="auto"/>
              <w:bottom w:val="single" w:sz="2" w:space="0" w:color="auto"/>
              <w:right w:val="single" w:sz="2" w:space="0" w:color="auto"/>
            </w:tcBorders>
            <w:vAlign w:val="center"/>
          </w:tcPr>
          <w:p w14:paraId="5B24E242"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3108F604"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FD2B5F2"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119ACB20"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A6F45AA"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9D0900F"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1334851"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76A4675"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31DDA3C"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B4A009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104B388"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5C686815"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41F1976"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0D80F62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．股份支付计入所有者权益的金额</w:t>
            </w:r>
          </w:p>
        </w:tc>
        <w:tc>
          <w:tcPr>
            <w:tcW w:w="375" w:type="pct"/>
            <w:tcBorders>
              <w:top w:val="single" w:sz="2" w:space="0" w:color="auto"/>
              <w:left w:val="single" w:sz="2" w:space="0" w:color="auto"/>
              <w:bottom w:val="single" w:sz="2" w:space="0" w:color="auto"/>
              <w:right w:val="single" w:sz="2" w:space="0" w:color="auto"/>
            </w:tcBorders>
            <w:vAlign w:val="center"/>
          </w:tcPr>
          <w:p w14:paraId="276EF53B"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66C29679"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2138915"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527EBE66"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35B2BBD"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BA9E5F3"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FE77184"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CFAD7C7"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E34CCD3"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AA2AB44"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D915034"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5ABEC882"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B6E5FB6"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1820B5D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．其他</w:t>
            </w:r>
          </w:p>
        </w:tc>
        <w:tc>
          <w:tcPr>
            <w:tcW w:w="375" w:type="pct"/>
            <w:tcBorders>
              <w:top w:val="single" w:sz="2" w:space="0" w:color="auto"/>
              <w:left w:val="single" w:sz="2" w:space="0" w:color="auto"/>
              <w:bottom w:val="single" w:sz="2" w:space="0" w:color="auto"/>
              <w:right w:val="single" w:sz="2" w:space="0" w:color="auto"/>
            </w:tcBorders>
            <w:vAlign w:val="center"/>
          </w:tcPr>
          <w:p w14:paraId="39EC90C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-4,448,574.00</w:t>
            </w:r>
          </w:p>
        </w:tc>
        <w:tc>
          <w:tcPr>
            <w:tcW w:w="375" w:type="pct"/>
            <w:tcBorders>
              <w:top w:val="single" w:sz="2" w:space="0" w:color="auto"/>
              <w:left w:val="single" w:sz="2" w:space="0" w:color="auto"/>
              <w:bottom w:val="single" w:sz="2" w:space="0" w:color="auto"/>
              <w:right w:val="single" w:sz="2" w:space="0" w:color="auto"/>
            </w:tcBorders>
            <w:vAlign w:val="center"/>
          </w:tcPr>
          <w:p w14:paraId="437B31C8"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831996D"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51D7C74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-9,952.37</w:t>
            </w:r>
          </w:p>
        </w:tc>
        <w:tc>
          <w:tcPr>
            <w:tcW w:w="374" w:type="pct"/>
            <w:tcBorders>
              <w:top w:val="single" w:sz="2" w:space="0" w:color="auto"/>
              <w:left w:val="single" w:sz="2" w:space="0" w:color="auto"/>
              <w:bottom w:val="single" w:sz="2" w:space="0" w:color="auto"/>
              <w:right w:val="single" w:sz="2" w:space="0" w:color="auto"/>
            </w:tcBorders>
            <w:vAlign w:val="center"/>
          </w:tcPr>
          <w:p w14:paraId="5E05097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-11,036,529.97</w:t>
            </w:r>
          </w:p>
        </w:tc>
        <w:tc>
          <w:tcPr>
            <w:tcW w:w="374" w:type="pct"/>
            <w:tcBorders>
              <w:top w:val="single" w:sz="2" w:space="0" w:color="auto"/>
              <w:left w:val="single" w:sz="2" w:space="0" w:color="auto"/>
              <w:bottom w:val="single" w:sz="2" w:space="0" w:color="auto"/>
              <w:right w:val="single" w:sz="2" w:space="0" w:color="auto"/>
            </w:tcBorders>
            <w:vAlign w:val="center"/>
          </w:tcPr>
          <w:p w14:paraId="024830A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5,753,498.24</w:t>
            </w:r>
          </w:p>
        </w:tc>
        <w:tc>
          <w:tcPr>
            <w:tcW w:w="374" w:type="pct"/>
            <w:tcBorders>
              <w:top w:val="single" w:sz="2" w:space="0" w:color="auto"/>
              <w:left w:val="single" w:sz="2" w:space="0" w:color="auto"/>
              <w:bottom w:val="single" w:sz="2" w:space="0" w:color="auto"/>
              <w:right w:val="single" w:sz="2" w:space="0" w:color="auto"/>
            </w:tcBorders>
            <w:vAlign w:val="center"/>
          </w:tcPr>
          <w:p w14:paraId="267F79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0364B62A"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9AD162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1037355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3106821B"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61BA196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-21,248,554.58</w:t>
            </w:r>
          </w:p>
        </w:tc>
      </w:tr>
      <w:tr w:rsidR="001D26E7" w:rsidRPr="00F614F9" w14:paraId="3C873B3A"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145A9F4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（三）利润分配</w:t>
            </w:r>
          </w:p>
        </w:tc>
        <w:tc>
          <w:tcPr>
            <w:tcW w:w="375" w:type="pct"/>
            <w:tcBorders>
              <w:top w:val="single" w:sz="2" w:space="0" w:color="auto"/>
              <w:left w:val="single" w:sz="2" w:space="0" w:color="auto"/>
              <w:bottom w:val="single" w:sz="2" w:space="0" w:color="auto"/>
              <w:right w:val="single" w:sz="2" w:space="0" w:color="auto"/>
            </w:tcBorders>
            <w:vAlign w:val="center"/>
          </w:tcPr>
          <w:p w14:paraId="739D890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5" w:type="pct"/>
            <w:tcBorders>
              <w:top w:val="single" w:sz="2" w:space="0" w:color="auto"/>
              <w:left w:val="single" w:sz="2" w:space="0" w:color="auto"/>
              <w:bottom w:val="single" w:sz="2" w:space="0" w:color="auto"/>
              <w:right w:val="single" w:sz="2" w:space="0" w:color="auto"/>
            </w:tcBorders>
            <w:vAlign w:val="center"/>
          </w:tcPr>
          <w:p w14:paraId="7D9E1B97"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5957873"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423AB2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60E6CF4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11AAA4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5A755D7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638FD3C8"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FBC7DE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1D37672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333,149.73</w:t>
            </w:r>
          </w:p>
        </w:tc>
        <w:tc>
          <w:tcPr>
            <w:tcW w:w="374" w:type="pct"/>
            <w:tcBorders>
              <w:top w:val="single" w:sz="2" w:space="0" w:color="auto"/>
              <w:left w:val="single" w:sz="2" w:space="0" w:color="auto"/>
              <w:bottom w:val="single" w:sz="2" w:space="0" w:color="auto"/>
              <w:right w:val="single" w:sz="2" w:space="0" w:color="auto"/>
            </w:tcBorders>
            <w:vAlign w:val="center"/>
          </w:tcPr>
          <w:p w14:paraId="717E1C23"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0E0A4F0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333,149.73</w:t>
            </w:r>
          </w:p>
        </w:tc>
      </w:tr>
      <w:tr w:rsidR="001D26E7" w:rsidRPr="00F614F9" w14:paraId="6D115731"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2AF7FEE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．提取盈余公</w:t>
            </w:r>
            <w:r w:rsidRPr="00F614F9">
              <w:rPr>
                <w:rFonts w:ascii="Times New Roman" w:eastAsia="宋体" w:hAnsi="Times New Roman" w:cs="宋体"/>
                <w:sz w:val="18"/>
                <w:szCs w:val="18"/>
              </w:rPr>
              <w:lastRenderedPageBreak/>
              <w:t>积</w:t>
            </w:r>
          </w:p>
        </w:tc>
        <w:tc>
          <w:tcPr>
            <w:tcW w:w="375" w:type="pct"/>
            <w:tcBorders>
              <w:top w:val="single" w:sz="2" w:space="0" w:color="auto"/>
              <w:left w:val="single" w:sz="2" w:space="0" w:color="auto"/>
              <w:bottom w:val="single" w:sz="2" w:space="0" w:color="auto"/>
              <w:right w:val="single" w:sz="2" w:space="0" w:color="auto"/>
            </w:tcBorders>
            <w:vAlign w:val="center"/>
          </w:tcPr>
          <w:p w14:paraId="06FBC8A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lastRenderedPageBreak/>
              <w:t>0.00</w:t>
            </w:r>
          </w:p>
        </w:tc>
        <w:tc>
          <w:tcPr>
            <w:tcW w:w="375" w:type="pct"/>
            <w:tcBorders>
              <w:top w:val="single" w:sz="2" w:space="0" w:color="auto"/>
              <w:left w:val="single" w:sz="2" w:space="0" w:color="auto"/>
              <w:bottom w:val="single" w:sz="2" w:space="0" w:color="auto"/>
              <w:right w:val="single" w:sz="2" w:space="0" w:color="auto"/>
            </w:tcBorders>
            <w:vAlign w:val="center"/>
          </w:tcPr>
          <w:p w14:paraId="044D807E"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C4722BD"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400C72A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3896F07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11930A5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5100D6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282CAC6A"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4DF374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125941D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053EB54A"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51BD7A8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48E9A2AD"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4D4AD2B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．对所有者（或股东）的分配</w:t>
            </w:r>
          </w:p>
        </w:tc>
        <w:tc>
          <w:tcPr>
            <w:tcW w:w="375" w:type="pct"/>
            <w:tcBorders>
              <w:top w:val="single" w:sz="2" w:space="0" w:color="auto"/>
              <w:left w:val="single" w:sz="2" w:space="0" w:color="auto"/>
              <w:bottom w:val="single" w:sz="2" w:space="0" w:color="auto"/>
              <w:right w:val="single" w:sz="2" w:space="0" w:color="auto"/>
            </w:tcBorders>
            <w:vAlign w:val="center"/>
          </w:tcPr>
          <w:p w14:paraId="4A8256C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5" w:type="pct"/>
            <w:tcBorders>
              <w:top w:val="single" w:sz="2" w:space="0" w:color="auto"/>
              <w:left w:val="single" w:sz="2" w:space="0" w:color="auto"/>
              <w:bottom w:val="single" w:sz="2" w:space="0" w:color="auto"/>
              <w:right w:val="single" w:sz="2" w:space="0" w:color="auto"/>
            </w:tcBorders>
            <w:vAlign w:val="center"/>
          </w:tcPr>
          <w:p w14:paraId="0547CEC9"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ED4BB3B"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321F817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7DB7044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712B10C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1C2F49C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5D2E4D01"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44D06E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74" w:type="pct"/>
            <w:tcBorders>
              <w:top w:val="single" w:sz="2" w:space="0" w:color="auto"/>
              <w:left w:val="single" w:sz="2" w:space="0" w:color="auto"/>
              <w:bottom w:val="single" w:sz="2" w:space="0" w:color="auto"/>
              <w:right w:val="single" w:sz="2" w:space="0" w:color="auto"/>
            </w:tcBorders>
            <w:vAlign w:val="center"/>
          </w:tcPr>
          <w:p w14:paraId="2A0F19E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333,149.73</w:t>
            </w:r>
          </w:p>
        </w:tc>
        <w:tc>
          <w:tcPr>
            <w:tcW w:w="374" w:type="pct"/>
            <w:tcBorders>
              <w:top w:val="single" w:sz="2" w:space="0" w:color="auto"/>
              <w:left w:val="single" w:sz="2" w:space="0" w:color="auto"/>
              <w:bottom w:val="single" w:sz="2" w:space="0" w:color="auto"/>
              <w:right w:val="single" w:sz="2" w:space="0" w:color="auto"/>
            </w:tcBorders>
            <w:vAlign w:val="center"/>
          </w:tcPr>
          <w:p w14:paraId="20614CB2"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4FC80EB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333,149.73</w:t>
            </w:r>
          </w:p>
        </w:tc>
      </w:tr>
      <w:tr w:rsidR="001D26E7" w:rsidRPr="00F614F9" w14:paraId="1CB45536"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4612AE0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．其他</w:t>
            </w:r>
          </w:p>
        </w:tc>
        <w:tc>
          <w:tcPr>
            <w:tcW w:w="375" w:type="pct"/>
            <w:tcBorders>
              <w:top w:val="single" w:sz="2" w:space="0" w:color="auto"/>
              <w:left w:val="single" w:sz="2" w:space="0" w:color="auto"/>
              <w:bottom w:val="single" w:sz="2" w:space="0" w:color="auto"/>
              <w:right w:val="single" w:sz="2" w:space="0" w:color="auto"/>
            </w:tcBorders>
            <w:vAlign w:val="center"/>
          </w:tcPr>
          <w:p w14:paraId="55AAFA97"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1B5C479A"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E33A321"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5E060E11"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9567D4A"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61154EC"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1F3E829"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51E1B46"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F0936F9"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F8EF9E7"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B15C7BE"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1D9CA00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3DF7D58"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4D35A73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（四）所有者权益内部结转</w:t>
            </w:r>
          </w:p>
        </w:tc>
        <w:tc>
          <w:tcPr>
            <w:tcW w:w="375" w:type="pct"/>
            <w:tcBorders>
              <w:top w:val="single" w:sz="2" w:space="0" w:color="auto"/>
              <w:left w:val="single" w:sz="2" w:space="0" w:color="auto"/>
              <w:bottom w:val="single" w:sz="2" w:space="0" w:color="auto"/>
              <w:right w:val="single" w:sz="2" w:space="0" w:color="auto"/>
            </w:tcBorders>
            <w:vAlign w:val="center"/>
          </w:tcPr>
          <w:p w14:paraId="1E5D0ECD"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730D80D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813FAE3"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618CC761"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0C9CA2C"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85DF67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7C41BA7"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9659DE6"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A675E4B"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A991FA3"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F5F997D"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5190321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6C7AC5E"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4FD867A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．资本公积转增资本（或股本）</w:t>
            </w:r>
          </w:p>
        </w:tc>
        <w:tc>
          <w:tcPr>
            <w:tcW w:w="375" w:type="pct"/>
            <w:tcBorders>
              <w:top w:val="single" w:sz="2" w:space="0" w:color="auto"/>
              <w:left w:val="single" w:sz="2" w:space="0" w:color="auto"/>
              <w:bottom w:val="single" w:sz="2" w:space="0" w:color="auto"/>
              <w:right w:val="single" w:sz="2" w:space="0" w:color="auto"/>
            </w:tcBorders>
            <w:vAlign w:val="center"/>
          </w:tcPr>
          <w:p w14:paraId="3C0CF424"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57FEE2B1"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84B836E"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33FDF8B7"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13B5195"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BB5977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07FD3D9"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2EEE0BC"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13048E9"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46A10D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41443FF"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28816335"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AFAAD91"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352C49E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．盈余公积转增资本（或股本）</w:t>
            </w:r>
          </w:p>
        </w:tc>
        <w:tc>
          <w:tcPr>
            <w:tcW w:w="375" w:type="pct"/>
            <w:tcBorders>
              <w:top w:val="single" w:sz="2" w:space="0" w:color="auto"/>
              <w:left w:val="single" w:sz="2" w:space="0" w:color="auto"/>
              <w:bottom w:val="single" w:sz="2" w:space="0" w:color="auto"/>
              <w:right w:val="single" w:sz="2" w:space="0" w:color="auto"/>
            </w:tcBorders>
            <w:vAlign w:val="center"/>
          </w:tcPr>
          <w:p w14:paraId="7F1BB56C"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650BEB44"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54D7370"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57523A19"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88BA395"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00F3E14"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3CD72E4"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BBD3E6A"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6103B14"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7B74E8D"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E4D3A5C"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33C4ABAC"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224F48D"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1DE1637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．盈余公积弥补亏损</w:t>
            </w:r>
          </w:p>
        </w:tc>
        <w:tc>
          <w:tcPr>
            <w:tcW w:w="375" w:type="pct"/>
            <w:tcBorders>
              <w:top w:val="single" w:sz="2" w:space="0" w:color="auto"/>
              <w:left w:val="single" w:sz="2" w:space="0" w:color="auto"/>
              <w:bottom w:val="single" w:sz="2" w:space="0" w:color="auto"/>
              <w:right w:val="single" w:sz="2" w:space="0" w:color="auto"/>
            </w:tcBorders>
            <w:vAlign w:val="center"/>
          </w:tcPr>
          <w:p w14:paraId="6AB203F4"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4A4E902A"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2FD8402"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12BE1805"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1AC42BF"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8896570"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A056189"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B7BBB88"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4D62680"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68FCB06"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56C8CCF"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30629CC5"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463FF1E"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6EC6ADE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．设定受益计划变动额结转留存收益</w:t>
            </w:r>
          </w:p>
        </w:tc>
        <w:tc>
          <w:tcPr>
            <w:tcW w:w="375" w:type="pct"/>
            <w:tcBorders>
              <w:top w:val="single" w:sz="2" w:space="0" w:color="auto"/>
              <w:left w:val="single" w:sz="2" w:space="0" w:color="auto"/>
              <w:bottom w:val="single" w:sz="2" w:space="0" w:color="auto"/>
              <w:right w:val="single" w:sz="2" w:space="0" w:color="auto"/>
            </w:tcBorders>
            <w:vAlign w:val="center"/>
          </w:tcPr>
          <w:p w14:paraId="570A20E0"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3A9C26CA"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388DF10"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04E22DD3"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404B64A"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3D22F63"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170E891"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396E967"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F84EF6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9E049B5"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C788D0E"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27C825E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E2C0880"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4B3EEBB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5</w:t>
            </w:r>
            <w:r w:rsidRPr="00F614F9">
              <w:rPr>
                <w:rFonts w:ascii="Times New Roman" w:eastAsia="宋体" w:hAnsi="Times New Roman" w:cs="宋体"/>
                <w:sz w:val="18"/>
                <w:szCs w:val="18"/>
              </w:rPr>
              <w:t>．其他综合收益结转留存收益</w:t>
            </w:r>
          </w:p>
        </w:tc>
        <w:tc>
          <w:tcPr>
            <w:tcW w:w="375" w:type="pct"/>
            <w:tcBorders>
              <w:top w:val="single" w:sz="2" w:space="0" w:color="auto"/>
              <w:left w:val="single" w:sz="2" w:space="0" w:color="auto"/>
              <w:bottom w:val="single" w:sz="2" w:space="0" w:color="auto"/>
              <w:right w:val="single" w:sz="2" w:space="0" w:color="auto"/>
            </w:tcBorders>
            <w:vAlign w:val="center"/>
          </w:tcPr>
          <w:p w14:paraId="47E52F02"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3E4938AB"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A0FC2E7"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69B4D608"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983E0FF"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35B8CA6"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A2F995D"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F1B758D"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B798A3A"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0B88B0B"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2BAF2C5"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69005E3C"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7CCA7EA"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0A4EF52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6</w:t>
            </w:r>
            <w:r w:rsidRPr="00F614F9">
              <w:rPr>
                <w:rFonts w:ascii="Times New Roman" w:eastAsia="宋体" w:hAnsi="Times New Roman" w:cs="宋体"/>
                <w:sz w:val="18"/>
                <w:szCs w:val="18"/>
              </w:rPr>
              <w:t>．其他</w:t>
            </w:r>
          </w:p>
        </w:tc>
        <w:tc>
          <w:tcPr>
            <w:tcW w:w="375" w:type="pct"/>
            <w:tcBorders>
              <w:top w:val="single" w:sz="2" w:space="0" w:color="auto"/>
              <w:left w:val="single" w:sz="2" w:space="0" w:color="auto"/>
              <w:bottom w:val="single" w:sz="2" w:space="0" w:color="auto"/>
              <w:right w:val="single" w:sz="2" w:space="0" w:color="auto"/>
            </w:tcBorders>
            <w:vAlign w:val="center"/>
          </w:tcPr>
          <w:p w14:paraId="121F0301"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4AC2F52F"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444F247"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540F5E57"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CA3138F"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7323AA0"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CFFF8B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2F4A61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E93DF78"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9F1041E"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E37C0BF"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6BEA550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6CDD89A"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215282A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（五）专项储备</w:t>
            </w:r>
          </w:p>
        </w:tc>
        <w:tc>
          <w:tcPr>
            <w:tcW w:w="375" w:type="pct"/>
            <w:tcBorders>
              <w:top w:val="single" w:sz="2" w:space="0" w:color="auto"/>
              <w:left w:val="single" w:sz="2" w:space="0" w:color="auto"/>
              <w:bottom w:val="single" w:sz="2" w:space="0" w:color="auto"/>
              <w:right w:val="single" w:sz="2" w:space="0" w:color="auto"/>
            </w:tcBorders>
            <w:vAlign w:val="center"/>
          </w:tcPr>
          <w:p w14:paraId="756B989C"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3BCA853E"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3667D01"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6DD67543"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75D8CBD"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AED232D"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66B3A2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AA1FA73"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311EE49"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1EF3E90"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23FDE32"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173C13BC"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FD31E5F"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51FB8CD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．本期提取</w:t>
            </w:r>
          </w:p>
        </w:tc>
        <w:tc>
          <w:tcPr>
            <w:tcW w:w="375" w:type="pct"/>
            <w:tcBorders>
              <w:top w:val="single" w:sz="2" w:space="0" w:color="auto"/>
              <w:left w:val="single" w:sz="2" w:space="0" w:color="auto"/>
              <w:bottom w:val="single" w:sz="2" w:space="0" w:color="auto"/>
              <w:right w:val="single" w:sz="2" w:space="0" w:color="auto"/>
            </w:tcBorders>
            <w:vAlign w:val="center"/>
          </w:tcPr>
          <w:p w14:paraId="3A563E50"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19A15DBA"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E957A2A"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277C960B"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194F657"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ABB5958"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05F7AFC"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9FDCC51"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894372A"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9151228"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86688CF"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509B45D7"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6063541"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1141177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．本期使用</w:t>
            </w:r>
          </w:p>
        </w:tc>
        <w:tc>
          <w:tcPr>
            <w:tcW w:w="375" w:type="pct"/>
            <w:tcBorders>
              <w:top w:val="single" w:sz="2" w:space="0" w:color="auto"/>
              <w:left w:val="single" w:sz="2" w:space="0" w:color="auto"/>
              <w:bottom w:val="single" w:sz="2" w:space="0" w:color="auto"/>
              <w:right w:val="single" w:sz="2" w:space="0" w:color="auto"/>
            </w:tcBorders>
            <w:vAlign w:val="center"/>
          </w:tcPr>
          <w:p w14:paraId="092E6BA1"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54E3BDD4"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FF64CA6"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66E765F4"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63F1FD3"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EB4C7DB"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863ED1C"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C8C08C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23390685"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DBBE286"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BEE1017"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46EBFAE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08BCFD5"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1735F2A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（六）其他</w:t>
            </w:r>
          </w:p>
        </w:tc>
        <w:tc>
          <w:tcPr>
            <w:tcW w:w="375" w:type="pct"/>
            <w:tcBorders>
              <w:top w:val="single" w:sz="2" w:space="0" w:color="auto"/>
              <w:left w:val="single" w:sz="2" w:space="0" w:color="auto"/>
              <w:bottom w:val="single" w:sz="2" w:space="0" w:color="auto"/>
              <w:right w:val="single" w:sz="2" w:space="0" w:color="auto"/>
            </w:tcBorders>
            <w:vAlign w:val="center"/>
          </w:tcPr>
          <w:p w14:paraId="0BABBE8D"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56B9E9AF"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546BCD6"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75C7248C"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73D201A6"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5A9621A2"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C952615"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0E2D27E"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68B1DD99"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0A8F2EC5"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3201FC88"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1141B36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BC23AB5" w14:textId="77777777" w:rsidTr="006C7FCA">
        <w:trPr>
          <w:trHeight w:val="240"/>
          <w:jc w:val="center"/>
        </w:trPr>
        <w:tc>
          <w:tcPr>
            <w:tcW w:w="503" w:type="pct"/>
            <w:tcBorders>
              <w:top w:val="single" w:sz="2" w:space="0" w:color="auto"/>
              <w:left w:val="single" w:sz="2" w:space="0" w:color="auto"/>
              <w:bottom w:val="single" w:sz="2" w:space="0" w:color="auto"/>
              <w:right w:val="single" w:sz="2" w:space="0" w:color="auto"/>
            </w:tcBorders>
            <w:shd w:val="clear" w:color="auto" w:fill="D3D3D3"/>
            <w:vAlign w:val="center"/>
          </w:tcPr>
          <w:p w14:paraId="2EB0E35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四、本期期末余额</w:t>
            </w:r>
          </w:p>
        </w:tc>
        <w:tc>
          <w:tcPr>
            <w:tcW w:w="375" w:type="pct"/>
            <w:tcBorders>
              <w:top w:val="single" w:sz="2" w:space="0" w:color="auto"/>
              <w:left w:val="single" w:sz="2" w:space="0" w:color="auto"/>
              <w:bottom w:val="single" w:sz="2" w:space="0" w:color="auto"/>
              <w:right w:val="single" w:sz="2" w:space="0" w:color="auto"/>
            </w:tcBorders>
            <w:vAlign w:val="center"/>
          </w:tcPr>
          <w:p w14:paraId="530D521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1,079,128,488.00</w:t>
            </w:r>
          </w:p>
        </w:tc>
        <w:tc>
          <w:tcPr>
            <w:tcW w:w="375" w:type="pct"/>
            <w:tcBorders>
              <w:top w:val="single" w:sz="2" w:space="0" w:color="auto"/>
              <w:left w:val="single" w:sz="2" w:space="0" w:color="auto"/>
              <w:bottom w:val="single" w:sz="2" w:space="0" w:color="auto"/>
              <w:right w:val="single" w:sz="2" w:space="0" w:color="auto"/>
            </w:tcBorders>
            <w:vAlign w:val="center"/>
          </w:tcPr>
          <w:p w14:paraId="41136159"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1F8A6C20" w14:textId="77777777" w:rsidR="001D26E7" w:rsidRPr="00F614F9" w:rsidRDefault="001D26E7">
            <w:pPr>
              <w:spacing w:line="240" w:lineRule="exact"/>
              <w:jc w:val="right"/>
              <w:rPr>
                <w:rFonts w:ascii="Times New Roman" w:eastAsia="宋体" w:hAnsi="Times New Roman" w:cs="宋体"/>
                <w:sz w:val="18"/>
                <w:szCs w:val="18"/>
              </w:rPr>
            </w:pPr>
          </w:p>
        </w:tc>
        <w:tc>
          <w:tcPr>
            <w:tcW w:w="375" w:type="pct"/>
            <w:tcBorders>
              <w:top w:val="single" w:sz="2" w:space="0" w:color="auto"/>
              <w:left w:val="single" w:sz="2" w:space="0" w:color="auto"/>
              <w:bottom w:val="single" w:sz="2" w:space="0" w:color="auto"/>
              <w:right w:val="single" w:sz="2" w:space="0" w:color="auto"/>
            </w:tcBorders>
            <w:vAlign w:val="center"/>
          </w:tcPr>
          <w:p w14:paraId="1C62C47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171,571,679.93</w:t>
            </w:r>
          </w:p>
        </w:tc>
        <w:tc>
          <w:tcPr>
            <w:tcW w:w="374" w:type="pct"/>
            <w:tcBorders>
              <w:top w:val="single" w:sz="2" w:space="0" w:color="auto"/>
              <w:left w:val="single" w:sz="2" w:space="0" w:color="auto"/>
              <w:bottom w:val="single" w:sz="2" w:space="0" w:color="auto"/>
              <w:right w:val="single" w:sz="2" w:space="0" w:color="auto"/>
            </w:tcBorders>
            <w:vAlign w:val="center"/>
          </w:tcPr>
          <w:p w14:paraId="1417F5F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830,246,509.95</w:t>
            </w:r>
          </w:p>
        </w:tc>
        <w:tc>
          <w:tcPr>
            <w:tcW w:w="374" w:type="pct"/>
            <w:tcBorders>
              <w:top w:val="single" w:sz="2" w:space="0" w:color="auto"/>
              <w:left w:val="single" w:sz="2" w:space="0" w:color="auto"/>
              <w:bottom w:val="single" w:sz="2" w:space="0" w:color="auto"/>
              <w:right w:val="single" w:sz="2" w:space="0" w:color="auto"/>
            </w:tcBorders>
            <w:vAlign w:val="center"/>
          </w:tcPr>
          <w:p w14:paraId="76435A9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37,244,672.24</w:t>
            </w:r>
          </w:p>
        </w:tc>
        <w:tc>
          <w:tcPr>
            <w:tcW w:w="374" w:type="pct"/>
            <w:tcBorders>
              <w:top w:val="single" w:sz="2" w:space="0" w:color="auto"/>
              <w:left w:val="single" w:sz="2" w:space="0" w:color="auto"/>
              <w:bottom w:val="single" w:sz="2" w:space="0" w:color="auto"/>
              <w:right w:val="single" w:sz="2" w:space="0" w:color="auto"/>
            </w:tcBorders>
            <w:vAlign w:val="center"/>
          </w:tcPr>
          <w:p w14:paraId="10F85C7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-11,777,820.33</w:t>
            </w:r>
          </w:p>
        </w:tc>
        <w:tc>
          <w:tcPr>
            <w:tcW w:w="374" w:type="pct"/>
            <w:tcBorders>
              <w:top w:val="single" w:sz="2" w:space="0" w:color="auto"/>
              <w:left w:val="single" w:sz="2" w:space="0" w:color="auto"/>
              <w:bottom w:val="single" w:sz="2" w:space="0" w:color="auto"/>
              <w:right w:val="single" w:sz="2" w:space="0" w:color="auto"/>
            </w:tcBorders>
            <w:vAlign w:val="center"/>
          </w:tcPr>
          <w:p w14:paraId="22FFAE20" w14:textId="77777777" w:rsidR="001D26E7" w:rsidRPr="00F614F9" w:rsidRDefault="001D26E7">
            <w:pPr>
              <w:spacing w:line="240" w:lineRule="exact"/>
              <w:jc w:val="right"/>
              <w:rPr>
                <w:rFonts w:ascii="Times New Roman" w:eastAsia="宋体" w:hAnsi="Times New Roman" w:cs="宋体"/>
                <w:sz w:val="18"/>
                <w:szCs w:val="18"/>
              </w:rPr>
            </w:pPr>
          </w:p>
        </w:tc>
        <w:tc>
          <w:tcPr>
            <w:tcW w:w="374" w:type="pct"/>
            <w:tcBorders>
              <w:top w:val="single" w:sz="2" w:space="0" w:color="auto"/>
              <w:left w:val="single" w:sz="2" w:space="0" w:color="auto"/>
              <w:bottom w:val="single" w:sz="2" w:space="0" w:color="auto"/>
              <w:right w:val="single" w:sz="2" w:space="0" w:color="auto"/>
            </w:tcBorders>
            <w:vAlign w:val="center"/>
          </w:tcPr>
          <w:p w14:paraId="45C7CF4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263,717,929.16</w:t>
            </w:r>
          </w:p>
        </w:tc>
        <w:tc>
          <w:tcPr>
            <w:tcW w:w="374" w:type="pct"/>
            <w:tcBorders>
              <w:top w:val="single" w:sz="2" w:space="0" w:color="auto"/>
              <w:left w:val="single" w:sz="2" w:space="0" w:color="auto"/>
              <w:bottom w:val="single" w:sz="2" w:space="0" w:color="auto"/>
              <w:right w:val="single" w:sz="2" w:space="0" w:color="auto"/>
            </w:tcBorders>
            <w:vAlign w:val="center"/>
          </w:tcPr>
          <w:p w14:paraId="1D66AAF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15,171,713.72</w:t>
            </w:r>
          </w:p>
        </w:tc>
        <w:tc>
          <w:tcPr>
            <w:tcW w:w="374" w:type="pct"/>
            <w:tcBorders>
              <w:top w:val="single" w:sz="2" w:space="0" w:color="auto"/>
              <w:left w:val="single" w:sz="2" w:space="0" w:color="auto"/>
              <w:bottom w:val="single" w:sz="2" w:space="0" w:color="auto"/>
              <w:right w:val="single" w:sz="2" w:space="0" w:color="auto"/>
            </w:tcBorders>
            <w:vAlign w:val="center"/>
          </w:tcPr>
          <w:p w14:paraId="06BA4C22" w14:textId="77777777" w:rsidR="001D26E7" w:rsidRPr="00F614F9" w:rsidRDefault="001D26E7">
            <w:pPr>
              <w:spacing w:line="240" w:lineRule="exact"/>
              <w:jc w:val="right"/>
              <w:rPr>
                <w:rFonts w:ascii="Times New Roman" w:eastAsia="宋体" w:hAnsi="Times New Roman" w:cs="宋体"/>
                <w:sz w:val="18"/>
                <w:szCs w:val="18"/>
              </w:rPr>
            </w:pPr>
          </w:p>
        </w:tc>
        <w:tc>
          <w:tcPr>
            <w:tcW w:w="377" w:type="pct"/>
            <w:tcBorders>
              <w:top w:val="single" w:sz="2" w:space="0" w:color="auto"/>
              <w:left w:val="single" w:sz="2" w:space="0" w:color="auto"/>
              <w:bottom w:val="single" w:sz="2" w:space="0" w:color="auto"/>
              <w:right w:val="single" w:sz="2" w:space="0" w:color="auto"/>
            </w:tcBorders>
            <w:vAlign w:val="center"/>
          </w:tcPr>
          <w:p w14:paraId="34076BE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2,310,813,828.19</w:t>
            </w:r>
          </w:p>
        </w:tc>
      </w:tr>
    </w:tbl>
    <w:p w14:paraId="0552EC6D" w14:textId="77777777" w:rsidR="006C7FCA" w:rsidRPr="00F614F9" w:rsidRDefault="006C7FCA" w:rsidP="006C7FCA">
      <w:pPr>
        <w:rPr>
          <w:rFonts w:ascii="Times New Roman" w:hAnsi="Times New Roman"/>
        </w:rPr>
        <w:sectPr w:rsidR="006C7FCA" w:rsidRPr="00F614F9" w:rsidSect="00732DE1">
          <w:pgSz w:w="16840" w:h="11905" w:orient="landscape"/>
          <w:pgMar w:top="1134" w:right="1440" w:bottom="1134" w:left="1440" w:header="850" w:footer="992" w:gutter="0"/>
          <w:cols w:space="720"/>
          <w:docGrid w:type="linesAndChars" w:linePitch="312"/>
        </w:sectPr>
      </w:pPr>
      <w:bookmarkStart w:id="244" w:name="_Toc989062"/>
    </w:p>
    <w:p w14:paraId="5944CDB0" w14:textId="77777777" w:rsidR="006C7FCA" w:rsidRPr="00F614F9" w:rsidRDefault="006C7FCA" w:rsidP="006C7FCA">
      <w:pPr>
        <w:rPr>
          <w:rFonts w:ascii="Times New Roman" w:hAnsi="Times New Roman"/>
        </w:rPr>
      </w:pPr>
    </w:p>
    <w:p w14:paraId="3F93CCB4"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245" w:name="_Toc164024824"/>
      <w:r w:rsidRPr="00F614F9">
        <w:rPr>
          <w:rFonts w:ascii="Times New Roman" w:eastAsia="宋体" w:hAnsi="Times New Roman" w:cs="宋体"/>
          <w:b/>
          <w:bCs/>
          <w:sz w:val="24"/>
          <w:szCs w:val="24"/>
        </w:rPr>
        <w:t>三、公司基本情况</w:t>
      </w:r>
      <w:bookmarkEnd w:id="244"/>
      <w:bookmarkEnd w:id="245"/>
    </w:p>
    <w:p w14:paraId="2420E138" w14:textId="77777777" w:rsidR="00872599" w:rsidRPr="00F614F9" w:rsidRDefault="00000000" w:rsidP="006C7FCA">
      <w:pPr>
        <w:pStyle w:val="a3"/>
        <w:spacing w:before="0" w:beforeAutospacing="0" w:after="0" w:afterAutospacing="0" w:line="276" w:lineRule="auto"/>
        <w:ind w:firstLine="360"/>
        <w:jc w:val="both"/>
        <w:divId w:val="1225600632"/>
        <w:rPr>
          <w:rFonts w:ascii="Times New Roman" w:hAnsi="Times New Roman" w:cs="Times New Roman"/>
          <w:sz w:val="21"/>
          <w:szCs w:val="21"/>
        </w:rPr>
      </w:pPr>
      <w:r w:rsidRPr="00F614F9">
        <w:rPr>
          <w:rFonts w:ascii="Times New Roman" w:hAnsi="Times New Roman" w:cs="Times New Roman" w:hint="eastAsia"/>
          <w:sz w:val="18"/>
          <w:szCs w:val="18"/>
        </w:rPr>
        <w:t>山东龙大美食股份有限公司（以下简称“本公司”或“公司”）于</w:t>
      </w:r>
      <w:r w:rsidRPr="00F614F9">
        <w:rPr>
          <w:rFonts w:ascii="Times New Roman" w:hAnsi="Times New Roman" w:cs="Times New Roman" w:hint="eastAsia"/>
          <w:sz w:val="18"/>
          <w:szCs w:val="18"/>
        </w:rPr>
        <w:t>2003</w:t>
      </w:r>
      <w:r w:rsidRPr="00F614F9">
        <w:rPr>
          <w:rFonts w:ascii="Times New Roman" w:hAnsi="Times New Roman" w:cs="Times New Roman" w:hint="eastAsia"/>
          <w:sz w:val="18"/>
          <w:szCs w:val="18"/>
        </w:rPr>
        <w:t>年</w:t>
      </w:r>
      <w:r w:rsidRPr="00F614F9">
        <w:rPr>
          <w:rFonts w:ascii="Times New Roman" w:hAnsi="Times New Roman" w:cs="Times New Roman" w:hint="eastAsia"/>
          <w:sz w:val="18"/>
          <w:szCs w:val="18"/>
        </w:rPr>
        <w:t>7</w:t>
      </w:r>
      <w:r w:rsidRPr="00F614F9">
        <w:rPr>
          <w:rFonts w:ascii="Times New Roman" w:hAnsi="Times New Roman" w:cs="Times New Roman" w:hint="eastAsia"/>
          <w:sz w:val="18"/>
          <w:szCs w:val="18"/>
        </w:rPr>
        <w:t>月在山东省莱阳市食品工业</w:t>
      </w:r>
      <w:proofErr w:type="gramStart"/>
      <w:r w:rsidRPr="00F614F9">
        <w:rPr>
          <w:rFonts w:ascii="Times New Roman" w:hAnsi="Times New Roman" w:cs="Times New Roman" w:hint="eastAsia"/>
          <w:sz w:val="18"/>
          <w:szCs w:val="18"/>
        </w:rPr>
        <w:t>园注册</w:t>
      </w:r>
      <w:proofErr w:type="gramEnd"/>
      <w:r w:rsidRPr="00F614F9">
        <w:rPr>
          <w:rFonts w:ascii="Times New Roman" w:hAnsi="Times New Roman" w:cs="Times New Roman" w:hint="eastAsia"/>
          <w:sz w:val="18"/>
          <w:szCs w:val="18"/>
        </w:rPr>
        <w:t>成立。总部位于山东省莱阳市龙门东路</w:t>
      </w:r>
      <w:r w:rsidRPr="00F614F9">
        <w:rPr>
          <w:rFonts w:ascii="Times New Roman" w:hAnsi="Times New Roman" w:cs="Times New Roman" w:hint="eastAsia"/>
          <w:sz w:val="18"/>
          <w:szCs w:val="18"/>
        </w:rPr>
        <w:t>99</w:t>
      </w:r>
      <w:r w:rsidRPr="00F614F9">
        <w:rPr>
          <w:rFonts w:ascii="Times New Roman" w:hAnsi="Times New Roman" w:cs="Times New Roman" w:hint="eastAsia"/>
          <w:sz w:val="18"/>
          <w:szCs w:val="18"/>
        </w:rPr>
        <w:t>号。</w:t>
      </w:r>
    </w:p>
    <w:p w14:paraId="1C6CF44B" w14:textId="77777777" w:rsidR="00872599" w:rsidRPr="00F614F9" w:rsidRDefault="00000000" w:rsidP="006C7FCA">
      <w:pPr>
        <w:pStyle w:val="a3"/>
        <w:spacing w:before="0" w:beforeAutospacing="0" w:after="0" w:afterAutospacing="0" w:line="276" w:lineRule="auto"/>
        <w:ind w:firstLine="360"/>
        <w:jc w:val="both"/>
        <w:divId w:val="1225600632"/>
        <w:rPr>
          <w:rFonts w:ascii="Times New Roman" w:hAnsi="Times New Roman" w:cs="Times New Roman"/>
          <w:sz w:val="21"/>
          <w:szCs w:val="21"/>
        </w:rPr>
      </w:pPr>
      <w:r w:rsidRPr="00F614F9">
        <w:rPr>
          <w:rFonts w:ascii="Times New Roman" w:hAnsi="Times New Roman" w:cs="Times New Roman" w:hint="eastAsia"/>
          <w:sz w:val="18"/>
          <w:szCs w:val="18"/>
        </w:rPr>
        <w:t>本公司及各子公司（统称“本集团”）主要从事屠宰、肉类加工业及进口贸易。</w:t>
      </w:r>
    </w:p>
    <w:p w14:paraId="1AE497A6" w14:textId="77777777" w:rsidR="00872599" w:rsidRPr="00F614F9" w:rsidRDefault="00000000" w:rsidP="006C7FCA">
      <w:pPr>
        <w:pStyle w:val="a3"/>
        <w:spacing w:before="0" w:beforeAutospacing="0" w:after="0" w:afterAutospacing="0" w:line="276" w:lineRule="auto"/>
        <w:ind w:firstLine="360"/>
        <w:jc w:val="both"/>
        <w:divId w:val="1225600632"/>
        <w:rPr>
          <w:rFonts w:ascii="Times New Roman" w:hAnsi="Times New Roman" w:cs="Times New Roman"/>
          <w:sz w:val="21"/>
          <w:szCs w:val="21"/>
        </w:rPr>
      </w:pPr>
      <w:r w:rsidRPr="00F614F9">
        <w:rPr>
          <w:rFonts w:ascii="Times New Roman" w:hAnsi="Times New Roman" w:cs="Times New Roman" w:hint="eastAsia"/>
          <w:sz w:val="18"/>
          <w:szCs w:val="18"/>
        </w:rPr>
        <w:t>本财务报表业经本公司董事会于</w:t>
      </w:r>
      <w:r w:rsidRPr="00F614F9">
        <w:rPr>
          <w:rFonts w:ascii="Times New Roman" w:hAnsi="Times New Roman" w:cs="Times New Roman" w:hint="eastAsia"/>
          <w:sz w:val="18"/>
          <w:szCs w:val="18"/>
        </w:rPr>
        <w:t>2024</w:t>
      </w:r>
      <w:r w:rsidRPr="00F614F9">
        <w:rPr>
          <w:rFonts w:ascii="Times New Roman" w:hAnsi="Times New Roman" w:cs="Times New Roman" w:hint="eastAsia"/>
          <w:sz w:val="18"/>
          <w:szCs w:val="18"/>
        </w:rPr>
        <w:t>年</w:t>
      </w:r>
      <w:r w:rsidRPr="00F614F9">
        <w:rPr>
          <w:rFonts w:ascii="Times New Roman" w:hAnsi="Times New Roman" w:cs="Times New Roman" w:hint="eastAsia"/>
          <w:sz w:val="18"/>
          <w:szCs w:val="18"/>
        </w:rPr>
        <w:t>04</w:t>
      </w:r>
      <w:r w:rsidRPr="00F614F9">
        <w:rPr>
          <w:rFonts w:ascii="Times New Roman" w:hAnsi="Times New Roman" w:cs="Times New Roman" w:hint="eastAsia"/>
          <w:sz w:val="18"/>
          <w:szCs w:val="18"/>
        </w:rPr>
        <w:t>月</w:t>
      </w:r>
      <w:r w:rsidRPr="00F614F9">
        <w:rPr>
          <w:rFonts w:ascii="Times New Roman" w:hAnsi="Times New Roman" w:cs="Times New Roman" w:hint="eastAsia"/>
          <w:sz w:val="18"/>
          <w:szCs w:val="18"/>
        </w:rPr>
        <w:t>15</w:t>
      </w:r>
      <w:r w:rsidRPr="00F614F9">
        <w:rPr>
          <w:rFonts w:ascii="Times New Roman" w:hAnsi="Times New Roman" w:cs="Times New Roman" w:hint="eastAsia"/>
          <w:sz w:val="18"/>
          <w:szCs w:val="18"/>
        </w:rPr>
        <w:t>日决议批准报出。</w:t>
      </w:r>
    </w:p>
    <w:p w14:paraId="4E9A69D6" w14:textId="77777777" w:rsidR="00872599" w:rsidRPr="00F614F9" w:rsidRDefault="00000000" w:rsidP="006C7FCA">
      <w:pPr>
        <w:pStyle w:val="a3"/>
        <w:spacing w:before="0" w:beforeAutospacing="0" w:after="0" w:afterAutospacing="0" w:line="276" w:lineRule="auto"/>
        <w:ind w:firstLine="360"/>
        <w:jc w:val="both"/>
        <w:divId w:val="1225600632"/>
        <w:rPr>
          <w:rFonts w:ascii="Times New Roman" w:hAnsi="Times New Roman" w:cs="Times New Roman"/>
          <w:sz w:val="21"/>
          <w:szCs w:val="21"/>
        </w:rPr>
      </w:pPr>
      <w:r w:rsidRPr="00F614F9">
        <w:rPr>
          <w:rFonts w:ascii="Times New Roman" w:hAnsi="Times New Roman" w:cs="Times New Roman" w:hint="eastAsia"/>
          <w:sz w:val="18"/>
          <w:szCs w:val="18"/>
        </w:rPr>
        <w:t>截至</w:t>
      </w:r>
      <w:r w:rsidRPr="00F614F9">
        <w:rPr>
          <w:rFonts w:ascii="Times New Roman" w:hAnsi="Times New Roman" w:cs="Times New Roman" w:hint="eastAsia"/>
          <w:sz w:val="18"/>
          <w:szCs w:val="18"/>
        </w:rPr>
        <w:t>2023</w:t>
      </w:r>
      <w:r w:rsidRPr="00F614F9">
        <w:rPr>
          <w:rFonts w:ascii="Times New Roman" w:hAnsi="Times New Roman" w:cs="Times New Roman" w:hint="eastAsia"/>
          <w:sz w:val="18"/>
          <w:szCs w:val="18"/>
        </w:rPr>
        <w:t>年</w:t>
      </w:r>
      <w:r w:rsidRPr="00F614F9">
        <w:rPr>
          <w:rFonts w:ascii="Times New Roman" w:hAnsi="Times New Roman" w:cs="Times New Roman" w:hint="eastAsia"/>
          <w:sz w:val="18"/>
          <w:szCs w:val="18"/>
        </w:rPr>
        <w:t>12</w:t>
      </w:r>
      <w:r w:rsidRPr="00F614F9">
        <w:rPr>
          <w:rFonts w:ascii="Times New Roman" w:hAnsi="Times New Roman" w:cs="Times New Roman" w:hint="eastAsia"/>
          <w:sz w:val="18"/>
          <w:szCs w:val="18"/>
        </w:rPr>
        <w:t>月</w:t>
      </w:r>
      <w:r w:rsidRPr="00F614F9">
        <w:rPr>
          <w:rFonts w:ascii="Times New Roman" w:hAnsi="Times New Roman" w:cs="Times New Roman" w:hint="eastAsia"/>
          <w:sz w:val="18"/>
          <w:szCs w:val="18"/>
        </w:rPr>
        <w:t>31</w:t>
      </w:r>
      <w:r w:rsidRPr="00F614F9">
        <w:rPr>
          <w:rFonts w:ascii="Times New Roman" w:hAnsi="Times New Roman" w:cs="Times New Roman" w:hint="eastAsia"/>
          <w:sz w:val="18"/>
          <w:szCs w:val="18"/>
        </w:rPr>
        <w:t>日，本集团纳入合并范围的子公司共</w:t>
      </w:r>
      <w:r w:rsidRPr="00F614F9">
        <w:rPr>
          <w:rFonts w:ascii="Times New Roman" w:hAnsi="Times New Roman" w:cs="Times New Roman" w:hint="eastAsia"/>
          <w:sz w:val="18"/>
          <w:szCs w:val="18"/>
        </w:rPr>
        <w:t>41</w:t>
      </w:r>
      <w:r w:rsidRPr="00F614F9">
        <w:rPr>
          <w:rFonts w:ascii="Times New Roman" w:hAnsi="Times New Roman" w:cs="Times New Roman" w:hint="eastAsia"/>
          <w:sz w:val="18"/>
          <w:szCs w:val="18"/>
        </w:rPr>
        <w:t>户，详见本附注十“在其他主体中的权益”。本集团本年合并范围比上年增加</w:t>
      </w:r>
      <w:r w:rsidRPr="00F614F9">
        <w:rPr>
          <w:rFonts w:ascii="Times New Roman" w:hAnsi="Times New Roman" w:cs="Times New Roman" w:hint="eastAsia"/>
          <w:sz w:val="18"/>
          <w:szCs w:val="18"/>
        </w:rPr>
        <w:t>3</w:t>
      </w:r>
      <w:r w:rsidRPr="00F614F9">
        <w:rPr>
          <w:rFonts w:ascii="Times New Roman" w:hAnsi="Times New Roman" w:cs="Times New Roman" w:hint="eastAsia"/>
          <w:sz w:val="18"/>
          <w:szCs w:val="18"/>
        </w:rPr>
        <w:t>户，详见本附注九“合并范围的变更”。</w:t>
      </w:r>
    </w:p>
    <w:p w14:paraId="14DB08DE"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246" w:name="_Toc989063"/>
      <w:bookmarkStart w:id="247" w:name="_Toc164024825"/>
      <w:r w:rsidRPr="00F614F9">
        <w:rPr>
          <w:rFonts w:ascii="Times New Roman" w:eastAsia="宋体" w:hAnsi="Times New Roman" w:cs="宋体"/>
          <w:b/>
          <w:bCs/>
          <w:sz w:val="24"/>
          <w:szCs w:val="24"/>
        </w:rPr>
        <w:t>四、财务报表的编制基础</w:t>
      </w:r>
      <w:bookmarkEnd w:id="246"/>
      <w:bookmarkEnd w:id="247"/>
    </w:p>
    <w:p w14:paraId="31EFE31F" w14:textId="77777777" w:rsidR="001D26E7" w:rsidRPr="00F614F9" w:rsidRDefault="00000000">
      <w:pPr>
        <w:pStyle w:val="3"/>
        <w:spacing w:line="280" w:lineRule="exact"/>
        <w:jc w:val="left"/>
        <w:rPr>
          <w:rFonts w:ascii="Times New Roman" w:hAnsi="Times New Roman" w:cs="宋体"/>
          <w:b/>
          <w:bCs/>
        </w:rPr>
      </w:pPr>
      <w:bookmarkStart w:id="248" w:name="_Toc989064"/>
      <w:r w:rsidRPr="00F614F9">
        <w:rPr>
          <w:rFonts w:ascii="Times New Roman" w:hAnsi="Times New Roman" w:cs="宋体"/>
          <w:b/>
          <w:bCs/>
        </w:rPr>
        <w:t>1</w:t>
      </w:r>
      <w:r w:rsidRPr="00F614F9">
        <w:rPr>
          <w:rFonts w:ascii="Times New Roman" w:hAnsi="Times New Roman" w:cs="宋体"/>
          <w:b/>
          <w:bCs/>
        </w:rPr>
        <w:t>、编制基础</w:t>
      </w:r>
      <w:bookmarkEnd w:id="248"/>
    </w:p>
    <w:p w14:paraId="5AE8F81F" w14:textId="77777777" w:rsidR="00872599" w:rsidRPr="00F614F9" w:rsidRDefault="00000000" w:rsidP="006C7FCA">
      <w:pPr>
        <w:pStyle w:val="a3"/>
        <w:spacing w:before="0" w:beforeAutospacing="0" w:after="0" w:afterAutospacing="0" w:line="276" w:lineRule="auto"/>
        <w:ind w:firstLine="360"/>
        <w:jc w:val="both"/>
        <w:divId w:val="928538252"/>
        <w:rPr>
          <w:rFonts w:ascii="Times New Roman" w:hAnsi="Times New Roman" w:cs="Times New Roman"/>
          <w:sz w:val="21"/>
          <w:szCs w:val="21"/>
        </w:rPr>
      </w:pPr>
      <w:r w:rsidRPr="00F614F9">
        <w:rPr>
          <w:rFonts w:ascii="Times New Roman" w:hAnsi="Times New Roman" w:cs="Times New Roman" w:hint="eastAsia"/>
          <w:sz w:val="18"/>
          <w:szCs w:val="18"/>
        </w:rPr>
        <w:t>本集团财务报表以持续经营假设为基础，根据实际发生的交易和事项，按照财政部发布的《企业会计准则——基本准则》（财政部令第</w:t>
      </w:r>
      <w:r w:rsidRPr="00F614F9">
        <w:rPr>
          <w:rFonts w:ascii="Times New Roman" w:hAnsi="Times New Roman" w:cs="Times New Roman" w:hint="eastAsia"/>
          <w:sz w:val="18"/>
          <w:szCs w:val="18"/>
        </w:rPr>
        <w:t>33</w:t>
      </w:r>
      <w:r w:rsidRPr="00F614F9">
        <w:rPr>
          <w:rFonts w:ascii="Times New Roman" w:hAnsi="Times New Roman" w:cs="Times New Roman" w:hint="eastAsia"/>
          <w:sz w:val="18"/>
          <w:szCs w:val="18"/>
        </w:rPr>
        <w:t>号发布、财政部令第</w:t>
      </w:r>
      <w:r w:rsidRPr="00F614F9">
        <w:rPr>
          <w:rFonts w:ascii="Times New Roman" w:hAnsi="Times New Roman" w:cs="Times New Roman" w:hint="eastAsia"/>
          <w:sz w:val="18"/>
          <w:szCs w:val="18"/>
        </w:rPr>
        <w:t>76</w:t>
      </w:r>
      <w:r w:rsidRPr="00F614F9">
        <w:rPr>
          <w:rFonts w:ascii="Times New Roman" w:hAnsi="Times New Roman" w:cs="Times New Roman" w:hint="eastAsia"/>
          <w:sz w:val="18"/>
          <w:szCs w:val="18"/>
        </w:rPr>
        <w:t>号修订）、于</w:t>
      </w:r>
      <w:r w:rsidRPr="00F614F9">
        <w:rPr>
          <w:rFonts w:ascii="Times New Roman" w:hAnsi="Times New Roman" w:cs="Times New Roman" w:hint="eastAsia"/>
          <w:sz w:val="18"/>
          <w:szCs w:val="18"/>
        </w:rPr>
        <w:t>2006</w:t>
      </w:r>
      <w:r w:rsidRPr="00F614F9">
        <w:rPr>
          <w:rFonts w:ascii="Times New Roman" w:hAnsi="Times New Roman" w:cs="Times New Roman" w:hint="eastAsia"/>
          <w:sz w:val="18"/>
          <w:szCs w:val="18"/>
        </w:rPr>
        <w:t>年</w:t>
      </w:r>
      <w:r w:rsidRPr="00F614F9">
        <w:rPr>
          <w:rFonts w:ascii="Times New Roman" w:hAnsi="Times New Roman" w:cs="Times New Roman" w:hint="eastAsia"/>
          <w:sz w:val="18"/>
          <w:szCs w:val="18"/>
        </w:rPr>
        <w:t>2</w:t>
      </w:r>
      <w:r w:rsidRPr="00F614F9">
        <w:rPr>
          <w:rFonts w:ascii="Times New Roman" w:hAnsi="Times New Roman" w:cs="Times New Roman" w:hint="eastAsia"/>
          <w:sz w:val="18"/>
          <w:szCs w:val="18"/>
        </w:rPr>
        <w:t>月</w:t>
      </w:r>
      <w:r w:rsidRPr="00F614F9">
        <w:rPr>
          <w:rFonts w:ascii="Times New Roman" w:hAnsi="Times New Roman" w:cs="Times New Roman" w:hint="eastAsia"/>
          <w:sz w:val="18"/>
          <w:szCs w:val="18"/>
        </w:rPr>
        <w:t>15</w:t>
      </w:r>
      <w:r w:rsidRPr="00F614F9">
        <w:rPr>
          <w:rFonts w:ascii="Times New Roman" w:hAnsi="Times New Roman" w:cs="Times New Roman" w:hint="eastAsia"/>
          <w:sz w:val="18"/>
          <w:szCs w:val="18"/>
        </w:rPr>
        <w:t>日及其后颁布和修订的</w:t>
      </w:r>
      <w:r w:rsidRPr="00F614F9">
        <w:rPr>
          <w:rFonts w:ascii="Times New Roman" w:hAnsi="Times New Roman" w:cs="Times New Roman" w:hint="eastAsia"/>
          <w:sz w:val="18"/>
          <w:szCs w:val="18"/>
        </w:rPr>
        <w:t>41</w:t>
      </w:r>
      <w:r w:rsidRPr="00F614F9">
        <w:rPr>
          <w:rFonts w:ascii="Times New Roman" w:hAnsi="Times New Roman" w:cs="Times New Roman" w:hint="eastAsia"/>
          <w:sz w:val="18"/>
          <w:szCs w:val="18"/>
        </w:rPr>
        <w:t>项具体会计准则、企业会计准则应用指南、企业会计准则解释及其他相关规定（以下合称“企业会计准则”），以及中国证券监督管理委员会《公开发行证券的公司信息披露编报规则第</w:t>
      </w:r>
      <w:r w:rsidRPr="00F614F9">
        <w:rPr>
          <w:rFonts w:ascii="Times New Roman" w:hAnsi="Times New Roman" w:cs="Times New Roman" w:hint="eastAsia"/>
          <w:sz w:val="18"/>
          <w:szCs w:val="18"/>
        </w:rPr>
        <w:t>15</w:t>
      </w:r>
      <w:r w:rsidRPr="00F614F9">
        <w:rPr>
          <w:rFonts w:ascii="Times New Roman" w:hAnsi="Times New Roman" w:cs="Times New Roman" w:hint="eastAsia"/>
          <w:sz w:val="18"/>
          <w:szCs w:val="18"/>
        </w:rPr>
        <w:t>号——财务报告的一般规定（</w:t>
      </w:r>
      <w:r w:rsidRPr="00F614F9">
        <w:rPr>
          <w:rFonts w:ascii="Times New Roman" w:hAnsi="Times New Roman" w:cs="Times New Roman" w:hint="eastAsia"/>
          <w:sz w:val="18"/>
          <w:szCs w:val="18"/>
        </w:rPr>
        <w:t>2023</w:t>
      </w:r>
      <w:r w:rsidRPr="00F614F9">
        <w:rPr>
          <w:rFonts w:ascii="Times New Roman" w:hAnsi="Times New Roman" w:cs="Times New Roman" w:hint="eastAsia"/>
          <w:sz w:val="18"/>
          <w:szCs w:val="18"/>
        </w:rPr>
        <w:t>年修订）》的披露规定编制。</w:t>
      </w:r>
    </w:p>
    <w:p w14:paraId="3683B1A0" w14:textId="77777777" w:rsidR="00872599" w:rsidRPr="00F614F9" w:rsidRDefault="00000000" w:rsidP="006C7FCA">
      <w:pPr>
        <w:pStyle w:val="a3"/>
        <w:spacing w:before="0" w:beforeAutospacing="0" w:after="0" w:afterAutospacing="0" w:line="276" w:lineRule="auto"/>
        <w:ind w:firstLine="360"/>
        <w:jc w:val="both"/>
        <w:divId w:val="928538252"/>
        <w:rPr>
          <w:rFonts w:ascii="Times New Roman" w:hAnsi="Times New Roman" w:cs="Times New Roman"/>
          <w:sz w:val="21"/>
          <w:szCs w:val="21"/>
        </w:rPr>
      </w:pPr>
      <w:r w:rsidRPr="00F614F9">
        <w:rPr>
          <w:rFonts w:ascii="Times New Roman" w:hAnsi="Times New Roman" w:cs="Times New Roman" w:hint="eastAsia"/>
          <w:sz w:val="18"/>
          <w:szCs w:val="18"/>
        </w:rPr>
        <w:t>根据企业会计准则的相关规定，本集团会计核算以权责发生制为基础。除某些金融工具外，本财务报表均以历史成本为计量基础。持有待售的非流动资产，按公允价值减去预计费用后的金额，以及符合持有待售条件时的原账面价值，取两者孰低计价。资产如果发生减值，则按照相关规定计提相应的减值准备。</w:t>
      </w:r>
    </w:p>
    <w:p w14:paraId="75422455" w14:textId="77777777" w:rsidR="001D26E7" w:rsidRPr="00F614F9" w:rsidRDefault="00000000">
      <w:pPr>
        <w:pStyle w:val="3"/>
        <w:spacing w:line="280" w:lineRule="exact"/>
        <w:jc w:val="left"/>
        <w:rPr>
          <w:rFonts w:ascii="Times New Roman" w:hAnsi="Times New Roman" w:cs="宋体"/>
          <w:b/>
          <w:bCs/>
        </w:rPr>
      </w:pPr>
      <w:bookmarkStart w:id="249" w:name="_Toc989065"/>
      <w:r w:rsidRPr="00F614F9">
        <w:rPr>
          <w:rFonts w:ascii="Times New Roman" w:hAnsi="Times New Roman" w:cs="宋体"/>
          <w:b/>
          <w:bCs/>
        </w:rPr>
        <w:t>2</w:t>
      </w:r>
      <w:r w:rsidRPr="00F614F9">
        <w:rPr>
          <w:rFonts w:ascii="Times New Roman" w:hAnsi="Times New Roman" w:cs="宋体"/>
          <w:b/>
          <w:bCs/>
        </w:rPr>
        <w:t>、持续经营</w:t>
      </w:r>
      <w:bookmarkEnd w:id="249"/>
    </w:p>
    <w:p w14:paraId="0578CF96" w14:textId="77777777" w:rsidR="00872599" w:rsidRPr="00F614F9" w:rsidRDefault="00000000" w:rsidP="006C7FCA">
      <w:pPr>
        <w:pStyle w:val="a3"/>
        <w:spacing w:before="0" w:beforeAutospacing="0" w:after="0" w:afterAutospacing="0" w:line="276" w:lineRule="auto"/>
        <w:ind w:firstLine="360"/>
        <w:jc w:val="both"/>
        <w:divId w:val="916204301"/>
        <w:rPr>
          <w:rFonts w:ascii="Times New Roman" w:hAnsi="Times New Roman" w:cs="Times New Roman"/>
          <w:sz w:val="21"/>
          <w:szCs w:val="21"/>
        </w:rPr>
      </w:pPr>
      <w:r w:rsidRPr="00F614F9">
        <w:rPr>
          <w:rFonts w:ascii="Times New Roman" w:hAnsi="Times New Roman" w:cs="Times New Roman" w:hint="eastAsia"/>
          <w:sz w:val="18"/>
          <w:szCs w:val="18"/>
        </w:rPr>
        <w:t>经本公司评估，自本报告</w:t>
      </w:r>
      <w:proofErr w:type="gramStart"/>
      <w:r w:rsidRPr="00F614F9">
        <w:rPr>
          <w:rFonts w:ascii="Times New Roman" w:hAnsi="Times New Roman" w:cs="Times New Roman" w:hint="eastAsia"/>
          <w:sz w:val="18"/>
          <w:szCs w:val="18"/>
        </w:rPr>
        <w:t>期末起</w:t>
      </w:r>
      <w:proofErr w:type="gramEnd"/>
      <w:r w:rsidRPr="00F614F9">
        <w:rPr>
          <w:rFonts w:ascii="Times New Roman" w:hAnsi="Times New Roman" w:cs="Times New Roman" w:hint="eastAsia"/>
          <w:sz w:val="18"/>
          <w:szCs w:val="18"/>
        </w:rPr>
        <w:t>的</w:t>
      </w:r>
      <w:r w:rsidRPr="00F614F9">
        <w:rPr>
          <w:rFonts w:ascii="Times New Roman" w:hAnsi="Times New Roman" w:cs="Times New Roman" w:hint="eastAsia"/>
          <w:sz w:val="18"/>
          <w:szCs w:val="18"/>
        </w:rPr>
        <w:t>12</w:t>
      </w:r>
      <w:r w:rsidRPr="00F614F9">
        <w:rPr>
          <w:rFonts w:ascii="Times New Roman" w:hAnsi="Times New Roman" w:cs="Times New Roman" w:hint="eastAsia"/>
          <w:sz w:val="18"/>
          <w:szCs w:val="18"/>
        </w:rPr>
        <w:t>个月内，本公司持续经营能力良好，不存在导致对本公司持续经营能力产生重大怀疑的因素。</w:t>
      </w:r>
    </w:p>
    <w:p w14:paraId="06C066F7" w14:textId="77777777" w:rsidR="001D26E7" w:rsidRPr="00F614F9" w:rsidRDefault="00000000">
      <w:pPr>
        <w:pStyle w:val="2"/>
        <w:spacing w:before="300" w:after="300" w:line="560" w:lineRule="exact"/>
        <w:rPr>
          <w:rFonts w:ascii="Times New Roman" w:eastAsia="宋体" w:hAnsi="Times New Roman" w:cs="宋体"/>
          <w:b/>
          <w:bCs/>
          <w:sz w:val="24"/>
          <w:szCs w:val="24"/>
        </w:rPr>
      </w:pPr>
      <w:bookmarkStart w:id="250" w:name="_Toc989066"/>
      <w:bookmarkStart w:id="251" w:name="_Toc164024826"/>
      <w:r w:rsidRPr="00F614F9">
        <w:rPr>
          <w:rFonts w:ascii="Times New Roman" w:eastAsia="宋体" w:hAnsi="Times New Roman" w:cs="宋体"/>
          <w:b/>
          <w:bCs/>
          <w:sz w:val="24"/>
          <w:szCs w:val="24"/>
        </w:rPr>
        <w:t>五、重要会计政策及会计估计</w:t>
      </w:r>
      <w:bookmarkEnd w:id="250"/>
      <w:bookmarkEnd w:id="251"/>
    </w:p>
    <w:p w14:paraId="1E3AD16C" w14:textId="77777777" w:rsidR="001D26E7" w:rsidRPr="00F614F9" w:rsidRDefault="00000000" w:rsidP="006C7FCA">
      <w:pPr>
        <w:spacing w:before="100" w:after="100" w:line="276" w:lineRule="auto"/>
        <w:rPr>
          <w:rFonts w:ascii="Times New Roman" w:eastAsia="宋体" w:hAnsi="Times New Roman" w:cs="宋体"/>
          <w:sz w:val="18"/>
          <w:szCs w:val="18"/>
        </w:rPr>
      </w:pPr>
      <w:r w:rsidRPr="00F614F9">
        <w:rPr>
          <w:rFonts w:ascii="Times New Roman" w:eastAsia="宋体" w:hAnsi="Times New Roman" w:cs="宋体"/>
          <w:sz w:val="18"/>
          <w:szCs w:val="18"/>
        </w:rPr>
        <w:t>公司需遵守《深圳证券交易所上市公司自律监管指引第</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号</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行业信息披露》中食品及酒制造相关业的披露要求</w:t>
      </w:r>
    </w:p>
    <w:p w14:paraId="5180DED8" w14:textId="77777777" w:rsidR="00872599" w:rsidRPr="00F614F9" w:rsidRDefault="00000000" w:rsidP="006C7FCA">
      <w:pPr>
        <w:pStyle w:val="a3"/>
        <w:spacing w:before="0" w:beforeAutospacing="0" w:after="0" w:afterAutospacing="0" w:line="276" w:lineRule="auto"/>
        <w:ind w:firstLine="360"/>
        <w:jc w:val="both"/>
        <w:divId w:val="917784221"/>
        <w:rPr>
          <w:rFonts w:ascii="Times New Roman" w:hAnsi="Times New Roman" w:cs="Times New Roman"/>
          <w:sz w:val="21"/>
          <w:szCs w:val="21"/>
        </w:rPr>
      </w:pPr>
      <w:r w:rsidRPr="00F614F9">
        <w:rPr>
          <w:rFonts w:ascii="Times New Roman" w:hAnsi="Times New Roman" w:cs="Times New Roman" w:hint="eastAsia"/>
          <w:sz w:val="18"/>
          <w:szCs w:val="18"/>
        </w:rPr>
        <w:t>本集团根据实际生产经营特点，依据相关企业会计准则的规定，对收入确认等交易和事项制定了若干项具体会计政策和会计估计，详见本附注五、</w:t>
      </w:r>
      <w:r w:rsidRPr="00F614F9">
        <w:rPr>
          <w:rFonts w:ascii="Times New Roman" w:hAnsi="Times New Roman" w:cs="Times New Roman" w:hint="eastAsia"/>
          <w:sz w:val="18"/>
          <w:szCs w:val="18"/>
        </w:rPr>
        <w:t>37</w:t>
      </w:r>
      <w:r w:rsidRPr="00F614F9">
        <w:rPr>
          <w:rFonts w:ascii="Times New Roman" w:hAnsi="Times New Roman" w:cs="Times New Roman" w:hint="eastAsia"/>
          <w:sz w:val="18"/>
          <w:szCs w:val="18"/>
        </w:rPr>
        <w:t>“收入”各项描述。关于管理层所</w:t>
      </w:r>
      <w:proofErr w:type="gramStart"/>
      <w:r w:rsidRPr="00F614F9">
        <w:rPr>
          <w:rFonts w:ascii="Times New Roman" w:hAnsi="Times New Roman" w:cs="Times New Roman" w:hint="eastAsia"/>
          <w:sz w:val="18"/>
          <w:szCs w:val="18"/>
        </w:rPr>
        <w:t>作出</w:t>
      </w:r>
      <w:proofErr w:type="gramEnd"/>
      <w:r w:rsidRPr="00F614F9">
        <w:rPr>
          <w:rFonts w:ascii="Times New Roman" w:hAnsi="Times New Roman" w:cs="Times New Roman" w:hint="eastAsia"/>
          <w:sz w:val="18"/>
          <w:szCs w:val="18"/>
        </w:rPr>
        <w:t>的重大会计判断和估计的说明，请参阅附注五、</w:t>
      </w:r>
      <w:r w:rsidRPr="00F614F9">
        <w:rPr>
          <w:rFonts w:ascii="Times New Roman" w:hAnsi="Times New Roman" w:cs="Times New Roman" w:hint="eastAsia"/>
          <w:sz w:val="18"/>
          <w:szCs w:val="18"/>
        </w:rPr>
        <w:t>44</w:t>
      </w:r>
      <w:r w:rsidRPr="00F614F9">
        <w:rPr>
          <w:rFonts w:ascii="Times New Roman" w:hAnsi="Times New Roman" w:cs="Times New Roman" w:hint="eastAsia"/>
          <w:sz w:val="18"/>
          <w:szCs w:val="18"/>
        </w:rPr>
        <w:t>“其他”。</w:t>
      </w:r>
    </w:p>
    <w:p w14:paraId="57F1F0AA" w14:textId="77777777" w:rsidR="001D26E7" w:rsidRPr="00F614F9" w:rsidRDefault="00000000">
      <w:pPr>
        <w:pStyle w:val="3"/>
        <w:spacing w:line="280" w:lineRule="exact"/>
        <w:jc w:val="left"/>
        <w:rPr>
          <w:rFonts w:ascii="Times New Roman" w:hAnsi="Times New Roman" w:cs="宋体"/>
          <w:b/>
          <w:bCs/>
        </w:rPr>
      </w:pPr>
      <w:bookmarkStart w:id="252" w:name="_Toc989067"/>
      <w:r w:rsidRPr="00F614F9">
        <w:rPr>
          <w:rFonts w:ascii="Times New Roman" w:hAnsi="Times New Roman" w:cs="宋体"/>
          <w:b/>
          <w:bCs/>
        </w:rPr>
        <w:t>1</w:t>
      </w:r>
      <w:r w:rsidRPr="00F614F9">
        <w:rPr>
          <w:rFonts w:ascii="Times New Roman" w:hAnsi="Times New Roman" w:cs="宋体"/>
          <w:b/>
          <w:bCs/>
        </w:rPr>
        <w:t>、遵循企业会计准则的声明</w:t>
      </w:r>
      <w:bookmarkEnd w:id="252"/>
    </w:p>
    <w:p w14:paraId="77AA8EAF" w14:textId="77777777" w:rsidR="00872599" w:rsidRPr="00F614F9" w:rsidRDefault="00000000" w:rsidP="006C7FCA">
      <w:pPr>
        <w:pStyle w:val="a3"/>
        <w:spacing w:before="0" w:beforeAutospacing="0" w:after="0" w:afterAutospacing="0" w:line="276" w:lineRule="auto"/>
        <w:ind w:firstLine="360"/>
        <w:jc w:val="both"/>
        <w:divId w:val="414788431"/>
        <w:rPr>
          <w:rFonts w:ascii="Times New Roman" w:hAnsi="Times New Roman" w:cs="Times New Roman"/>
          <w:sz w:val="21"/>
          <w:szCs w:val="21"/>
        </w:rPr>
      </w:pPr>
      <w:r w:rsidRPr="00F614F9">
        <w:rPr>
          <w:rFonts w:ascii="Times New Roman" w:hAnsi="Times New Roman" w:cs="Times New Roman" w:hint="eastAsia"/>
          <w:sz w:val="18"/>
          <w:szCs w:val="18"/>
        </w:rPr>
        <w:t>本公司编制的财务报表符合企业会计准则的要求，真实、完整地反映了本公司及本集团</w:t>
      </w:r>
      <w:r w:rsidRPr="00F614F9">
        <w:rPr>
          <w:rFonts w:ascii="Times New Roman" w:hAnsi="Times New Roman" w:cs="Times New Roman" w:hint="eastAsia"/>
          <w:sz w:val="18"/>
          <w:szCs w:val="18"/>
        </w:rPr>
        <w:t>2023</w:t>
      </w:r>
      <w:r w:rsidRPr="00F614F9">
        <w:rPr>
          <w:rFonts w:ascii="Times New Roman" w:hAnsi="Times New Roman" w:cs="Times New Roman" w:hint="eastAsia"/>
          <w:sz w:val="18"/>
          <w:szCs w:val="18"/>
        </w:rPr>
        <w:t>年</w:t>
      </w:r>
      <w:r w:rsidRPr="00F614F9">
        <w:rPr>
          <w:rFonts w:ascii="Times New Roman" w:hAnsi="Times New Roman" w:cs="Times New Roman" w:hint="eastAsia"/>
          <w:sz w:val="18"/>
          <w:szCs w:val="18"/>
        </w:rPr>
        <w:t>12</w:t>
      </w:r>
      <w:r w:rsidRPr="00F614F9">
        <w:rPr>
          <w:rFonts w:ascii="Times New Roman" w:hAnsi="Times New Roman" w:cs="Times New Roman" w:hint="eastAsia"/>
          <w:sz w:val="18"/>
          <w:szCs w:val="18"/>
        </w:rPr>
        <w:t>月</w:t>
      </w:r>
      <w:r w:rsidRPr="00F614F9">
        <w:rPr>
          <w:rFonts w:ascii="Times New Roman" w:hAnsi="Times New Roman" w:cs="Times New Roman" w:hint="eastAsia"/>
          <w:sz w:val="18"/>
          <w:szCs w:val="18"/>
        </w:rPr>
        <w:t>31</w:t>
      </w:r>
      <w:r w:rsidRPr="00F614F9">
        <w:rPr>
          <w:rFonts w:ascii="Times New Roman" w:hAnsi="Times New Roman" w:cs="Times New Roman" w:hint="eastAsia"/>
          <w:sz w:val="18"/>
          <w:szCs w:val="18"/>
        </w:rPr>
        <w:t>日的财务状况及</w:t>
      </w:r>
      <w:r w:rsidRPr="00F614F9">
        <w:rPr>
          <w:rFonts w:ascii="Times New Roman" w:hAnsi="Times New Roman" w:cs="Times New Roman" w:hint="eastAsia"/>
          <w:sz w:val="18"/>
          <w:szCs w:val="18"/>
        </w:rPr>
        <w:t>2023</w:t>
      </w:r>
      <w:r w:rsidRPr="00F614F9">
        <w:rPr>
          <w:rFonts w:ascii="Times New Roman" w:hAnsi="Times New Roman" w:cs="Times New Roman" w:hint="eastAsia"/>
          <w:sz w:val="18"/>
          <w:szCs w:val="18"/>
        </w:rPr>
        <w:t>年度的经营成果和现金流量等有关信息。此外，本公司及本集团的财务报表在所有重大方面符合中国证券监督管理委员会</w:t>
      </w:r>
      <w:r w:rsidRPr="00F614F9">
        <w:rPr>
          <w:rFonts w:ascii="Times New Roman" w:hAnsi="Times New Roman" w:cs="Times New Roman" w:hint="eastAsia"/>
          <w:sz w:val="18"/>
          <w:szCs w:val="18"/>
        </w:rPr>
        <w:t>2023</w:t>
      </w:r>
      <w:r w:rsidRPr="00F614F9">
        <w:rPr>
          <w:rFonts w:ascii="Times New Roman" w:hAnsi="Times New Roman" w:cs="Times New Roman" w:hint="eastAsia"/>
          <w:sz w:val="18"/>
          <w:szCs w:val="18"/>
        </w:rPr>
        <w:t>年修订的《公开发行证券的公司信息披露编报规则第</w:t>
      </w:r>
      <w:r w:rsidRPr="00F614F9">
        <w:rPr>
          <w:rFonts w:ascii="Times New Roman" w:hAnsi="Times New Roman" w:cs="Times New Roman" w:hint="eastAsia"/>
          <w:sz w:val="18"/>
          <w:szCs w:val="18"/>
        </w:rPr>
        <w:t>15</w:t>
      </w:r>
      <w:r w:rsidRPr="00F614F9">
        <w:rPr>
          <w:rFonts w:ascii="Times New Roman" w:hAnsi="Times New Roman" w:cs="Times New Roman" w:hint="eastAsia"/>
          <w:sz w:val="18"/>
          <w:szCs w:val="18"/>
        </w:rPr>
        <w:t>号——财务报告的一般规定》有关财务报表及其附注的披露要求。</w:t>
      </w:r>
    </w:p>
    <w:p w14:paraId="6530C31D" w14:textId="77777777" w:rsidR="001D26E7" w:rsidRPr="00F614F9" w:rsidRDefault="00000000">
      <w:pPr>
        <w:pStyle w:val="3"/>
        <w:spacing w:line="280" w:lineRule="exact"/>
        <w:jc w:val="left"/>
        <w:rPr>
          <w:rFonts w:ascii="Times New Roman" w:hAnsi="Times New Roman" w:cs="宋体"/>
          <w:b/>
          <w:bCs/>
        </w:rPr>
      </w:pPr>
      <w:bookmarkStart w:id="253" w:name="_Toc989068"/>
      <w:r w:rsidRPr="00F614F9">
        <w:rPr>
          <w:rFonts w:ascii="Times New Roman" w:hAnsi="Times New Roman" w:cs="宋体"/>
          <w:b/>
          <w:bCs/>
        </w:rPr>
        <w:lastRenderedPageBreak/>
        <w:t>2</w:t>
      </w:r>
      <w:r w:rsidRPr="00F614F9">
        <w:rPr>
          <w:rFonts w:ascii="Times New Roman" w:hAnsi="Times New Roman" w:cs="宋体"/>
          <w:b/>
          <w:bCs/>
        </w:rPr>
        <w:t>、会计期间</w:t>
      </w:r>
      <w:bookmarkEnd w:id="253"/>
    </w:p>
    <w:p w14:paraId="1ABA0CF9" w14:textId="77777777" w:rsidR="00872599" w:rsidRPr="00F614F9" w:rsidRDefault="00000000" w:rsidP="006C7FCA">
      <w:pPr>
        <w:pStyle w:val="a3"/>
        <w:spacing w:before="0" w:beforeAutospacing="0" w:after="0" w:afterAutospacing="0" w:line="276" w:lineRule="auto"/>
        <w:ind w:firstLine="360"/>
        <w:jc w:val="both"/>
        <w:divId w:val="146017354"/>
        <w:rPr>
          <w:rFonts w:ascii="Times New Roman" w:hAnsi="Times New Roman" w:cs="Times New Roman"/>
          <w:sz w:val="21"/>
          <w:szCs w:val="21"/>
        </w:rPr>
      </w:pPr>
      <w:r w:rsidRPr="00F614F9">
        <w:rPr>
          <w:rFonts w:ascii="Times New Roman" w:hAnsi="Times New Roman" w:cs="Times New Roman" w:hint="eastAsia"/>
          <w:sz w:val="18"/>
          <w:szCs w:val="18"/>
        </w:rPr>
        <w:t>本集团的会计期间分为年度和中期，会计中期指短于一个完整的会计年度的报告期间。本集团会计年度采用公历年度，即每年自</w:t>
      </w:r>
      <w:r w:rsidRPr="00F614F9">
        <w:rPr>
          <w:rFonts w:ascii="Times New Roman" w:hAnsi="Times New Roman" w:cs="Times New Roman" w:hint="eastAsia"/>
          <w:sz w:val="18"/>
          <w:szCs w:val="18"/>
        </w:rPr>
        <w:t>1</w:t>
      </w:r>
      <w:r w:rsidRPr="00F614F9">
        <w:rPr>
          <w:rFonts w:ascii="Times New Roman" w:hAnsi="Times New Roman" w:cs="Times New Roman" w:hint="eastAsia"/>
          <w:sz w:val="18"/>
          <w:szCs w:val="18"/>
        </w:rPr>
        <w:t>月</w:t>
      </w:r>
      <w:r w:rsidRPr="00F614F9">
        <w:rPr>
          <w:rFonts w:ascii="Times New Roman" w:hAnsi="Times New Roman" w:cs="Times New Roman" w:hint="eastAsia"/>
          <w:sz w:val="18"/>
          <w:szCs w:val="18"/>
        </w:rPr>
        <w:t>1</w:t>
      </w:r>
      <w:r w:rsidRPr="00F614F9">
        <w:rPr>
          <w:rFonts w:ascii="Times New Roman" w:hAnsi="Times New Roman" w:cs="Times New Roman" w:hint="eastAsia"/>
          <w:sz w:val="18"/>
          <w:szCs w:val="18"/>
        </w:rPr>
        <w:t>日起至</w:t>
      </w:r>
      <w:r w:rsidRPr="00F614F9">
        <w:rPr>
          <w:rFonts w:ascii="Times New Roman" w:hAnsi="Times New Roman" w:cs="Times New Roman" w:hint="eastAsia"/>
          <w:sz w:val="18"/>
          <w:szCs w:val="18"/>
        </w:rPr>
        <w:t>12</w:t>
      </w:r>
      <w:r w:rsidRPr="00F614F9">
        <w:rPr>
          <w:rFonts w:ascii="Times New Roman" w:hAnsi="Times New Roman" w:cs="Times New Roman" w:hint="eastAsia"/>
          <w:sz w:val="18"/>
          <w:szCs w:val="18"/>
        </w:rPr>
        <w:t>月</w:t>
      </w:r>
      <w:r w:rsidRPr="00F614F9">
        <w:rPr>
          <w:rFonts w:ascii="Times New Roman" w:hAnsi="Times New Roman" w:cs="Times New Roman" w:hint="eastAsia"/>
          <w:sz w:val="18"/>
          <w:szCs w:val="18"/>
        </w:rPr>
        <w:t>31</w:t>
      </w:r>
      <w:r w:rsidRPr="00F614F9">
        <w:rPr>
          <w:rFonts w:ascii="Times New Roman" w:hAnsi="Times New Roman" w:cs="Times New Roman" w:hint="eastAsia"/>
          <w:sz w:val="18"/>
          <w:szCs w:val="18"/>
        </w:rPr>
        <w:t>日止。</w:t>
      </w:r>
    </w:p>
    <w:p w14:paraId="6E907356" w14:textId="77777777" w:rsidR="001D26E7" w:rsidRPr="00F614F9" w:rsidRDefault="00000000">
      <w:pPr>
        <w:pStyle w:val="3"/>
        <w:spacing w:line="280" w:lineRule="exact"/>
        <w:jc w:val="left"/>
        <w:rPr>
          <w:rFonts w:ascii="Times New Roman" w:hAnsi="Times New Roman" w:cs="宋体"/>
          <w:b/>
          <w:bCs/>
        </w:rPr>
      </w:pPr>
      <w:bookmarkStart w:id="254" w:name="_Toc989069"/>
      <w:r w:rsidRPr="00F614F9">
        <w:rPr>
          <w:rFonts w:ascii="Times New Roman" w:hAnsi="Times New Roman" w:cs="宋体"/>
          <w:b/>
          <w:bCs/>
        </w:rPr>
        <w:t>3</w:t>
      </w:r>
      <w:r w:rsidRPr="00F614F9">
        <w:rPr>
          <w:rFonts w:ascii="Times New Roman" w:hAnsi="Times New Roman" w:cs="宋体"/>
          <w:b/>
          <w:bCs/>
        </w:rPr>
        <w:t>、营业周期</w:t>
      </w:r>
      <w:bookmarkEnd w:id="254"/>
    </w:p>
    <w:p w14:paraId="36A5A400" w14:textId="77777777" w:rsidR="00872599" w:rsidRPr="00F614F9" w:rsidRDefault="00000000" w:rsidP="006C7FCA">
      <w:pPr>
        <w:pStyle w:val="a3"/>
        <w:spacing w:before="0" w:beforeAutospacing="0" w:after="0" w:afterAutospacing="0" w:line="276" w:lineRule="auto"/>
        <w:ind w:firstLine="360"/>
        <w:jc w:val="both"/>
        <w:divId w:val="201748200"/>
        <w:rPr>
          <w:rFonts w:ascii="Times New Roman" w:hAnsi="Times New Roman" w:cs="Times New Roman"/>
          <w:sz w:val="21"/>
          <w:szCs w:val="21"/>
        </w:rPr>
      </w:pPr>
      <w:r w:rsidRPr="00F614F9">
        <w:rPr>
          <w:rFonts w:ascii="Times New Roman" w:hAnsi="Times New Roman" w:cs="Times New Roman" w:hint="eastAsia"/>
          <w:sz w:val="18"/>
          <w:szCs w:val="18"/>
        </w:rPr>
        <w:t>正常营业周期是指本集团从购买用于加工的资产起</w:t>
      </w:r>
      <w:proofErr w:type="gramStart"/>
      <w:r w:rsidRPr="00F614F9">
        <w:rPr>
          <w:rFonts w:ascii="Times New Roman" w:hAnsi="Times New Roman" w:cs="Times New Roman" w:hint="eastAsia"/>
          <w:sz w:val="18"/>
          <w:szCs w:val="18"/>
        </w:rPr>
        <w:t>至实现</w:t>
      </w:r>
      <w:proofErr w:type="gramEnd"/>
      <w:r w:rsidRPr="00F614F9">
        <w:rPr>
          <w:rFonts w:ascii="Times New Roman" w:hAnsi="Times New Roman" w:cs="Times New Roman" w:hint="eastAsia"/>
          <w:sz w:val="18"/>
          <w:szCs w:val="18"/>
        </w:rPr>
        <w:t>现金或现金等价物的期间。本集团以</w:t>
      </w:r>
      <w:r w:rsidRPr="00F614F9">
        <w:rPr>
          <w:rFonts w:ascii="Times New Roman" w:hAnsi="Times New Roman" w:cs="Times New Roman" w:hint="eastAsia"/>
          <w:sz w:val="18"/>
          <w:szCs w:val="18"/>
        </w:rPr>
        <w:t>12</w:t>
      </w:r>
      <w:r w:rsidRPr="00F614F9">
        <w:rPr>
          <w:rFonts w:ascii="Times New Roman" w:hAnsi="Times New Roman" w:cs="Times New Roman" w:hint="eastAsia"/>
          <w:sz w:val="18"/>
          <w:szCs w:val="18"/>
        </w:rPr>
        <w:t>个月作为一个营业周期，并以其作为资产和负债的流动性划分标准。</w:t>
      </w:r>
    </w:p>
    <w:p w14:paraId="0B917449" w14:textId="77777777" w:rsidR="001D26E7" w:rsidRPr="00F614F9" w:rsidRDefault="00000000">
      <w:pPr>
        <w:pStyle w:val="3"/>
        <w:spacing w:line="280" w:lineRule="exact"/>
        <w:jc w:val="left"/>
        <w:rPr>
          <w:rFonts w:ascii="Times New Roman" w:hAnsi="Times New Roman" w:cs="宋体"/>
          <w:b/>
          <w:bCs/>
        </w:rPr>
      </w:pPr>
      <w:bookmarkStart w:id="255" w:name="_Toc989070"/>
      <w:r w:rsidRPr="00F614F9">
        <w:rPr>
          <w:rFonts w:ascii="Times New Roman" w:hAnsi="Times New Roman" w:cs="宋体"/>
          <w:b/>
          <w:bCs/>
        </w:rPr>
        <w:t>4</w:t>
      </w:r>
      <w:r w:rsidRPr="00F614F9">
        <w:rPr>
          <w:rFonts w:ascii="Times New Roman" w:hAnsi="Times New Roman" w:cs="宋体"/>
          <w:b/>
          <w:bCs/>
        </w:rPr>
        <w:t>、记账本位币</w:t>
      </w:r>
      <w:bookmarkEnd w:id="255"/>
    </w:p>
    <w:p w14:paraId="6626D7A7" w14:textId="77777777" w:rsidR="00872599" w:rsidRPr="00F614F9" w:rsidRDefault="00000000" w:rsidP="006C7FCA">
      <w:pPr>
        <w:pStyle w:val="a3"/>
        <w:spacing w:before="0" w:beforeAutospacing="0" w:after="0" w:afterAutospacing="0" w:line="276" w:lineRule="auto"/>
        <w:ind w:firstLine="360"/>
        <w:divId w:val="1482653298"/>
        <w:rPr>
          <w:rFonts w:ascii="Times New Roman" w:hAnsi="Times New Roman" w:cs="Times New Roman"/>
          <w:sz w:val="21"/>
          <w:szCs w:val="21"/>
        </w:rPr>
      </w:pPr>
      <w:r w:rsidRPr="00F614F9">
        <w:rPr>
          <w:rFonts w:ascii="Times New Roman" w:hAnsi="Times New Roman" w:cs="Times New Roman" w:hint="eastAsia"/>
          <w:sz w:val="18"/>
          <w:szCs w:val="18"/>
        </w:rPr>
        <w:t>人民币为本公司及境内子公司经营所处的主要经济环境中的货币，本公司及境内子公司以人民币为记账本位币。本集团编制本财务报表时所采用的货币为人民币。</w:t>
      </w:r>
    </w:p>
    <w:p w14:paraId="7B2C1847" w14:textId="77777777" w:rsidR="001D26E7" w:rsidRPr="00F614F9" w:rsidRDefault="00000000">
      <w:pPr>
        <w:pStyle w:val="3"/>
        <w:spacing w:line="280" w:lineRule="exact"/>
        <w:jc w:val="left"/>
        <w:rPr>
          <w:rFonts w:ascii="Times New Roman" w:hAnsi="Times New Roman" w:cs="宋体"/>
          <w:b/>
          <w:bCs/>
        </w:rPr>
      </w:pPr>
      <w:bookmarkStart w:id="256" w:name="_Toc989071"/>
      <w:r w:rsidRPr="00F614F9">
        <w:rPr>
          <w:rFonts w:ascii="Times New Roman" w:hAnsi="Times New Roman" w:cs="宋体"/>
          <w:b/>
          <w:bCs/>
        </w:rPr>
        <w:t>5</w:t>
      </w:r>
      <w:r w:rsidRPr="00F614F9">
        <w:rPr>
          <w:rFonts w:ascii="Times New Roman" w:hAnsi="Times New Roman" w:cs="宋体"/>
          <w:b/>
          <w:bCs/>
        </w:rPr>
        <w:t>、重要性标准确定方法和选择依据</w:t>
      </w:r>
      <w:bookmarkEnd w:id="256"/>
    </w:p>
    <w:p w14:paraId="65AC4A3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1D26E7" w:rsidRPr="00F614F9" w14:paraId="107DD34F"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DA8D61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12AC2B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重要性标准</w:t>
            </w:r>
          </w:p>
        </w:tc>
      </w:tr>
      <w:tr w:rsidR="001D26E7" w:rsidRPr="00F614F9" w14:paraId="30BF3F3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62040E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重要的单项计提坏账准备的应收款项</w:t>
            </w:r>
          </w:p>
        </w:tc>
        <w:tc>
          <w:tcPr>
            <w:tcW w:w="4820" w:type="dxa"/>
            <w:tcBorders>
              <w:top w:val="single" w:sz="2" w:space="0" w:color="auto"/>
              <w:left w:val="single" w:sz="2" w:space="0" w:color="auto"/>
              <w:bottom w:val="single" w:sz="2" w:space="0" w:color="auto"/>
              <w:right w:val="single" w:sz="2" w:space="0" w:color="auto"/>
            </w:tcBorders>
            <w:vAlign w:val="center"/>
          </w:tcPr>
          <w:p w14:paraId="5E6701D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等于或超过</w:t>
            </w:r>
            <w:r w:rsidRPr="00F614F9">
              <w:rPr>
                <w:rFonts w:ascii="Times New Roman" w:eastAsia="宋体" w:hAnsi="Times New Roman" w:cs="宋体"/>
                <w:sz w:val="18"/>
                <w:szCs w:val="18"/>
              </w:rPr>
              <w:t>300</w:t>
            </w:r>
            <w:r w:rsidRPr="00F614F9">
              <w:rPr>
                <w:rFonts w:ascii="Times New Roman" w:eastAsia="宋体" w:hAnsi="Times New Roman" w:cs="宋体"/>
                <w:sz w:val="18"/>
                <w:szCs w:val="18"/>
              </w:rPr>
              <w:t>万以上</w:t>
            </w:r>
          </w:p>
        </w:tc>
      </w:tr>
      <w:tr w:rsidR="001D26E7" w:rsidRPr="00F614F9" w14:paraId="2ABF6A0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3EA241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重要的非全资子公司</w:t>
            </w:r>
          </w:p>
        </w:tc>
        <w:tc>
          <w:tcPr>
            <w:tcW w:w="4820" w:type="dxa"/>
            <w:tcBorders>
              <w:top w:val="single" w:sz="2" w:space="0" w:color="auto"/>
              <w:left w:val="single" w:sz="2" w:space="0" w:color="auto"/>
              <w:bottom w:val="single" w:sz="2" w:space="0" w:color="auto"/>
              <w:right w:val="single" w:sz="2" w:space="0" w:color="auto"/>
            </w:tcBorders>
            <w:vAlign w:val="center"/>
          </w:tcPr>
          <w:p w14:paraId="38763AE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非全资子公司收入金额占集团总收入</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以上或利润总额绝对值占集团利润总额</w:t>
            </w:r>
            <w:r w:rsidRPr="00F614F9">
              <w:rPr>
                <w:rFonts w:ascii="Times New Roman" w:eastAsia="宋体" w:hAnsi="Times New Roman" w:cs="宋体"/>
                <w:sz w:val="18"/>
                <w:szCs w:val="18"/>
              </w:rPr>
              <w:t>5%</w:t>
            </w:r>
            <w:r w:rsidRPr="00F614F9">
              <w:rPr>
                <w:rFonts w:ascii="Times New Roman" w:eastAsia="宋体" w:hAnsi="Times New Roman" w:cs="宋体"/>
                <w:sz w:val="18"/>
                <w:szCs w:val="18"/>
              </w:rPr>
              <w:t>以上</w:t>
            </w:r>
          </w:p>
        </w:tc>
      </w:tr>
      <w:tr w:rsidR="001D26E7" w:rsidRPr="00F614F9" w14:paraId="39A12B4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C53061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重要在建工程</w:t>
            </w:r>
          </w:p>
        </w:tc>
        <w:tc>
          <w:tcPr>
            <w:tcW w:w="4820" w:type="dxa"/>
            <w:tcBorders>
              <w:top w:val="single" w:sz="2" w:space="0" w:color="auto"/>
              <w:left w:val="single" w:sz="2" w:space="0" w:color="auto"/>
              <w:bottom w:val="single" w:sz="2" w:space="0" w:color="auto"/>
              <w:right w:val="single" w:sz="2" w:space="0" w:color="auto"/>
            </w:tcBorders>
            <w:vAlign w:val="center"/>
          </w:tcPr>
          <w:p w14:paraId="681CF2F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等于或超过</w:t>
            </w:r>
            <w:r w:rsidRPr="00F614F9">
              <w:rPr>
                <w:rFonts w:ascii="Times New Roman" w:eastAsia="宋体" w:hAnsi="Times New Roman" w:cs="宋体"/>
                <w:sz w:val="18"/>
                <w:szCs w:val="18"/>
              </w:rPr>
              <w:t>100</w:t>
            </w:r>
            <w:r w:rsidRPr="00F614F9">
              <w:rPr>
                <w:rFonts w:ascii="Times New Roman" w:eastAsia="宋体" w:hAnsi="Times New Roman" w:cs="宋体"/>
                <w:sz w:val="18"/>
                <w:szCs w:val="18"/>
              </w:rPr>
              <w:t>万以上</w:t>
            </w:r>
          </w:p>
        </w:tc>
      </w:tr>
    </w:tbl>
    <w:p w14:paraId="7705CB7B" w14:textId="77777777" w:rsidR="001D26E7" w:rsidRPr="00F614F9" w:rsidRDefault="00000000">
      <w:pPr>
        <w:pStyle w:val="3"/>
        <w:spacing w:line="280" w:lineRule="exact"/>
        <w:jc w:val="left"/>
        <w:rPr>
          <w:rFonts w:ascii="Times New Roman" w:hAnsi="Times New Roman" w:cs="宋体"/>
          <w:b/>
          <w:bCs/>
        </w:rPr>
      </w:pPr>
      <w:bookmarkStart w:id="257" w:name="_Toc989072"/>
      <w:r w:rsidRPr="00F614F9">
        <w:rPr>
          <w:rFonts w:ascii="Times New Roman" w:hAnsi="Times New Roman" w:cs="宋体"/>
          <w:b/>
          <w:bCs/>
        </w:rPr>
        <w:t>6</w:t>
      </w:r>
      <w:r w:rsidRPr="00F614F9">
        <w:rPr>
          <w:rFonts w:ascii="Times New Roman" w:hAnsi="Times New Roman" w:cs="宋体"/>
          <w:b/>
          <w:bCs/>
        </w:rPr>
        <w:t>、同</w:t>
      </w:r>
      <w:proofErr w:type="gramStart"/>
      <w:r w:rsidRPr="00F614F9">
        <w:rPr>
          <w:rFonts w:ascii="Times New Roman" w:hAnsi="Times New Roman" w:cs="宋体"/>
          <w:b/>
          <w:bCs/>
        </w:rPr>
        <w:t>一控制</w:t>
      </w:r>
      <w:proofErr w:type="gramEnd"/>
      <w:r w:rsidRPr="00F614F9">
        <w:rPr>
          <w:rFonts w:ascii="Times New Roman" w:hAnsi="Times New Roman" w:cs="宋体"/>
          <w:b/>
          <w:bCs/>
        </w:rPr>
        <w:t>下和非同</w:t>
      </w:r>
      <w:proofErr w:type="gramStart"/>
      <w:r w:rsidRPr="00F614F9">
        <w:rPr>
          <w:rFonts w:ascii="Times New Roman" w:hAnsi="Times New Roman" w:cs="宋体"/>
          <w:b/>
          <w:bCs/>
        </w:rPr>
        <w:t>一控制</w:t>
      </w:r>
      <w:proofErr w:type="gramEnd"/>
      <w:r w:rsidRPr="00F614F9">
        <w:rPr>
          <w:rFonts w:ascii="Times New Roman" w:hAnsi="Times New Roman" w:cs="宋体"/>
          <w:b/>
          <w:bCs/>
        </w:rPr>
        <w:t>下企业合并的会计处理方法</w:t>
      </w:r>
      <w:bookmarkEnd w:id="257"/>
    </w:p>
    <w:p w14:paraId="345C3096" w14:textId="77777777" w:rsidR="00872599" w:rsidRPr="00F614F9" w:rsidRDefault="00000000" w:rsidP="006C7FCA">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企业合并，是指将两个或两个以上单独的企业合并形成一个报告主体的交易或事项。企业合并分为同</w:t>
      </w:r>
      <w:proofErr w:type="gramStart"/>
      <w:r w:rsidRPr="00F614F9">
        <w:rPr>
          <w:rFonts w:ascii="Times New Roman" w:eastAsia="宋体" w:hAnsi="Times New Roman" w:hint="eastAsia"/>
          <w:sz w:val="18"/>
        </w:rPr>
        <w:t>一控制</w:t>
      </w:r>
      <w:proofErr w:type="gramEnd"/>
      <w:r w:rsidRPr="00F614F9">
        <w:rPr>
          <w:rFonts w:ascii="Times New Roman" w:eastAsia="宋体" w:hAnsi="Times New Roman" w:hint="eastAsia"/>
          <w:sz w:val="18"/>
        </w:rPr>
        <w:t>下企业合并和非同</w:t>
      </w:r>
      <w:proofErr w:type="gramStart"/>
      <w:r w:rsidRPr="00F614F9">
        <w:rPr>
          <w:rFonts w:ascii="Times New Roman" w:eastAsia="宋体" w:hAnsi="Times New Roman" w:hint="eastAsia"/>
          <w:sz w:val="18"/>
        </w:rPr>
        <w:t>一控制</w:t>
      </w:r>
      <w:proofErr w:type="gramEnd"/>
      <w:r w:rsidRPr="00F614F9">
        <w:rPr>
          <w:rFonts w:ascii="Times New Roman" w:eastAsia="宋体" w:hAnsi="Times New Roman" w:hint="eastAsia"/>
          <w:sz w:val="18"/>
        </w:rPr>
        <w:t>下企业合并。</w:t>
      </w:r>
    </w:p>
    <w:p w14:paraId="4FC0AA8E" w14:textId="77777777" w:rsidR="00872599" w:rsidRPr="00F614F9" w:rsidRDefault="00000000" w:rsidP="006C7FCA">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同</w:t>
      </w:r>
      <w:proofErr w:type="gramStart"/>
      <w:r w:rsidRPr="00F614F9">
        <w:rPr>
          <w:rFonts w:ascii="Times New Roman" w:eastAsia="宋体" w:hAnsi="Times New Roman" w:hint="eastAsia"/>
          <w:sz w:val="18"/>
        </w:rPr>
        <w:t>一控制</w:t>
      </w:r>
      <w:proofErr w:type="gramEnd"/>
      <w:r w:rsidRPr="00F614F9">
        <w:rPr>
          <w:rFonts w:ascii="Times New Roman" w:eastAsia="宋体" w:hAnsi="Times New Roman" w:hint="eastAsia"/>
          <w:sz w:val="18"/>
        </w:rPr>
        <w:t>下企业合并</w:t>
      </w:r>
    </w:p>
    <w:p w14:paraId="2D5BEF0A" w14:textId="77777777" w:rsidR="00872599" w:rsidRPr="00F614F9" w:rsidRDefault="00000000" w:rsidP="006C7FCA">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参与合并的企业在合并前后均受同一方或相同的多方最终控制，且</w:t>
      </w:r>
      <w:proofErr w:type="gramStart"/>
      <w:r w:rsidRPr="00F614F9">
        <w:rPr>
          <w:rFonts w:ascii="Times New Roman" w:eastAsia="宋体" w:hAnsi="Times New Roman" w:hint="eastAsia"/>
          <w:sz w:val="18"/>
        </w:rPr>
        <w:t>该控制</w:t>
      </w:r>
      <w:proofErr w:type="gramEnd"/>
      <w:r w:rsidRPr="00F614F9">
        <w:rPr>
          <w:rFonts w:ascii="Times New Roman" w:eastAsia="宋体" w:hAnsi="Times New Roman" w:hint="eastAsia"/>
          <w:sz w:val="18"/>
        </w:rPr>
        <w:t>并非暂时性的，为同</w:t>
      </w:r>
      <w:proofErr w:type="gramStart"/>
      <w:r w:rsidRPr="00F614F9">
        <w:rPr>
          <w:rFonts w:ascii="Times New Roman" w:eastAsia="宋体" w:hAnsi="Times New Roman" w:hint="eastAsia"/>
          <w:sz w:val="18"/>
        </w:rPr>
        <w:t>一控制</w:t>
      </w:r>
      <w:proofErr w:type="gramEnd"/>
      <w:r w:rsidRPr="00F614F9">
        <w:rPr>
          <w:rFonts w:ascii="Times New Roman" w:eastAsia="宋体" w:hAnsi="Times New Roman" w:hint="eastAsia"/>
          <w:sz w:val="18"/>
        </w:rPr>
        <w:t>下的企业合并。同</w:t>
      </w:r>
      <w:proofErr w:type="gramStart"/>
      <w:r w:rsidRPr="00F614F9">
        <w:rPr>
          <w:rFonts w:ascii="Times New Roman" w:eastAsia="宋体" w:hAnsi="Times New Roman" w:hint="eastAsia"/>
          <w:sz w:val="18"/>
        </w:rPr>
        <w:t>一控制</w:t>
      </w:r>
      <w:proofErr w:type="gramEnd"/>
      <w:r w:rsidRPr="00F614F9">
        <w:rPr>
          <w:rFonts w:ascii="Times New Roman" w:eastAsia="宋体" w:hAnsi="Times New Roman" w:hint="eastAsia"/>
          <w:sz w:val="18"/>
        </w:rPr>
        <w:t>下的企业合并，在</w:t>
      </w:r>
      <w:proofErr w:type="gramStart"/>
      <w:r w:rsidRPr="00F614F9">
        <w:rPr>
          <w:rFonts w:ascii="Times New Roman" w:eastAsia="宋体" w:hAnsi="Times New Roman" w:hint="eastAsia"/>
          <w:sz w:val="18"/>
        </w:rPr>
        <w:t>合并日取得</w:t>
      </w:r>
      <w:proofErr w:type="gramEnd"/>
      <w:r w:rsidRPr="00F614F9">
        <w:rPr>
          <w:rFonts w:ascii="Times New Roman" w:eastAsia="宋体" w:hAnsi="Times New Roman" w:hint="eastAsia"/>
          <w:sz w:val="18"/>
        </w:rPr>
        <w:t>对其他参与合并企业控制权的一方为合并方，参与合并的其他企业为被合并方。合并日，是指合并方实际取得对被合并方控制权的日期。</w:t>
      </w:r>
    </w:p>
    <w:p w14:paraId="3AEE2A3A" w14:textId="77777777" w:rsidR="00872599" w:rsidRPr="00F614F9" w:rsidRDefault="00000000" w:rsidP="006C7FCA">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合并方取得的资产和负债均按</w:t>
      </w:r>
      <w:proofErr w:type="gramStart"/>
      <w:r w:rsidRPr="00F614F9">
        <w:rPr>
          <w:rFonts w:ascii="Times New Roman" w:eastAsia="宋体" w:hAnsi="Times New Roman" w:hint="eastAsia"/>
          <w:sz w:val="18"/>
        </w:rPr>
        <w:t>合并日</w:t>
      </w:r>
      <w:proofErr w:type="gramEnd"/>
      <w:r w:rsidRPr="00F614F9">
        <w:rPr>
          <w:rFonts w:ascii="Times New Roman" w:eastAsia="宋体" w:hAnsi="Times New Roman" w:hint="eastAsia"/>
          <w:sz w:val="18"/>
        </w:rPr>
        <w:t>在被合并方的账面价值计量。合并方取得的净资产账面价值与支付的合并对价账面价值（或发行股份面值总额）的差额，调整资本公积（股本溢价）；资本公积（股本溢价）不足以冲减的，调整留存收益。</w:t>
      </w:r>
    </w:p>
    <w:p w14:paraId="5DD6B382" w14:textId="77777777" w:rsidR="00872599" w:rsidRPr="00F614F9" w:rsidRDefault="00000000" w:rsidP="006C7FCA">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合并方为企业合并发生的审计、法律服务、评估咨询等中介费用以及其他相关管理费用，于发生时计入当期损益。</w:t>
      </w:r>
    </w:p>
    <w:p w14:paraId="10B16429" w14:textId="77777777" w:rsidR="00872599" w:rsidRPr="00F614F9" w:rsidRDefault="00000000" w:rsidP="006C7FCA">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非同</w:t>
      </w:r>
      <w:proofErr w:type="gramStart"/>
      <w:r w:rsidRPr="00F614F9">
        <w:rPr>
          <w:rFonts w:ascii="Times New Roman" w:eastAsia="宋体" w:hAnsi="Times New Roman" w:hint="eastAsia"/>
          <w:sz w:val="18"/>
        </w:rPr>
        <w:t>一控制</w:t>
      </w:r>
      <w:proofErr w:type="gramEnd"/>
      <w:r w:rsidRPr="00F614F9">
        <w:rPr>
          <w:rFonts w:ascii="Times New Roman" w:eastAsia="宋体" w:hAnsi="Times New Roman" w:hint="eastAsia"/>
          <w:sz w:val="18"/>
        </w:rPr>
        <w:t>下企业合并</w:t>
      </w:r>
    </w:p>
    <w:p w14:paraId="005C3BE2" w14:textId="77777777" w:rsidR="00872599" w:rsidRPr="00F614F9" w:rsidRDefault="00000000" w:rsidP="006C7FCA">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参与合并的企业在合并前后不受同一方或相同的多方最终控制的，为非同</w:t>
      </w:r>
      <w:proofErr w:type="gramStart"/>
      <w:r w:rsidRPr="00F614F9">
        <w:rPr>
          <w:rFonts w:ascii="Times New Roman" w:eastAsia="宋体" w:hAnsi="Times New Roman" w:hint="eastAsia"/>
          <w:sz w:val="18"/>
        </w:rPr>
        <w:t>一控制</w:t>
      </w:r>
      <w:proofErr w:type="gramEnd"/>
      <w:r w:rsidRPr="00F614F9">
        <w:rPr>
          <w:rFonts w:ascii="Times New Roman" w:eastAsia="宋体" w:hAnsi="Times New Roman" w:hint="eastAsia"/>
          <w:sz w:val="18"/>
        </w:rPr>
        <w:t>下的企业合并。非同</w:t>
      </w:r>
      <w:proofErr w:type="gramStart"/>
      <w:r w:rsidRPr="00F614F9">
        <w:rPr>
          <w:rFonts w:ascii="Times New Roman" w:eastAsia="宋体" w:hAnsi="Times New Roman" w:hint="eastAsia"/>
          <w:sz w:val="18"/>
        </w:rPr>
        <w:t>一控制</w:t>
      </w:r>
      <w:proofErr w:type="gramEnd"/>
      <w:r w:rsidRPr="00F614F9">
        <w:rPr>
          <w:rFonts w:ascii="Times New Roman" w:eastAsia="宋体" w:hAnsi="Times New Roman" w:hint="eastAsia"/>
          <w:sz w:val="18"/>
        </w:rPr>
        <w:t>下的企业合并，在购买</w:t>
      </w:r>
      <w:proofErr w:type="gramStart"/>
      <w:r w:rsidRPr="00F614F9">
        <w:rPr>
          <w:rFonts w:ascii="Times New Roman" w:eastAsia="宋体" w:hAnsi="Times New Roman" w:hint="eastAsia"/>
          <w:sz w:val="18"/>
        </w:rPr>
        <w:t>日取得</w:t>
      </w:r>
      <w:proofErr w:type="gramEnd"/>
      <w:r w:rsidRPr="00F614F9">
        <w:rPr>
          <w:rFonts w:ascii="Times New Roman" w:eastAsia="宋体" w:hAnsi="Times New Roman" w:hint="eastAsia"/>
          <w:sz w:val="18"/>
        </w:rPr>
        <w:t>对其他参与合并企业控制权的一方为购买方，参与合并的其他企业为被购买方。购买日，是指为购买方实际取得对被购买方控制权的日期。</w:t>
      </w:r>
    </w:p>
    <w:p w14:paraId="6D720F69" w14:textId="77777777" w:rsidR="00872599" w:rsidRPr="00F614F9" w:rsidRDefault="00000000" w:rsidP="006C7FCA">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对于非同</w:t>
      </w:r>
      <w:proofErr w:type="gramStart"/>
      <w:r w:rsidRPr="00F614F9">
        <w:rPr>
          <w:rFonts w:ascii="Times New Roman" w:eastAsia="宋体" w:hAnsi="Times New Roman" w:hint="eastAsia"/>
          <w:sz w:val="18"/>
        </w:rPr>
        <w:t>一控制</w:t>
      </w:r>
      <w:proofErr w:type="gramEnd"/>
      <w:r w:rsidRPr="00F614F9">
        <w:rPr>
          <w:rFonts w:ascii="Times New Roman" w:eastAsia="宋体" w:hAnsi="Times New Roman" w:hint="eastAsia"/>
          <w:sz w:val="18"/>
        </w:rPr>
        <w:t>下的企业合并，合并成本包含购买</w:t>
      </w:r>
      <w:proofErr w:type="gramStart"/>
      <w:r w:rsidRPr="00F614F9">
        <w:rPr>
          <w:rFonts w:ascii="Times New Roman" w:eastAsia="宋体" w:hAnsi="Times New Roman" w:hint="eastAsia"/>
          <w:sz w:val="18"/>
        </w:rPr>
        <w:t>日购买</w:t>
      </w:r>
      <w:proofErr w:type="gramEnd"/>
      <w:r w:rsidRPr="00F614F9">
        <w:rPr>
          <w:rFonts w:ascii="Times New Roman" w:eastAsia="宋体" w:hAnsi="Times New Roman" w:hint="eastAsia"/>
          <w:sz w:val="18"/>
        </w:rPr>
        <w:t>方为取得对被购买方的控制权而付出的资产、发生或承担的负债以及发行的权益</w:t>
      </w:r>
      <w:proofErr w:type="gramStart"/>
      <w:r w:rsidRPr="00F614F9">
        <w:rPr>
          <w:rFonts w:ascii="Times New Roman" w:eastAsia="宋体" w:hAnsi="Times New Roman" w:hint="eastAsia"/>
          <w:sz w:val="18"/>
        </w:rPr>
        <w:t>性证券</w:t>
      </w:r>
      <w:proofErr w:type="gramEnd"/>
      <w:r w:rsidRPr="00F614F9">
        <w:rPr>
          <w:rFonts w:ascii="Times New Roman" w:eastAsia="宋体" w:hAnsi="Times New Roman" w:hint="eastAsia"/>
          <w:sz w:val="18"/>
        </w:rPr>
        <w:t>的公允价值，为企业合并发生的审计、法律服务、评估咨询等中介费用以及其他管理费用于发生时计入当期损益。购买方作为合并对价发行的权益</w:t>
      </w:r>
      <w:proofErr w:type="gramStart"/>
      <w:r w:rsidRPr="00F614F9">
        <w:rPr>
          <w:rFonts w:ascii="Times New Roman" w:eastAsia="宋体" w:hAnsi="Times New Roman" w:hint="eastAsia"/>
          <w:sz w:val="18"/>
        </w:rPr>
        <w:t>性证券</w:t>
      </w:r>
      <w:proofErr w:type="gramEnd"/>
      <w:r w:rsidRPr="00F614F9">
        <w:rPr>
          <w:rFonts w:ascii="Times New Roman" w:eastAsia="宋体" w:hAnsi="Times New Roman" w:hint="eastAsia"/>
          <w:sz w:val="18"/>
        </w:rPr>
        <w:t>或债务</w:t>
      </w:r>
      <w:proofErr w:type="gramStart"/>
      <w:r w:rsidRPr="00F614F9">
        <w:rPr>
          <w:rFonts w:ascii="Times New Roman" w:eastAsia="宋体" w:hAnsi="Times New Roman" w:hint="eastAsia"/>
          <w:sz w:val="18"/>
        </w:rPr>
        <w:t>性证券</w:t>
      </w:r>
      <w:proofErr w:type="gramEnd"/>
      <w:r w:rsidRPr="00F614F9">
        <w:rPr>
          <w:rFonts w:ascii="Times New Roman" w:eastAsia="宋体" w:hAnsi="Times New Roman" w:hint="eastAsia"/>
          <w:sz w:val="18"/>
        </w:rPr>
        <w:t>的交易费用，计入权益</w:t>
      </w:r>
      <w:proofErr w:type="gramStart"/>
      <w:r w:rsidRPr="00F614F9">
        <w:rPr>
          <w:rFonts w:ascii="Times New Roman" w:eastAsia="宋体" w:hAnsi="Times New Roman" w:hint="eastAsia"/>
          <w:sz w:val="18"/>
        </w:rPr>
        <w:t>性证券</w:t>
      </w:r>
      <w:proofErr w:type="gramEnd"/>
      <w:r w:rsidRPr="00F614F9">
        <w:rPr>
          <w:rFonts w:ascii="Times New Roman" w:eastAsia="宋体" w:hAnsi="Times New Roman" w:hint="eastAsia"/>
          <w:sz w:val="18"/>
        </w:rPr>
        <w:t>或债务</w:t>
      </w:r>
      <w:proofErr w:type="gramStart"/>
      <w:r w:rsidRPr="00F614F9">
        <w:rPr>
          <w:rFonts w:ascii="Times New Roman" w:eastAsia="宋体" w:hAnsi="Times New Roman" w:hint="eastAsia"/>
          <w:sz w:val="18"/>
        </w:rPr>
        <w:t>性证券</w:t>
      </w:r>
      <w:proofErr w:type="gramEnd"/>
      <w:r w:rsidRPr="00F614F9">
        <w:rPr>
          <w:rFonts w:ascii="Times New Roman" w:eastAsia="宋体" w:hAnsi="Times New Roman" w:hint="eastAsia"/>
          <w:sz w:val="18"/>
        </w:rPr>
        <w:t>的初</w:t>
      </w:r>
      <w:r w:rsidRPr="00F614F9">
        <w:rPr>
          <w:rFonts w:ascii="Times New Roman" w:eastAsia="宋体" w:hAnsi="Times New Roman" w:hint="eastAsia"/>
          <w:sz w:val="18"/>
        </w:rPr>
        <w:lastRenderedPageBreak/>
        <w:t>始确认金额。所涉及的或有对价按其在购买日的公允价值计入合并成本，购买日后</w:t>
      </w:r>
      <w:r w:rsidRPr="00F614F9">
        <w:rPr>
          <w:rFonts w:ascii="Times New Roman" w:eastAsia="宋体" w:hAnsi="Times New Roman" w:hint="eastAsia"/>
          <w:sz w:val="18"/>
        </w:rPr>
        <w:t>12</w:t>
      </w:r>
      <w:r w:rsidRPr="00F614F9">
        <w:rPr>
          <w:rFonts w:ascii="Times New Roman" w:eastAsia="宋体" w:hAnsi="Times New Roman" w:hint="eastAsia"/>
          <w:sz w:val="18"/>
        </w:rPr>
        <w:t>个月内出现对购买日已存在情况的新的或进一步证据而需要调整或有对价的，相应调整合并商誉。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w:t>
      </w:r>
      <w:proofErr w:type="gramStart"/>
      <w:r w:rsidRPr="00F614F9">
        <w:rPr>
          <w:rFonts w:ascii="Times New Roman" w:eastAsia="宋体" w:hAnsi="Times New Roman" w:hint="eastAsia"/>
          <w:sz w:val="18"/>
        </w:rPr>
        <w:t>方各项</w:t>
      </w:r>
      <w:proofErr w:type="gramEnd"/>
      <w:r w:rsidRPr="00F614F9">
        <w:rPr>
          <w:rFonts w:ascii="Times New Roman" w:eastAsia="宋体" w:hAnsi="Times New Roman" w:hint="eastAsia"/>
          <w:sz w:val="18"/>
        </w:rPr>
        <w:t>可辨认资产、负债及或有负债的公允价值以及合并成本的计量进行复核，复核后合并成本仍小于合并中取得的被购买方可辨认净资产公允价值份额的，其差额计入当期损益。</w:t>
      </w:r>
    </w:p>
    <w:p w14:paraId="4BC625D5" w14:textId="77777777" w:rsidR="00872599" w:rsidRPr="00F614F9" w:rsidRDefault="00000000" w:rsidP="006C7FCA">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购买方取得被购买方的可抵扣暂时性差异，在购买日因不符合递延所得税资产确认条件而未予确认的，在购买日后</w:t>
      </w:r>
      <w:r w:rsidRPr="00F614F9">
        <w:rPr>
          <w:rFonts w:ascii="Times New Roman" w:eastAsia="宋体" w:hAnsi="Times New Roman" w:hint="eastAsia"/>
          <w:sz w:val="18"/>
        </w:rPr>
        <w:t>12</w:t>
      </w:r>
      <w:r w:rsidRPr="00F614F9">
        <w:rPr>
          <w:rFonts w:ascii="Times New Roman" w:eastAsia="宋体" w:hAnsi="Times New Roman" w:hint="eastAsia"/>
          <w:sz w:val="18"/>
        </w:rPr>
        <w:t>个月内，如取得新的或进一步的信息表明购买日的相关情况已经存在，预期被购买方在购买日可抵扣暂时性差异带来的经济利益能够实现的，则确认相关的递延所得税资产，同时减少商誉，商誉不足冲减的，差额部分确认为当期损益；除上述情况以外，确认与企业合并相关的递延所得税资产的，计入当期损益。</w:t>
      </w:r>
    </w:p>
    <w:p w14:paraId="0BA639D1" w14:textId="77777777" w:rsidR="00872599" w:rsidRPr="00F614F9" w:rsidRDefault="00000000" w:rsidP="006C7FCA">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通过多次交易分步实现的非同</w:t>
      </w:r>
      <w:proofErr w:type="gramStart"/>
      <w:r w:rsidRPr="00F614F9">
        <w:rPr>
          <w:rFonts w:ascii="Times New Roman" w:eastAsia="宋体" w:hAnsi="Times New Roman" w:hint="eastAsia"/>
          <w:sz w:val="18"/>
        </w:rPr>
        <w:t>一控制</w:t>
      </w:r>
      <w:proofErr w:type="gramEnd"/>
      <w:r w:rsidRPr="00F614F9">
        <w:rPr>
          <w:rFonts w:ascii="Times New Roman" w:eastAsia="宋体" w:hAnsi="Times New Roman" w:hint="eastAsia"/>
          <w:sz w:val="18"/>
        </w:rPr>
        <w:t>下企业合并，根据《财政部关于印发企业会计准则解释第</w:t>
      </w:r>
      <w:r w:rsidRPr="00F614F9">
        <w:rPr>
          <w:rFonts w:ascii="Times New Roman" w:eastAsia="宋体" w:hAnsi="Times New Roman" w:hint="eastAsia"/>
          <w:sz w:val="18"/>
        </w:rPr>
        <w:t>5</w:t>
      </w:r>
      <w:r w:rsidRPr="00F614F9">
        <w:rPr>
          <w:rFonts w:ascii="Times New Roman" w:eastAsia="宋体" w:hAnsi="Times New Roman" w:hint="eastAsia"/>
          <w:sz w:val="18"/>
        </w:rPr>
        <w:t>号的通知》（财会</w:t>
      </w:r>
      <w:r w:rsidRPr="00F614F9">
        <w:rPr>
          <w:rFonts w:ascii="Times New Roman" w:eastAsia="宋体" w:hAnsi="Times New Roman" w:hint="eastAsia"/>
          <w:sz w:val="18"/>
        </w:rPr>
        <w:t>[2012]19</w:t>
      </w:r>
      <w:r w:rsidRPr="00F614F9">
        <w:rPr>
          <w:rFonts w:ascii="Times New Roman" w:eastAsia="宋体" w:hAnsi="Times New Roman" w:hint="eastAsia"/>
          <w:sz w:val="18"/>
        </w:rPr>
        <w:t>号）和《企业会计准则第</w:t>
      </w:r>
      <w:r w:rsidRPr="00F614F9">
        <w:rPr>
          <w:rFonts w:ascii="Times New Roman" w:eastAsia="宋体" w:hAnsi="Times New Roman" w:hint="eastAsia"/>
          <w:sz w:val="18"/>
        </w:rPr>
        <w:t>33</w:t>
      </w:r>
      <w:r w:rsidRPr="00F614F9">
        <w:rPr>
          <w:rFonts w:ascii="Times New Roman" w:eastAsia="宋体" w:hAnsi="Times New Roman" w:hint="eastAsia"/>
          <w:sz w:val="18"/>
        </w:rPr>
        <w:t>号——合并财务报表》第五十一条关于“一揽子交易”的判断标准（参见本附注五、</w:t>
      </w:r>
      <w:r w:rsidRPr="00F614F9">
        <w:rPr>
          <w:rFonts w:ascii="Times New Roman" w:eastAsia="宋体" w:hAnsi="Times New Roman" w:hint="eastAsia"/>
          <w:sz w:val="18"/>
        </w:rPr>
        <w:t>7</w:t>
      </w:r>
      <w:r w:rsidRPr="00F614F9">
        <w:rPr>
          <w:rFonts w:ascii="Times New Roman" w:eastAsia="宋体" w:hAnsi="Times New Roman" w:hint="eastAsia"/>
          <w:sz w:val="18"/>
        </w:rPr>
        <w:t>“控制的判断标准和合并财务报表的编制方法”（</w:t>
      </w:r>
      <w:r w:rsidRPr="00F614F9">
        <w:rPr>
          <w:rFonts w:ascii="Times New Roman" w:eastAsia="宋体" w:hAnsi="Times New Roman" w:hint="eastAsia"/>
          <w:sz w:val="18"/>
        </w:rPr>
        <w:t>2</w:t>
      </w:r>
      <w:r w:rsidRPr="00F614F9">
        <w:rPr>
          <w:rFonts w:ascii="Times New Roman" w:eastAsia="宋体" w:hAnsi="Times New Roman" w:hint="eastAsia"/>
          <w:sz w:val="18"/>
        </w:rPr>
        <w:t>）），判断</w:t>
      </w:r>
      <w:proofErr w:type="gramStart"/>
      <w:r w:rsidRPr="00F614F9">
        <w:rPr>
          <w:rFonts w:ascii="Times New Roman" w:eastAsia="宋体" w:hAnsi="Times New Roman" w:hint="eastAsia"/>
          <w:sz w:val="18"/>
        </w:rPr>
        <w:t>该多次</w:t>
      </w:r>
      <w:proofErr w:type="gramEnd"/>
      <w:r w:rsidRPr="00F614F9">
        <w:rPr>
          <w:rFonts w:ascii="Times New Roman" w:eastAsia="宋体" w:hAnsi="Times New Roman" w:hint="eastAsia"/>
          <w:sz w:val="18"/>
        </w:rPr>
        <w:t>交易是否属于“一揽子交易”。属于“一揽子交易”的，参考本部分前面各段描述及本附注五、</w:t>
      </w:r>
      <w:r w:rsidRPr="00F614F9">
        <w:rPr>
          <w:rFonts w:ascii="Times New Roman" w:eastAsia="宋体" w:hAnsi="Times New Roman" w:hint="eastAsia"/>
          <w:sz w:val="18"/>
        </w:rPr>
        <w:t>22</w:t>
      </w:r>
      <w:r w:rsidRPr="00F614F9">
        <w:rPr>
          <w:rFonts w:ascii="Times New Roman" w:eastAsia="宋体" w:hAnsi="Times New Roman" w:hint="eastAsia"/>
          <w:sz w:val="18"/>
        </w:rPr>
        <w:t>“长期股权投资”进行会计处理；不属于“一揽子交易”的，区分个别财务报表和合并财务报表进行相关会计处理：</w:t>
      </w:r>
    </w:p>
    <w:p w14:paraId="0304CDD0" w14:textId="77777777" w:rsidR="00872599" w:rsidRPr="00F614F9" w:rsidRDefault="00000000" w:rsidP="006C7FCA">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在个别财务报表中，以购买日之前所持被购买方的股权投资的账面价值与购买日新增投资成本之和，作为该项投资的初始投资成本；购买日之前持有的被购买方的股权涉及其他综合收益的，在处置该项投资时将与其相关的其他综合收益采用与被购买方直接处置相关资产或负债相同的基础进行会计处理。</w:t>
      </w:r>
    </w:p>
    <w:p w14:paraId="6A585198" w14:textId="77777777" w:rsidR="00872599" w:rsidRPr="00F614F9" w:rsidRDefault="00000000" w:rsidP="006C7FCA">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采用与被购买方直接处置相关资产或负债相同的基础进行会计处理。</w:t>
      </w:r>
    </w:p>
    <w:p w14:paraId="593F146E" w14:textId="77777777" w:rsidR="001D26E7" w:rsidRPr="00F614F9" w:rsidRDefault="00000000">
      <w:pPr>
        <w:pStyle w:val="3"/>
        <w:spacing w:line="280" w:lineRule="exact"/>
        <w:jc w:val="left"/>
        <w:rPr>
          <w:rFonts w:ascii="Times New Roman" w:hAnsi="Times New Roman" w:cs="宋体"/>
          <w:b/>
          <w:bCs/>
        </w:rPr>
      </w:pPr>
      <w:bookmarkStart w:id="258" w:name="_Toc989073"/>
      <w:r w:rsidRPr="00F614F9">
        <w:rPr>
          <w:rFonts w:ascii="Times New Roman" w:hAnsi="Times New Roman" w:cs="宋体"/>
          <w:b/>
          <w:bCs/>
        </w:rPr>
        <w:t>7</w:t>
      </w:r>
      <w:r w:rsidRPr="00F614F9">
        <w:rPr>
          <w:rFonts w:ascii="Times New Roman" w:hAnsi="Times New Roman" w:cs="宋体"/>
          <w:b/>
          <w:bCs/>
        </w:rPr>
        <w:t>、控制的判断标准和合并财务报表的编制方法</w:t>
      </w:r>
      <w:bookmarkEnd w:id="258"/>
    </w:p>
    <w:p w14:paraId="63FF9321" w14:textId="77777777" w:rsidR="00872599" w:rsidRPr="00F614F9" w:rsidRDefault="00000000" w:rsidP="006C7FCA">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合并财务报表范围的确定原则</w:t>
      </w:r>
    </w:p>
    <w:p w14:paraId="5EBC4AA7" w14:textId="77777777" w:rsidR="00872599" w:rsidRPr="00F614F9" w:rsidRDefault="00000000" w:rsidP="006C7FCA">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合并财务报表的合并范围以控制为基础予以确定。控制是指本集团拥有对被投资方的权力，通过参与被投资方的相关活动而享有可变回报，并且有能力运用对被投资方的权力影响该回报金额。合并范围包括本公司及全部子公司。子公司，是指被本集团控制的主体。</w:t>
      </w:r>
    </w:p>
    <w:p w14:paraId="7888D78F" w14:textId="77777777" w:rsidR="00872599" w:rsidRPr="00F614F9" w:rsidRDefault="00000000" w:rsidP="006C7FCA">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一旦相关事实和情况的变化导致上述控制定义涉及的相关要素发生了变化，本集团将进行重新评估。</w:t>
      </w:r>
    </w:p>
    <w:p w14:paraId="34C2828F" w14:textId="77777777" w:rsidR="00872599" w:rsidRPr="00F614F9" w:rsidRDefault="00000000" w:rsidP="006C7FCA">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合并财务报表编制的方法</w:t>
      </w:r>
    </w:p>
    <w:p w14:paraId="25177A4C" w14:textId="77777777" w:rsidR="00872599" w:rsidRPr="00F614F9" w:rsidRDefault="00000000" w:rsidP="006C7FCA">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从取得子公司的净资产和生产经营决策的实际控制权之日起，本集团开始将其纳入合并范围；从丧失实际控制权之日起停止纳入合并范围。对于处置的子公司，处置日前的经营成果和现金流量已经适当地包括在合并利润表和合并现金流量表中；当期处置的子公司，不调整合并资产负债表的期初数。非同</w:t>
      </w:r>
      <w:proofErr w:type="gramStart"/>
      <w:r w:rsidRPr="00F614F9">
        <w:rPr>
          <w:rFonts w:ascii="Times New Roman" w:eastAsia="宋体" w:hAnsi="Times New Roman" w:hint="eastAsia"/>
          <w:sz w:val="18"/>
          <w:szCs w:val="18"/>
        </w:rPr>
        <w:t>一控制</w:t>
      </w:r>
      <w:proofErr w:type="gramEnd"/>
      <w:r w:rsidRPr="00F614F9">
        <w:rPr>
          <w:rFonts w:ascii="Times New Roman" w:eastAsia="宋体" w:hAnsi="Times New Roman" w:hint="eastAsia"/>
          <w:sz w:val="18"/>
          <w:szCs w:val="18"/>
        </w:rPr>
        <w:t>下企业合并增加的子公司，其购买日后的经营成果及现金流量已经适当地包括在合并利润表和合并现金流量表中，且不调整合并财务报表的期初数和对比数。同</w:t>
      </w:r>
      <w:proofErr w:type="gramStart"/>
      <w:r w:rsidRPr="00F614F9">
        <w:rPr>
          <w:rFonts w:ascii="Times New Roman" w:eastAsia="宋体" w:hAnsi="Times New Roman" w:hint="eastAsia"/>
          <w:sz w:val="18"/>
          <w:szCs w:val="18"/>
        </w:rPr>
        <w:t>一控制</w:t>
      </w:r>
      <w:proofErr w:type="gramEnd"/>
      <w:r w:rsidRPr="00F614F9">
        <w:rPr>
          <w:rFonts w:ascii="Times New Roman" w:eastAsia="宋体" w:hAnsi="Times New Roman" w:hint="eastAsia"/>
          <w:sz w:val="18"/>
          <w:szCs w:val="18"/>
        </w:rPr>
        <w:t>下企业合并增加的子公司及吸收合并下的被合并方，其自合并当期期初至</w:t>
      </w:r>
      <w:proofErr w:type="gramStart"/>
      <w:r w:rsidRPr="00F614F9">
        <w:rPr>
          <w:rFonts w:ascii="Times New Roman" w:eastAsia="宋体" w:hAnsi="Times New Roman" w:hint="eastAsia"/>
          <w:sz w:val="18"/>
          <w:szCs w:val="18"/>
        </w:rPr>
        <w:t>合并日</w:t>
      </w:r>
      <w:proofErr w:type="gramEnd"/>
      <w:r w:rsidRPr="00F614F9">
        <w:rPr>
          <w:rFonts w:ascii="Times New Roman" w:eastAsia="宋体" w:hAnsi="Times New Roman" w:hint="eastAsia"/>
          <w:sz w:val="18"/>
          <w:szCs w:val="18"/>
        </w:rPr>
        <w:t>的经营成果和现金流量已经适当地包括在合并利润表和合并现金流量表中，并且同时调整合并财务报表的对比数。</w:t>
      </w:r>
    </w:p>
    <w:p w14:paraId="10BB80FE" w14:textId="77777777" w:rsidR="00872599" w:rsidRPr="00F614F9" w:rsidRDefault="00000000" w:rsidP="006C7FCA">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在编制合并财务报表时，子公司与本公司采用的会计政策或会计期间不一致的，按照本公司的会计政策和会计期间对子公司财务报表进行必要的调整。对于非同</w:t>
      </w:r>
      <w:proofErr w:type="gramStart"/>
      <w:r w:rsidRPr="00F614F9">
        <w:rPr>
          <w:rFonts w:ascii="Times New Roman" w:eastAsia="宋体" w:hAnsi="Times New Roman" w:hint="eastAsia"/>
          <w:sz w:val="18"/>
          <w:szCs w:val="18"/>
        </w:rPr>
        <w:t>一控制</w:t>
      </w:r>
      <w:proofErr w:type="gramEnd"/>
      <w:r w:rsidRPr="00F614F9">
        <w:rPr>
          <w:rFonts w:ascii="Times New Roman" w:eastAsia="宋体" w:hAnsi="Times New Roman" w:hint="eastAsia"/>
          <w:sz w:val="18"/>
          <w:szCs w:val="18"/>
        </w:rPr>
        <w:t>下企业合并取得的子公司，以购买日可辨认净资产公允价值为基础对其财务报表进行调整。</w:t>
      </w:r>
    </w:p>
    <w:p w14:paraId="0450396A" w14:textId="77777777" w:rsidR="00872599" w:rsidRPr="00F614F9" w:rsidRDefault="00000000" w:rsidP="006C7FCA">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lastRenderedPageBreak/>
        <w:t>集团内所有重大往来余额、交易及未实现利润在合并财务报表编制时予以</w:t>
      </w:r>
      <w:proofErr w:type="gramStart"/>
      <w:r w:rsidRPr="00F614F9">
        <w:rPr>
          <w:rFonts w:ascii="Times New Roman" w:eastAsia="宋体" w:hAnsi="Times New Roman" w:hint="eastAsia"/>
          <w:sz w:val="18"/>
          <w:szCs w:val="18"/>
        </w:rPr>
        <w:t>抵销</w:t>
      </w:r>
      <w:proofErr w:type="gramEnd"/>
      <w:r w:rsidRPr="00F614F9">
        <w:rPr>
          <w:rFonts w:ascii="Times New Roman" w:eastAsia="宋体" w:hAnsi="Times New Roman" w:hint="eastAsia"/>
          <w:sz w:val="18"/>
          <w:szCs w:val="18"/>
        </w:rPr>
        <w:t>。</w:t>
      </w:r>
    </w:p>
    <w:p w14:paraId="14B74046" w14:textId="77777777" w:rsidR="00872599" w:rsidRPr="00F614F9" w:rsidRDefault="00000000" w:rsidP="006C7FCA">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子公司的股东权益及当期净损益中不属于本公司所拥有的部分分别作为少数股东权益及少数股东损益在合并财务报表中股东权益及净利润项下单独列示。子公司当期净损益中属于少数股东权益的份额，在合并利润表中净利润项目下以“少数股东损益”项目列示。少数股东分担的子公司的亏损超过了少数股东在该子公司期初股东权益中所享有的份额，仍</w:t>
      </w:r>
      <w:proofErr w:type="gramStart"/>
      <w:r w:rsidRPr="00F614F9">
        <w:rPr>
          <w:rFonts w:ascii="Times New Roman" w:eastAsia="宋体" w:hAnsi="Times New Roman" w:hint="eastAsia"/>
          <w:sz w:val="18"/>
          <w:szCs w:val="18"/>
        </w:rPr>
        <w:t>冲减少</w:t>
      </w:r>
      <w:proofErr w:type="gramEnd"/>
      <w:r w:rsidRPr="00F614F9">
        <w:rPr>
          <w:rFonts w:ascii="Times New Roman" w:eastAsia="宋体" w:hAnsi="Times New Roman" w:hint="eastAsia"/>
          <w:sz w:val="18"/>
          <w:szCs w:val="18"/>
        </w:rPr>
        <w:t>数股东权益。</w:t>
      </w:r>
    </w:p>
    <w:p w14:paraId="552969B6" w14:textId="77777777" w:rsidR="00872599" w:rsidRPr="00F614F9" w:rsidRDefault="00000000" w:rsidP="006C7FCA">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当因处置部分股权投资或其他原因丧失了对原有子公司的控制权时，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采用与该子公司直接处置相关资产或负债相同的基础进行会计处理。其后，对该部分剩余股权按照《企业会计准则第</w:t>
      </w: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号——长期股权投资》或《企业会计准则第</w:t>
      </w:r>
      <w:r w:rsidRPr="00F614F9">
        <w:rPr>
          <w:rFonts w:ascii="Times New Roman" w:eastAsia="宋体" w:hAnsi="Times New Roman" w:hint="eastAsia"/>
          <w:sz w:val="18"/>
          <w:szCs w:val="18"/>
        </w:rPr>
        <w:t>22</w:t>
      </w:r>
      <w:r w:rsidRPr="00F614F9">
        <w:rPr>
          <w:rFonts w:ascii="Times New Roman" w:eastAsia="宋体" w:hAnsi="Times New Roman" w:hint="eastAsia"/>
          <w:sz w:val="18"/>
          <w:szCs w:val="18"/>
        </w:rPr>
        <w:t>号——金融工具确认和计量》等相关规定进行后续计量，详见本附注五、</w:t>
      </w:r>
      <w:r w:rsidRPr="00F614F9">
        <w:rPr>
          <w:rFonts w:ascii="Times New Roman" w:eastAsia="宋体" w:hAnsi="Times New Roman" w:hint="eastAsia"/>
          <w:sz w:val="18"/>
          <w:szCs w:val="18"/>
        </w:rPr>
        <w:t>22</w:t>
      </w:r>
      <w:r w:rsidRPr="00F614F9">
        <w:rPr>
          <w:rFonts w:ascii="Times New Roman" w:eastAsia="宋体" w:hAnsi="Times New Roman" w:hint="eastAsia"/>
          <w:sz w:val="18"/>
          <w:szCs w:val="18"/>
        </w:rPr>
        <w:t>“长期股权投资”或本附注五、</w:t>
      </w:r>
      <w:r w:rsidRPr="00F614F9">
        <w:rPr>
          <w:rFonts w:ascii="Times New Roman" w:eastAsia="宋体" w:hAnsi="Times New Roman" w:hint="eastAsia"/>
          <w:sz w:val="18"/>
          <w:szCs w:val="18"/>
        </w:rPr>
        <w:t>11</w:t>
      </w:r>
      <w:r w:rsidRPr="00F614F9">
        <w:rPr>
          <w:rFonts w:ascii="Times New Roman" w:eastAsia="宋体" w:hAnsi="Times New Roman" w:hint="eastAsia"/>
          <w:sz w:val="18"/>
          <w:szCs w:val="18"/>
        </w:rPr>
        <w:t>“金融工具”。</w:t>
      </w:r>
    </w:p>
    <w:p w14:paraId="30C9525F" w14:textId="77777777" w:rsidR="00872599" w:rsidRPr="00F614F9" w:rsidRDefault="00000000" w:rsidP="006C7FCA">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 xml:space="preserve">  </w:t>
      </w:r>
      <w:r w:rsidRPr="00F614F9">
        <w:rPr>
          <w:rFonts w:ascii="Times New Roman" w:eastAsia="宋体" w:hAnsi="Times New Roman" w:hint="eastAsia"/>
          <w:sz w:val="18"/>
          <w:szCs w:val="18"/>
        </w:rPr>
        <w:t>本集团通过多次交易分步处置对子公司股权投资直至丧失控制权的，需区分处置对子公司股权投资直至丧失控制权的各项交易是否属于一揽子交易。处置对子公司股权投资的各项交易的条款、条件以及经济影响符合以下一种或多种情况，通常表明应将多次交易事项作为一揽子交易进行会计处理：①这些交易是同时或者在考虑了彼此影响的情况下订立的；②这些交易整体才能达成一项完整的商业结果；③一项交易的发生取决于其他至少一项交易的发生；④一项交易单独看是不经济的，但是和其他交易一并考虑时是经济的。不属于一揽子交易的，对其中的每一项交易视情况分别按照“不丧失控制权的情况下部分处置对子公司的长期股权投资”（详见本附注五、</w:t>
      </w:r>
      <w:r w:rsidRPr="00F614F9">
        <w:rPr>
          <w:rFonts w:ascii="Times New Roman" w:eastAsia="宋体" w:hAnsi="Times New Roman" w:hint="eastAsia"/>
          <w:sz w:val="18"/>
          <w:szCs w:val="18"/>
        </w:rPr>
        <w:t>22</w:t>
      </w:r>
      <w:r w:rsidRPr="00F614F9">
        <w:rPr>
          <w:rFonts w:ascii="Times New Roman" w:eastAsia="宋体" w:hAnsi="Times New Roman" w:hint="eastAsia"/>
          <w:sz w:val="18"/>
          <w:szCs w:val="18"/>
        </w:rPr>
        <w:t>“长期股权投资”（</w:t>
      </w: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④）和“因处置部分股权投资或其他原因丧失了对原有子公司的控制权”（详见前段）适用的原则进行会计处理。处置对子公司股权投资直至丧失控制权的各项交易属于一揽子交易的，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14:paraId="3669C587" w14:textId="77777777" w:rsidR="001D26E7" w:rsidRPr="00F614F9" w:rsidRDefault="00000000">
      <w:pPr>
        <w:pStyle w:val="3"/>
        <w:spacing w:line="280" w:lineRule="exact"/>
        <w:jc w:val="left"/>
        <w:rPr>
          <w:rFonts w:ascii="Times New Roman" w:hAnsi="Times New Roman" w:cs="宋体"/>
          <w:b/>
          <w:bCs/>
        </w:rPr>
      </w:pPr>
      <w:bookmarkStart w:id="259" w:name="_Toc989074"/>
      <w:r w:rsidRPr="00F614F9">
        <w:rPr>
          <w:rFonts w:ascii="Times New Roman" w:hAnsi="Times New Roman" w:cs="宋体"/>
          <w:b/>
          <w:bCs/>
        </w:rPr>
        <w:t>8</w:t>
      </w:r>
      <w:r w:rsidRPr="00F614F9">
        <w:rPr>
          <w:rFonts w:ascii="Times New Roman" w:hAnsi="Times New Roman" w:cs="宋体"/>
          <w:b/>
          <w:bCs/>
        </w:rPr>
        <w:t>、合营安排分类及共同经营会计处理方法</w:t>
      </w:r>
      <w:bookmarkEnd w:id="259"/>
    </w:p>
    <w:p w14:paraId="12CB9CAB" w14:textId="77777777" w:rsidR="00872599" w:rsidRPr="00F614F9" w:rsidRDefault="00000000" w:rsidP="006C7FCA">
      <w:pPr>
        <w:pStyle w:val="a3"/>
        <w:spacing w:before="0" w:beforeAutospacing="0" w:after="0" w:afterAutospacing="0" w:line="276" w:lineRule="auto"/>
        <w:ind w:firstLine="360"/>
        <w:divId w:val="1582445473"/>
        <w:rPr>
          <w:rFonts w:ascii="Times New Roman" w:hAnsi="Times New Roman" w:cs="Times New Roman"/>
          <w:sz w:val="21"/>
          <w:szCs w:val="21"/>
        </w:rPr>
      </w:pPr>
      <w:r w:rsidRPr="00F614F9">
        <w:rPr>
          <w:rFonts w:ascii="Times New Roman" w:hAnsi="Times New Roman" w:cs="Times New Roman" w:hint="eastAsia"/>
          <w:sz w:val="18"/>
          <w:szCs w:val="18"/>
        </w:rPr>
        <w:t>合营安排，是指一项由两个或两个以上的参与方共同控制的安排。本集团根据在合营安排中享有的权利和承担的义务，将合营安排分为共同经营和合营企业。共同经营，是指本集团享有该安排相关资产且承担该安排相关负债的合营安排。合营企业，是指本集团仅对该安排的净资产享有权利的合营安排。</w:t>
      </w:r>
    </w:p>
    <w:p w14:paraId="284610AF" w14:textId="77777777" w:rsidR="00872599" w:rsidRPr="00F614F9" w:rsidRDefault="00000000" w:rsidP="006C7FCA">
      <w:pPr>
        <w:pStyle w:val="a3"/>
        <w:spacing w:before="0" w:beforeAutospacing="0" w:after="0" w:afterAutospacing="0" w:line="276" w:lineRule="auto"/>
        <w:ind w:firstLine="360"/>
        <w:divId w:val="1582445473"/>
        <w:rPr>
          <w:rFonts w:ascii="Times New Roman" w:hAnsi="Times New Roman" w:cs="Times New Roman"/>
          <w:sz w:val="21"/>
          <w:szCs w:val="21"/>
        </w:rPr>
      </w:pPr>
      <w:r w:rsidRPr="00F614F9">
        <w:rPr>
          <w:rFonts w:ascii="Times New Roman" w:hAnsi="Times New Roman" w:cs="Times New Roman" w:hint="eastAsia"/>
          <w:sz w:val="18"/>
          <w:szCs w:val="18"/>
        </w:rPr>
        <w:t>本集团对合营企业的投资采用权益法核算，按照本附注五、</w:t>
      </w:r>
      <w:r w:rsidRPr="00F614F9">
        <w:rPr>
          <w:rFonts w:ascii="Times New Roman" w:hAnsi="Times New Roman" w:cs="Times New Roman" w:hint="eastAsia"/>
          <w:sz w:val="18"/>
          <w:szCs w:val="18"/>
        </w:rPr>
        <w:t>22</w:t>
      </w:r>
      <w:r w:rsidRPr="00F614F9">
        <w:rPr>
          <w:rFonts w:ascii="Times New Roman" w:hAnsi="Times New Roman" w:cs="Times New Roman" w:hint="eastAsia"/>
          <w:sz w:val="18"/>
          <w:szCs w:val="18"/>
        </w:rPr>
        <w:t>“长期股权投资”（</w:t>
      </w:r>
      <w:r w:rsidRPr="00F614F9">
        <w:rPr>
          <w:rFonts w:ascii="Times New Roman" w:hAnsi="Times New Roman" w:cs="Times New Roman" w:hint="eastAsia"/>
          <w:sz w:val="18"/>
          <w:szCs w:val="18"/>
        </w:rPr>
        <w:t>2</w:t>
      </w:r>
      <w:r w:rsidRPr="00F614F9">
        <w:rPr>
          <w:rFonts w:ascii="Times New Roman" w:hAnsi="Times New Roman" w:cs="Times New Roman" w:hint="eastAsia"/>
          <w:sz w:val="18"/>
          <w:szCs w:val="18"/>
        </w:rPr>
        <w:t>）②“权益法核算的长期股权投资”中所述的会计政策处理。</w:t>
      </w:r>
    </w:p>
    <w:p w14:paraId="22FAC4C5" w14:textId="77777777" w:rsidR="00872599" w:rsidRPr="00F614F9" w:rsidRDefault="00000000" w:rsidP="006C7FCA">
      <w:pPr>
        <w:pStyle w:val="a3"/>
        <w:spacing w:before="0" w:beforeAutospacing="0" w:after="0" w:afterAutospacing="0" w:line="276" w:lineRule="auto"/>
        <w:ind w:firstLine="360"/>
        <w:divId w:val="1582445473"/>
        <w:rPr>
          <w:rFonts w:ascii="Times New Roman" w:hAnsi="Times New Roman" w:cs="Times New Roman"/>
          <w:sz w:val="21"/>
          <w:szCs w:val="21"/>
        </w:rPr>
      </w:pPr>
      <w:r w:rsidRPr="00F614F9">
        <w:rPr>
          <w:rFonts w:ascii="Times New Roman" w:hAnsi="Times New Roman" w:cs="Times New Roman" w:hint="eastAsia"/>
          <w:sz w:val="18"/>
          <w:szCs w:val="18"/>
        </w:rPr>
        <w:t>本集团作为合营方对共同经营，确认本集团单独持有的资产、单独所承担的负债，以及按本集团份额确认共同持有的资产和共同承担的负债；确认出售本集团享有的共同经营产出份额所产生的收入；按本集团份额确认共同经营因出售产出所产生的收入；确认本集团单独所发生的费用，以及按本集团份额确认共同经营发生的费用。</w:t>
      </w:r>
    </w:p>
    <w:p w14:paraId="095B8014" w14:textId="77777777" w:rsidR="00872599" w:rsidRPr="00F614F9" w:rsidRDefault="00000000" w:rsidP="006C7FCA">
      <w:pPr>
        <w:pStyle w:val="a3"/>
        <w:spacing w:before="0" w:beforeAutospacing="0" w:after="0" w:afterAutospacing="0" w:line="276" w:lineRule="auto"/>
        <w:ind w:firstLine="360"/>
        <w:divId w:val="1582445473"/>
        <w:rPr>
          <w:rFonts w:ascii="Times New Roman" w:hAnsi="Times New Roman" w:cs="Times New Roman"/>
          <w:sz w:val="21"/>
          <w:szCs w:val="21"/>
        </w:rPr>
      </w:pPr>
      <w:r w:rsidRPr="00F614F9">
        <w:rPr>
          <w:rFonts w:ascii="Times New Roman" w:hAnsi="Times New Roman" w:cs="Times New Roman" w:hint="eastAsia"/>
          <w:sz w:val="18"/>
          <w:szCs w:val="18"/>
        </w:rPr>
        <w:t>当本集团作为合营方向共同经营投出或出售资产（该资产不构成业务，下同）、或者</w:t>
      </w:r>
      <w:proofErr w:type="gramStart"/>
      <w:r w:rsidRPr="00F614F9">
        <w:rPr>
          <w:rFonts w:ascii="Times New Roman" w:hAnsi="Times New Roman" w:cs="Times New Roman" w:hint="eastAsia"/>
          <w:sz w:val="18"/>
          <w:szCs w:val="18"/>
        </w:rPr>
        <w:t>自共同</w:t>
      </w:r>
      <w:proofErr w:type="gramEnd"/>
      <w:r w:rsidRPr="00F614F9">
        <w:rPr>
          <w:rFonts w:ascii="Times New Roman" w:hAnsi="Times New Roman" w:cs="Times New Roman" w:hint="eastAsia"/>
          <w:sz w:val="18"/>
          <w:szCs w:val="18"/>
        </w:rPr>
        <w:t>经营购买资产时，在该等资产出售给第三方之前，本集团仅</w:t>
      </w:r>
      <w:proofErr w:type="gramStart"/>
      <w:r w:rsidRPr="00F614F9">
        <w:rPr>
          <w:rFonts w:ascii="Times New Roman" w:hAnsi="Times New Roman" w:cs="Times New Roman" w:hint="eastAsia"/>
          <w:sz w:val="18"/>
          <w:szCs w:val="18"/>
        </w:rPr>
        <w:t>确认因</w:t>
      </w:r>
      <w:proofErr w:type="gramEnd"/>
      <w:r w:rsidRPr="00F614F9">
        <w:rPr>
          <w:rFonts w:ascii="Times New Roman" w:hAnsi="Times New Roman" w:cs="Times New Roman" w:hint="eastAsia"/>
          <w:sz w:val="18"/>
          <w:szCs w:val="18"/>
        </w:rPr>
        <w:t>该交易产生的损益中归属于共同经营其他参与方的部分。该等资产发生符合《企业会计准则第</w:t>
      </w:r>
      <w:r w:rsidRPr="00F614F9">
        <w:rPr>
          <w:rFonts w:ascii="Times New Roman" w:hAnsi="Times New Roman" w:cs="Times New Roman" w:hint="eastAsia"/>
          <w:sz w:val="18"/>
          <w:szCs w:val="18"/>
        </w:rPr>
        <w:t>8</w:t>
      </w:r>
      <w:r w:rsidRPr="00F614F9">
        <w:rPr>
          <w:rFonts w:ascii="Times New Roman" w:hAnsi="Times New Roman" w:cs="Times New Roman" w:hint="eastAsia"/>
          <w:sz w:val="18"/>
          <w:szCs w:val="18"/>
        </w:rPr>
        <w:t>号——资产减值》等规定的资产减值损失的，对于由本集团向共同经营投出或出售资产的情况，本集团全额确认该损失；对于本集团</w:t>
      </w:r>
      <w:proofErr w:type="gramStart"/>
      <w:r w:rsidRPr="00F614F9">
        <w:rPr>
          <w:rFonts w:ascii="Times New Roman" w:hAnsi="Times New Roman" w:cs="Times New Roman" w:hint="eastAsia"/>
          <w:sz w:val="18"/>
          <w:szCs w:val="18"/>
        </w:rPr>
        <w:t>自共同</w:t>
      </w:r>
      <w:proofErr w:type="gramEnd"/>
      <w:r w:rsidRPr="00F614F9">
        <w:rPr>
          <w:rFonts w:ascii="Times New Roman" w:hAnsi="Times New Roman" w:cs="Times New Roman" w:hint="eastAsia"/>
          <w:sz w:val="18"/>
          <w:szCs w:val="18"/>
        </w:rPr>
        <w:t>经营购买资产的情况，本集团按承担的份额确认该损失。</w:t>
      </w:r>
    </w:p>
    <w:p w14:paraId="164D2FD2" w14:textId="77777777" w:rsidR="00872599" w:rsidRPr="00F614F9" w:rsidRDefault="00000000">
      <w:pPr>
        <w:pStyle w:val="a3"/>
        <w:spacing w:before="0" w:beforeAutospacing="0" w:after="0" w:afterAutospacing="0" w:line="460" w:lineRule="atLeast"/>
        <w:ind w:firstLine="361"/>
        <w:divId w:val="1582445473"/>
        <w:rPr>
          <w:rFonts w:ascii="Times New Roman" w:hAnsi="Times New Roman" w:cs="Times New Roman"/>
          <w:sz w:val="21"/>
          <w:szCs w:val="21"/>
        </w:rPr>
      </w:pPr>
      <w:r w:rsidRPr="00F614F9">
        <w:rPr>
          <w:rStyle w:val="a4"/>
          <w:rFonts w:ascii="Times New Roman" w:hAnsi="Times New Roman" w:cs="Times New Roman" w:hint="eastAsia"/>
          <w:sz w:val="18"/>
          <w:szCs w:val="18"/>
        </w:rPr>
        <w:t> </w:t>
      </w:r>
    </w:p>
    <w:p w14:paraId="2A3059BE" w14:textId="77777777" w:rsidR="001D26E7" w:rsidRPr="00F614F9" w:rsidRDefault="00000000">
      <w:pPr>
        <w:pStyle w:val="3"/>
        <w:spacing w:line="280" w:lineRule="exact"/>
        <w:jc w:val="left"/>
        <w:rPr>
          <w:rFonts w:ascii="Times New Roman" w:hAnsi="Times New Roman" w:cs="宋体"/>
          <w:b/>
          <w:bCs/>
        </w:rPr>
      </w:pPr>
      <w:bookmarkStart w:id="260" w:name="_Toc989075"/>
      <w:r w:rsidRPr="00F614F9">
        <w:rPr>
          <w:rFonts w:ascii="Times New Roman" w:hAnsi="Times New Roman" w:cs="宋体"/>
          <w:b/>
          <w:bCs/>
        </w:rPr>
        <w:lastRenderedPageBreak/>
        <w:t>9</w:t>
      </w:r>
      <w:r w:rsidRPr="00F614F9">
        <w:rPr>
          <w:rFonts w:ascii="Times New Roman" w:hAnsi="Times New Roman" w:cs="宋体"/>
          <w:b/>
          <w:bCs/>
        </w:rPr>
        <w:t>、现金及现金等价物的确定标准</w:t>
      </w:r>
      <w:bookmarkEnd w:id="260"/>
    </w:p>
    <w:p w14:paraId="1BEF8852" w14:textId="77777777" w:rsidR="00872599" w:rsidRPr="00F614F9" w:rsidRDefault="00000000" w:rsidP="006C7FCA">
      <w:pPr>
        <w:pStyle w:val="a3"/>
        <w:spacing w:before="0" w:beforeAutospacing="0" w:after="0" w:afterAutospacing="0" w:line="276" w:lineRule="auto"/>
        <w:ind w:firstLine="360"/>
        <w:jc w:val="both"/>
        <w:divId w:val="351416782"/>
        <w:rPr>
          <w:rFonts w:ascii="Times New Roman" w:hAnsi="Times New Roman" w:cs="Times New Roman"/>
          <w:sz w:val="21"/>
          <w:szCs w:val="21"/>
        </w:rPr>
      </w:pPr>
      <w:r w:rsidRPr="00F614F9">
        <w:rPr>
          <w:rFonts w:ascii="Times New Roman" w:hAnsi="Times New Roman" w:cs="Times New Roman" w:hint="eastAsia"/>
          <w:sz w:val="18"/>
          <w:szCs w:val="18"/>
        </w:rPr>
        <w:t>本集团现金及现金等价物包括库存现金、可以随时用于支付的存款以及本集团持有的期限短（一般为从购买日起三个月内到期）、流动性强、易于转换为已知金额现金、价值变动风险很小的投资。</w:t>
      </w:r>
    </w:p>
    <w:p w14:paraId="4F4D7167" w14:textId="77777777" w:rsidR="001D26E7" w:rsidRPr="00F614F9" w:rsidRDefault="00000000">
      <w:pPr>
        <w:pStyle w:val="3"/>
        <w:spacing w:line="280" w:lineRule="exact"/>
        <w:jc w:val="left"/>
        <w:rPr>
          <w:rFonts w:ascii="Times New Roman" w:hAnsi="Times New Roman" w:cs="宋体"/>
          <w:b/>
          <w:bCs/>
        </w:rPr>
      </w:pPr>
      <w:bookmarkStart w:id="261" w:name="_Toc989076"/>
      <w:r w:rsidRPr="00F614F9">
        <w:rPr>
          <w:rFonts w:ascii="Times New Roman" w:hAnsi="Times New Roman" w:cs="宋体"/>
          <w:b/>
          <w:bCs/>
        </w:rPr>
        <w:t>10</w:t>
      </w:r>
      <w:r w:rsidRPr="00F614F9">
        <w:rPr>
          <w:rFonts w:ascii="Times New Roman" w:hAnsi="Times New Roman" w:cs="宋体"/>
          <w:b/>
          <w:bCs/>
        </w:rPr>
        <w:t>、外币业务和外币报表折算</w:t>
      </w:r>
      <w:bookmarkEnd w:id="261"/>
    </w:p>
    <w:p w14:paraId="69045E6C" w14:textId="77777777" w:rsidR="00872599" w:rsidRPr="00F614F9" w:rsidRDefault="00000000" w:rsidP="009E2AA2">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外币交易的折算方法</w:t>
      </w:r>
    </w:p>
    <w:p w14:paraId="67A7458D" w14:textId="77777777" w:rsidR="00872599" w:rsidRPr="00F614F9" w:rsidRDefault="00000000" w:rsidP="009E2AA2">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本集团发生的外币交易在初始确认时，按交易日的即期汇率（通常指中国人民银行公布的当日外汇牌价的中间价，下同）折算为记账本位币金额，但本集团发生的外币兑换业务或涉及外币兑换的交易事项，按照实际采用的汇率折算为记账本位币金额。</w:t>
      </w:r>
    </w:p>
    <w:p w14:paraId="172416C7" w14:textId="77777777" w:rsidR="00872599" w:rsidRPr="00F614F9" w:rsidRDefault="00000000" w:rsidP="009E2AA2">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对于外币货币性项目和外币非货币性项目的折算方法</w:t>
      </w:r>
    </w:p>
    <w:p w14:paraId="5E8AA0FD" w14:textId="77777777" w:rsidR="00872599" w:rsidRPr="00F614F9" w:rsidRDefault="00000000" w:rsidP="009E2AA2">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资产负债表日，对于外币货币性项目采用资产负债表日即期汇率折算，由此产生的汇兑差额，除：①属于与购建符合资本化条件的资产相关的外币专门借款产生的汇兑差额按照借款费用资本化的原则处理；②分类为以公允价值计量且其变动计入其他综合收益的外币货币性项目，</w:t>
      </w:r>
      <w:proofErr w:type="gramStart"/>
      <w:r w:rsidRPr="00F614F9">
        <w:rPr>
          <w:rFonts w:ascii="Times New Roman" w:eastAsia="宋体" w:hAnsi="Times New Roman" w:hint="eastAsia"/>
          <w:sz w:val="18"/>
        </w:rPr>
        <w:t>除摊余</w:t>
      </w:r>
      <w:proofErr w:type="gramEnd"/>
      <w:r w:rsidRPr="00F614F9">
        <w:rPr>
          <w:rFonts w:ascii="Times New Roman" w:eastAsia="宋体" w:hAnsi="Times New Roman" w:hint="eastAsia"/>
          <w:sz w:val="18"/>
        </w:rPr>
        <w:t>成本（含减值）之外的其他账面余额变动产生的汇兑差额计入其他综合收益之外，均计入当期损益。</w:t>
      </w:r>
    </w:p>
    <w:p w14:paraId="074EFBCE" w14:textId="77777777" w:rsidR="00872599" w:rsidRPr="00F614F9" w:rsidRDefault="00000000" w:rsidP="009E2AA2">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以历史成本计量的外币非货币性项目，仍采用交易发生日的即期汇率折算的记账本位</w:t>
      </w:r>
      <w:proofErr w:type="gramStart"/>
      <w:r w:rsidRPr="00F614F9">
        <w:rPr>
          <w:rFonts w:ascii="Times New Roman" w:eastAsia="宋体" w:hAnsi="Times New Roman" w:hint="eastAsia"/>
          <w:sz w:val="18"/>
        </w:rPr>
        <w:t>币金额</w:t>
      </w:r>
      <w:proofErr w:type="gramEnd"/>
      <w:r w:rsidRPr="00F614F9">
        <w:rPr>
          <w:rFonts w:ascii="Times New Roman" w:eastAsia="宋体" w:hAnsi="Times New Roman" w:hint="eastAsia"/>
          <w:sz w:val="18"/>
        </w:rPr>
        <w:t>计量。以公允价值计量的外币非货币性项目，采用公允价值确定日的即期汇率折算，折算后的记账本位</w:t>
      </w:r>
      <w:proofErr w:type="gramStart"/>
      <w:r w:rsidRPr="00F614F9">
        <w:rPr>
          <w:rFonts w:ascii="Times New Roman" w:eastAsia="宋体" w:hAnsi="Times New Roman" w:hint="eastAsia"/>
          <w:sz w:val="18"/>
        </w:rPr>
        <w:t>币金额</w:t>
      </w:r>
      <w:proofErr w:type="gramEnd"/>
      <w:r w:rsidRPr="00F614F9">
        <w:rPr>
          <w:rFonts w:ascii="Times New Roman" w:eastAsia="宋体" w:hAnsi="Times New Roman" w:hint="eastAsia"/>
          <w:sz w:val="18"/>
        </w:rPr>
        <w:t>与原记账本位</w:t>
      </w:r>
      <w:proofErr w:type="gramStart"/>
      <w:r w:rsidRPr="00F614F9">
        <w:rPr>
          <w:rFonts w:ascii="Times New Roman" w:eastAsia="宋体" w:hAnsi="Times New Roman" w:hint="eastAsia"/>
          <w:sz w:val="18"/>
        </w:rPr>
        <w:t>币金额</w:t>
      </w:r>
      <w:proofErr w:type="gramEnd"/>
      <w:r w:rsidRPr="00F614F9">
        <w:rPr>
          <w:rFonts w:ascii="Times New Roman" w:eastAsia="宋体" w:hAnsi="Times New Roman" w:hint="eastAsia"/>
          <w:sz w:val="18"/>
        </w:rPr>
        <w:t>的差额，作为公允价值变动（含汇率变动）处理，计入当期损益或确认为其他综合收益。</w:t>
      </w:r>
    </w:p>
    <w:p w14:paraId="7C1EC4E8" w14:textId="77777777" w:rsidR="00872599" w:rsidRPr="00F614F9" w:rsidRDefault="00000000" w:rsidP="009E2AA2">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外币财务报表的折算方法</w:t>
      </w:r>
    </w:p>
    <w:p w14:paraId="4374E587" w14:textId="77777777" w:rsidR="00872599" w:rsidRPr="00F614F9" w:rsidRDefault="00000000" w:rsidP="009E2AA2">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境外经营的外币财务报表按以下方法折算为人民币报表：资产负债表中的资产和负债项目，采用资产负债表日的即期汇率折算；股东权益类项目除“未分配利润”项目外，其他项目采用发生时的即期汇率折算。利润表中的收入和费用项目，采用交易发生日的即期汇率折算。年初未分配利润为上一年折算后的年末未分配利润；期末未分配利润按折算后的利润分配各项</w:t>
      </w:r>
      <w:proofErr w:type="gramStart"/>
      <w:r w:rsidRPr="00F614F9">
        <w:rPr>
          <w:rFonts w:ascii="Times New Roman" w:eastAsia="宋体" w:hAnsi="Times New Roman" w:hint="eastAsia"/>
          <w:sz w:val="18"/>
        </w:rPr>
        <w:t>目计算</w:t>
      </w:r>
      <w:proofErr w:type="gramEnd"/>
      <w:r w:rsidRPr="00F614F9">
        <w:rPr>
          <w:rFonts w:ascii="Times New Roman" w:eastAsia="宋体" w:hAnsi="Times New Roman" w:hint="eastAsia"/>
          <w:sz w:val="18"/>
        </w:rPr>
        <w:t>列示；折算后资产类项目与负债类项目和股东权益类项目合计数的差额，作为外币报表折算差额，确认为其他综合收益。处置境外经营并丧失控制权时，将资产负债表中股东权益项目下列示的、与该境外经营相关的外币报表折算差额，全部或按处置该境外经营的比例转入处置当期损益。</w:t>
      </w:r>
    </w:p>
    <w:p w14:paraId="76963F96" w14:textId="77777777" w:rsidR="00872599" w:rsidRPr="00F614F9" w:rsidRDefault="00000000" w:rsidP="009E2AA2">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外币现金流量，采用现金流量发生日的即期汇率折算。汇率变动对现金的影响额作为调节项目，在现金流量表中单独列报。</w:t>
      </w:r>
    </w:p>
    <w:p w14:paraId="7D124BA2" w14:textId="77777777" w:rsidR="00872599" w:rsidRPr="00F614F9" w:rsidRDefault="00000000" w:rsidP="009E2AA2">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年初数和上年实际</w:t>
      </w:r>
      <w:proofErr w:type="gramStart"/>
      <w:r w:rsidRPr="00F614F9">
        <w:rPr>
          <w:rFonts w:ascii="Times New Roman" w:eastAsia="宋体" w:hAnsi="Times New Roman" w:hint="eastAsia"/>
          <w:sz w:val="18"/>
        </w:rPr>
        <w:t>数按照</w:t>
      </w:r>
      <w:proofErr w:type="gramEnd"/>
      <w:r w:rsidRPr="00F614F9">
        <w:rPr>
          <w:rFonts w:ascii="Times New Roman" w:eastAsia="宋体" w:hAnsi="Times New Roman" w:hint="eastAsia"/>
          <w:sz w:val="18"/>
        </w:rPr>
        <w:t>上年财务报表折算后的数额列示。</w:t>
      </w:r>
    </w:p>
    <w:p w14:paraId="41EC86A7" w14:textId="77777777" w:rsidR="00872599" w:rsidRPr="00F614F9" w:rsidRDefault="00000000" w:rsidP="009E2AA2">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在处置本集团在境外经营的全部所有者权益或因处置部分股权投资或其他原因丧失了对境外经营控制权时，将资产负债表中股东权益项目下列示的、与该境外经营相关的归属于母公司所有者权益的外币报表折算差额，全部转入处置当期损益。</w:t>
      </w:r>
    </w:p>
    <w:p w14:paraId="29F697CD" w14:textId="77777777" w:rsidR="00872599" w:rsidRPr="00F614F9" w:rsidRDefault="00000000" w:rsidP="009E2AA2">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14:paraId="742A52DC" w14:textId="77777777" w:rsidR="00872599" w:rsidRPr="00F614F9" w:rsidRDefault="00000000" w:rsidP="009E2AA2">
      <w:pPr>
        <w:spacing w:line="276" w:lineRule="auto"/>
        <w:ind w:firstLineChars="200" w:firstLine="360"/>
        <w:rPr>
          <w:rFonts w:ascii="Times New Roman" w:eastAsia="宋体" w:hAnsi="Times New Roman"/>
          <w:sz w:val="18"/>
        </w:rPr>
      </w:pPr>
      <w:r w:rsidRPr="00F614F9">
        <w:rPr>
          <w:rFonts w:ascii="Times New Roman" w:eastAsia="宋体" w:hAnsi="Times New Roman" w:hint="eastAsia"/>
          <w:sz w:val="18"/>
        </w:rPr>
        <w:t>如有实质上构成对境外经营净投资的外币货币性项目，在合并财务报表中，其因汇率变动而产生的汇兑差额，作为“外币报表折算差额”确认为其他综合收益；处置境外经营时，计入处置当期损益。</w:t>
      </w:r>
    </w:p>
    <w:p w14:paraId="16B9B564" w14:textId="77777777" w:rsidR="001D26E7" w:rsidRPr="00F614F9" w:rsidRDefault="00000000">
      <w:pPr>
        <w:pStyle w:val="3"/>
        <w:spacing w:line="280" w:lineRule="exact"/>
        <w:jc w:val="left"/>
        <w:rPr>
          <w:rFonts w:ascii="Times New Roman" w:hAnsi="Times New Roman" w:cs="宋体"/>
          <w:b/>
          <w:bCs/>
        </w:rPr>
      </w:pPr>
      <w:bookmarkStart w:id="262" w:name="_Toc989077"/>
      <w:r w:rsidRPr="00F614F9">
        <w:rPr>
          <w:rFonts w:ascii="Times New Roman" w:hAnsi="Times New Roman" w:cs="宋体"/>
          <w:b/>
          <w:bCs/>
        </w:rPr>
        <w:lastRenderedPageBreak/>
        <w:t>11</w:t>
      </w:r>
      <w:r w:rsidRPr="00F614F9">
        <w:rPr>
          <w:rFonts w:ascii="Times New Roman" w:hAnsi="Times New Roman" w:cs="宋体"/>
          <w:b/>
          <w:bCs/>
        </w:rPr>
        <w:t>、金融工具</w:t>
      </w:r>
      <w:bookmarkEnd w:id="262"/>
    </w:p>
    <w:p w14:paraId="6D706D5B"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在本集团成为金融工具合同的一方时确认一项金融资产或金融负债。</w:t>
      </w:r>
    </w:p>
    <w:p w14:paraId="0D202676"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金融资产的分类、确认和计量</w:t>
      </w:r>
    </w:p>
    <w:p w14:paraId="25702DA6"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本集团根据管理金融资产的业务模式和金融资产的合同现金流量特征，将金融资产划分为：以摊</w:t>
      </w:r>
      <w:proofErr w:type="gramStart"/>
      <w:r w:rsidRPr="00F614F9">
        <w:rPr>
          <w:rFonts w:ascii="Times New Roman" w:eastAsia="宋体" w:hAnsi="Times New Roman" w:hint="eastAsia"/>
          <w:sz w:val="18"/>
        </w:rPr>
        <w:t>余成本</w:t>
      </w:r>
      <w:proofErr w:type="gramEnd"/>
      <w:r w:rsidRPr="00F614F9">
        <w:rPr>
          <w:rFonts w:ascii="Times New Roman" w:eastAsia="宋体" w:hAnsi="Times New Roman" w:hint="eastAsia"/>
          <w:sz w:val="18"/>
        </w:rPr>
        <w:t>计量的金融资产；以公允价值计量且其变动计入其他综合收益的金融资产；以公允价值计量且其变动计入当期损益的金融资产。</w:t>
      </w:r>
    </w:p>
    <w:p w14:paraId="5B93F64C"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集团按照预期有权收取的对</w:t>
      </w:r>
      <w:proofErr w:type="gramStart"/>
      <w:r w:rsidRPr="00F614F9">
        <w:rPr>
          <w:rFonts w:ascii="Times New Roman" w:eastAsia="宋体" w:hAnsi="Times New Roman" w:hint="eastAsia"/>
          <w:sz w:val="18"/>
        </w:rPr>
        <w:t>价金额</w:t>
      </w:r>
      <w:proofErr w:type="gramEnd"/>
      <w:r w:rsidRPr="00F614F9">
        <w:rPr>
          <w:rFonts w:ascii="Times New Roman" w:eastAsia="宋体" w:hAnsi="Times New Roman" w:hint="eastAsia"/>
          <w:sz w:val="18"/>
        </w:rPr>
        <w:t>作为初始确认金额。</w:t>
      </w:r>
    </w:p>
    <w:p w14:paraId="565C95E7"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①以摊</w:t>
      </w:r>
      <w:proofErr w:type="gramStart"/>
      <w:r w:rsidRPr="00F614F9">
        <w:rPr>
          <w:rFonts w:ascii="Times New Roman" w:eastAsia="宋体" w:hAnsi="Times New Roman" w:hint="eastAsia"/>
          <w:sz w:val="18"/>
        </w:rPr>
        <w:t>余成本</w:t>
      </w:r>
      <w:proofErr w:type="gramEnd"/>
      <w:r w:rsidRPr="00F614F9">
        <w:rPr>
          <w:rFonts w:ascii="Times New Roman" w:eastAsia="宋体" w:hAnsi="Times New Roman" w:hint="eastAsia"/>
          <w:sz w:val="18"/>
        </w:rPr>
        <w:t>计量的金融资产</w:t>
      </w:r>
    </w:p>
    <w:p w14:paraId="38EFA605"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本集团管理以摊</w:t>
      </w:r>
      <w:proofErr w:type="gramStart"/>
      <w:r w:rsidRPr="00F614F9">
        <w:rPr>
          <w:rFonts w:ascii="Times New Roman" w:eastAsia="宋体" w:hAnsi="Times New Roman" w:hint="eastAsia"/>
          <w:sz w:val="18"/>
        </w:rPr>
        <w:t>余成本</w:t>
      </w:r>
      <w:proofErr w:type="gramEnd"/>
      <w:r w:rsidRPr="00F614F9">
        <w:rPr>
          <w:rFonts w:ascii="Times New Roman" w:eastAsia="宋体" w:hAnsi="Times New Roman" w:hint="eastAsia"/>
          <w:sz w:val="18"/>
        </w:rPr>
        <w:t>计量的金融资产的业务模式为以收取合同现金流量为目标，且此类金融资产的合同现金流量特征与基本借贷安排相一致，即在特定日期产生的现金流量，仅为对本金和以</w:t>
      </w:r>
      <w:proofErr w:type="gramStart"/>
      <w:r w:rsidRPr="00F614F9">
        <w:rPr>
          <w:rFonts w:ascii="Times New Roman" w:eastAsia="宋体" w:hAnsi="Times New Roman" w:hint="eastAsia"/>
          <w:sz w:val="18"/>
        </w:rPr>
        <w:t>未偿付本</w:t>
      </w:r>
      <w:proofErr w:type="gramEnd"/>
      <w:r w:rsidRPr="00F614F9">
        <w:rPr>
          <w:rFonts w:ascii="Times New Roman" w:eastAsia="宋体" w:hAnsi="Times New Roman" w:hint="eastAsia"/>
          <w:sz w:val="18"/>
        </w:rPr>
        <w:t>金金额为基础的利息的支付。本集团对于此类金融资产，采用实际利率法，按照摊</w:t>
      </w:r>
      <w:proofErr w:type="gramStart"/>
      <w:r w:rsidRPr="00F614F9">
        <w:rPr>
          <w:rFonts w:ascii="Times New Roman" w:eastAsia="宋体" w:hAnsi="Times New Roman" w:hint="eastAsia"/>
          <w:sz w:val="18"/>
        </w:rPr>
        <w:t>余成本</w:t>
      </w:r>
      <w:proofErr w:type="gramEnd"/>
      <w:r w:rsidRPr="00F614F9">
        <w:rPr>
          <w:rFonts w:ascii="Times New Roman" w:eastAsia="宋体" w:hAnsi="Times New Roman" w:hint="eastAsia"/>
          <w:sz w:val="18"/>
        </w:rPr>
        <w:t>进行后续计量，其摊销或减值产生的利得或损失，计入当期损益。</w:t>
      </w:r>
    </w:p>
    <w:p w14:paraId="5CC0E542"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②以公允价值计量且其变动计入其他综合收益的金融资产</w:t>
      </w:r>
    </w:p>
    <w:p w14:paraId="6F27EDD7"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本集团管理此类金融资产的业务模式为既以收取合同现金流量为目标又以出售为目标，且此类金融资产的合同现金流量特征与基本借贷安排相一致。本集团对此类金融资产按照公允价值计量且其变动计入其他综合收益，但减值损失或利得、汇兑损益和按照实际利率法计算的利息收入计入当期损益。</w:t>
      </w:r>
    </w:p>
    <w:p w14:paraId="69DC3B47"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当应收票据和应收账款同时满足以上条件时，本公司将其划分为以公允价值计量且其变动计入其他综合收益的金融资产，在报表中列示为应收款项融资。</w:t>
      </w:r>
    </w:p>
    <w:p w14:paraId="40DAFB78"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此外，本集团将部分</w:t>
      </w:r>
      <w:proofErr w:type="gramStart"/>
      <w:r w:rsidRPr="00F614F9">
        <w:rPr>
          <w:rFonts w:ascii="Times New Roman" w:eastAsia="宋体" w:hAnsi="Times New Roman" w:hint="eastAsia"/>
          <w:sz w:val="18"/>
        </w:rPr>
        <w:t>非交易</w:t>
      </w:r>
      <w:proofErr w:type="gramEnd"/>
      <w:r w:rsidRPr="00F614F9">
        <w:rPr>
          <w:rFonts w:ascii="Times New Roman" w:eastAsia="宋体" w:hAnsi="Times New Roman" w:hint="eastAsia"/>
          <w:sz w:val="18"/>
        </w:rPr>
        <w:t>性权益工具投资指定为以公允价值计量且其变动计入其他综合收益的金融资产。本集团将该类金融资产的相关股利收入计入当期损益，公允价值变动计入其他综合收益。当该金融资产终止确认时，之前计入其他综合收益的累计利得或损失将从其他综合收益转入留存收益，不计入当期损益。</w:t>
      </w:r>
    </w:p>
    <w:p w14:paraId="2BEDFAEB"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③以公允价值计量且其变动计入当期损益的金融资产</w:t>
      </w:r>
    </w:p>
    <w:p w14:paraId="63BFD86B"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本集团将上述以摊</w:t>
      </w:r>
      <w:proofErr w:type="gramStart"/>
      <w:r w:rsidRPr="00F614F9">
        <w:rPr>
          <w:rFonts w:ascii="Times New Roman" w:eastAsia="宋体" w:hAnsi="Times New Roman" w:hint="eastAsia"/>
          <w:sz w:val="18"/>
        </w:rPr>
        <w:t>余成本</w:t>
      </w:r>
      <w:proofErr w:type="gramEnd"/>
      <w:r w:rsidRPr="00F614F9">
        <w:rPr>
          <w:rFonts w:ascii="Times New Roman" w:eastAsia="宋体" w:hAnsi="Times New Roman" w:hint="eastAsia"/>
          <w:sz w:val="18"/>
        </w:rPr>
        <w:t>计量的金融资产和以公允价值计量且其变动计入其他综合收益的金融资产之外的金融资产，分类为以公允价值计量且其变动计入当期损益的金融资产。此外，在初始确认时，本集团为了消除或显著减少会计错配，将部分金融资产指定为以公允价值计量且其变动计入当期损益的金融资产。对于此类金融资产，本集团采用公允价值进行后续计量，公允价值变动计入当期损益。</w:t>
      </w:r>
    </w:p>
    <w:p w14:paraId="51DE72E9"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金融负债的分类、确认和计量</w:t>
      </w:r>
    </w:p>
    <w:p w14:paraId="5DEB4004"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14:paraId="2503BE75"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①以公允价值计量且其变动计入当期损益的金融负债</w:t>
      </w:r>
    </w:p>
    <w:p w14:paraId="1BAE62A7"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以公允价值计量且其变动计入当期损益的金融负债，包括交易性金融负债（</w:t>
      </w:r>
      <w:proofErr w:type="gramStart"/>
      <w:r w:rsidRPr="00F614F9">
        <w:rPr>
          <w:rFonts w:ascii="Times New Roman" w:eastAsia="宋体" w:hAnsi="Times New Roman" w:hint="eastAsia"/>
          <w:sz w:val="18"/>
        </w:rPr>
        <w:t>含属于</w:t>
      </w:r>
      <w:proofErr w:type="gramEnd"/>
      <w:r w:rsidRPr="00F614F9">
        <w:rPr>
          <w:rFonts w:ascii="Times New Roman" w:eastAsia="宋体" w:hAnsi="Times New Roman" w:hint="eastAsia"/>
          <w:sz w:val="18"/>
        </w:rPr>
        <w:t>金融负债的衍生工具）和初始确认时指定为以公允价值计量且其变动计入当期损益的金融负债。</w:t>
      </w:r>
    </w:p>
    <w:p w14:paraId="0C0B5379"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交易性金融负债（</w:t>
      </w:r>
      <w:proofErr w:type="gramStart"/>
      <w:r w:rsidRPr="00F614F9">
        <w:rPr>
          <w:rFonts w:ascii="Times New Roman" w:eastAsia="宋体" w:hAnsi="Times New Roman" w:hint="eastAsia"/>
          <w:sz w:val="18"/>
        </w:rPr>
        <w:t>含属于</w:t>
      </w:r>
      <w:proofErr w:type="gramEnd"/>
      <w:r w:rsidRPr="00F614F9">
        <w:rPr>
          <w:rFonts w:ascii="Times New Roman" w:eastAsia="宋体" w:hAnsi="Times New Roman" w:hint="eastAsia"/>
          <w:sz w:val="18"/>
        </w:rPr>
        <w:t>金融负债的衍生工具），按照公允价值进行后续计量，除与套期会计有关外，公允价值变动计入当期损益。</w:t>
      </w:r>
    </w:p>
    <w:p w14:paraId="298E0247"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被指定为以公允价值计量且其变动计入当期损益的金融负债，该负债由本集团自身信用风险变动引起的公允价值变动计入其他综合收益，且终止确认该负债时，计入其他综合收益的自身信用风险变动引起的其公允价值累计变动额转入留存收益。其余公允价值变动计入当期损益。若按上述方式对该等金融负债的自身信用风险变动的影响进行处理会造成或扩大损益中的会计错配的，本集团将该金融负债的全部利得或损失（包括企业自身信用风险变动的影响金额）计入当期损益。</w:t>
      </w:r>
    </w:p>
    <w:p w14:paraId="47FA35E9"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②其他金融负债</w:t>
      </w:r>
    </w:p>
    <w:p w14:paraId="64F2F67F"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除金融资产转移不符合终止确认条件或继续涉入被转移金融资产所形成的金融负债、财务担保合同外的其他金融负债分类为以摊</w:t>
      </w:r>
      <w:proofErr w:type="gramStart"/>
      <w:r w:rsidRPr="00F614F9">
        <w:rPr>
          <w:rFonts w:ascii="Times New Roman" w:eastAsia="宋体" w:hAnsi="Times New Roman" w:hint="eastAsia"/>
          <w:sz w:val="18"/>
        </w:rPr>
        <w:t>余成本</w:t>
      </w:r>
      <w:proofErr w:type="gramEnd"/>
      <w:r w:rsidRPr="00F614F9">
        <w:rPr>
          <w:rFonts w:ascii="Times New Roman" w:eastAsia="宋体" w:hAnsi="Times New Roman" w:hint="eastAsia"/>
          <w:sz w:val="18"/>
        </w:rPr>
        <w:t>计量的金融负债，</w:t>
      </w:r>
      <w:proofErr w:type="gramStart"/>
      <w:r w:rsidRPr="00F614F9">
        <w:rPr>
          <w:rFonts w:ascii="Times New Roman" w:eastAsia="宋体" w:hAnsi="Times New Roman" w:hint="eastAsia"/>
          <w:sz w:val="18"/>
        </w:rPr>
        <w:t>按摊余成本</w:t>
      </w:r>
      <w:proofErr w:type="gramEnd"/>
      <w:r w:rsidRPr="00F614F9">
        <w:rPr>
          <w:rFonts w:ascii="Times New Roman" w:eastAsia="宋体" w:hAnsi="Times New Roman" w:hint="eastAsia"/>
          <w:sz w:val="18"/>
        </w:rPr>
        <w:t>进行后续计量，终止确认或摊销产生的利得或损失计入当期损益。</w:t>
      </w:r>
    </w:p>
    <w:p w14:paraId="57E75195"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金融资产转移的确认依据和计量方法</w:t>
      </w:r>
    </w:p>
    <w:p w14:paraId="6031AD19"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满足下列条件之一的金融资产，予以终止确认：①收取该金融资产现金流量的合同权利终止；②该金融资产已转移，</w:t>
      </w:r>
      <w:r w:rsidRPr="00F614F9">
        <w:rPr>
          <w:rFonts w:ascii="Times New Roman" w:eastAsia="宋体" w:hAnsi="Times New Roman" w:hint="eastAsia"/>
          <w:sz w:val="18"/>
        </w:rPr>
        <w:lastRenderedPageBreak/>
        <w:t>且将金融资产所有权上几乎所有的风险和报酬转移给转入方；③该金融资产已转移，虽然企业既没有转移也没有保留金融资产所有权上几乎所有的风险和报酬，但是放弃了对该金融资产的控制。</w:t>
      </w:r>
    </w:p>
    <w:p w14:paraId="6CCA8E77"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14:paraId="31C86B22"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金融资产整体转移满足终止确认条件的，将所转移金融资产的账面价值及因转移而收到的对价与原计入其他综合收益的公允价值变动累计额之和的差额计入当期损益。</w:t>
      </w:r>
    </w:p>
    <w:p w14:paraId="70C2D396"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14:paraId="7D3C1255"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本集团对采用附追索</w:t>
      </w:r>
      <w:proofErr w:type="gramStart"/>
      <w:r w:rsidRPr="00F614F9">
        <w:rPr>
          <w:rFonts w:ascii="Times New Roman" w:eastAsia="宋体" w:hAnsi="Times New Roman" w:hint="eastAsia"/>
          <w:sz w:val="18"/>
        </w:rPr>
        <w:t>权方式</w:t>
      </w:r>
      <w:proofErr w:type="gramEnd"/>
      <w:r w:rsidRPr="00F614F9">
        <w:rPr>
          <w:rFonts w:ascii="Times New Roman" w:eastAsia="宋体" w:hAnsi="Times New Roman" w:hint="eastAsia"/>
          <w:sz w:val="18"/>
        </w:rPr>
        <w:t>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14:paraId="04983600"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金融负债的终止确认</w:t>
      </w:r>
    </w:p>
    <w:p w14:paraId="5E5C5FDC"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金融负债（或其一部分）的现时义务已经解除的，本集团终止确认该金融负债（或该部分金融负债）。本集团（借入方）与借出方签订协议，以承担新金融负债的方式替换</w:t>
      </w:r>
      <w:proofErr w:type="gramStart"/>
      <w:r w:rsidRPr="00F614F9">
        <w:rPr>
          <w:rFonts w:ascii="Times New Roman" w:eastAsia="宋体" w:hAnsi="Times New Roman" w:hint="eastAsia"/>
          <w:sz w:val="18"/>
        </w:rPr>
        <w:t>原金融</w:t>
      </w:r>
      <w:proofErr w:type="gramEnd"/>
      <w:r w:rsidRPr="00F614F9">
        <w:rPr>
          <w:rFonts w:ascii="Times New Roman" w:eastAsia="宋体" w:hAnsi="Times New Roman" w:hint="eastAsia"/>
          <w:sz w:val="18"/>
        </w:rPr>
        <w:t>负债，且新金融负债与原金融负债的合同条款实质上不同的，终止确认原金融负债，同时确认一项新金融负债。本集团对原金融负债（或其一部分）的合同条款</w:t>
      </w:r>
      <w:proofErr w:type="gramStart"/>
      <w:r w:rsidRPr="00F614F9">
        <w:rPr>
          <w:rFonts w:ascii="Times New Roman" w:eastAsia="宋体" w:hAnsi="Times New Roman" w:hint="eastAsia"/>
          <w:sz w:val="18"/>
        </w:rPr>
        <w:t>作出</w:t>
      </w:r>
      <w:proofErr w:type="gramEnd"/>
      <w:r w:rsidRPr="00F614F9">
        <w:rPr>
          <w:rFonts w:ascii="Times New Roman" w:eastAsia="宋体" w:hAnsi="Times New Roman" w:hint="eastAsia"/>
          <w:sz w:val="18"/>
        </w:rPr>
        <w:t>实质性修改的，终止确认原金融负债，同时按照修改后的条款确认一项新金融负债。</w:t>
      </w:r>
    </w:p>
    <w:p w14:paraId="18D66E2A"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金融负债（或其一部分）终止确认的，本集团将其账面价值与支付的对价（包括转出的非现金资产或承担的负债）之间的差额，计入当期损益。</w:t>
      </w:r>
    </w:p>
    <w:p w14:paraId="754D02AB"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金融资产和金融负债的</w:t>
      </w:r>
      <w:proofErr w:type="gramStart"/>
      <w:r w:rsidRPr="00F614F9">
        <w:rPr>
          <w:rFonts w:ascii="Times New Roman" w:eastAsia="宋体" w:hAnsi="Times New Roman" w:hint="eastAsia"/>
          <w:sz w:val="18"/>
        </w:rPr>
        <w:t>抵销</w:t>
      </w:r>
      <w:proofErr w:type="gramEnd"/>
    </w:p>
    <w:p w14:paraId="266C49EA"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当本集团具有</w:t>
      </w:r>
      <w:proofErr w:type="gramStart"/>
      <w:r w:rsidRPr="00F614F9">
        <w:rPr>
          <w:rFonts w:ascii="Times New Roman" w:eastAsia="宋体" w:hAnsi="Times New Roman" w:hint="eastAsia"/>
          <w:sz w:val="18"/>
        </w:rPr>
        <w:t>抵销</w:t>
      </w:r>
      <w:proofErr w:type="gramEnd"/>
      <w:r w:rsidRPr="00F614F9">
        <w:rPr>
          <w:rFonts w:ascii="Times New Roman" w:eastAsia="宋体" w:hAnsi="Times New Roman" w:hint="eastAsia"/>
          <w:sz w:val="18"/>
        </w:rPr>
        <w:t>已确认金额的金融资产和金融负债的法定权利，且该种法定权利是当前可执行的，同时本集团计划以净额结算或同时变现该金融资产和清偿该金融负债时，金融资产和金融负债以相互</w:t>
      </w:r>
      <w:proofErr w:type="gramStart"/>
      <w:r w:rsidRPr="00F614F9">
        <w:rPr>
          <w:rFonts w:ascii="Times New Roman" w:eastAsia="宋体" w:hAnsi="Times New Roman" w:hint="eastAsia"/>
          <w:sz w:val="18"/>
        </w:rPr>
        <w:t>抵销</w:t>
      </w:r>
      <w:proofErr w:type="gramEnd"/>
      <w:r w:rsidRPr="00F614F9">
        <w:rPr>
          <w:rFonts w:ascii="Times New Roman" w:eastAsia="宋体" w:hAnsi="Times New Roman" w:hint="eastAsia"/>
          <w:sz w:val="18"/>
        </w:rPr>
        <w:t>后的净额在资产负债表内列示。除此以外，金融资产和金融负债在资产负债表内分别列示，不予相互</w:t>
      </w:r>
      <w:proofErr w:type="gramStart"/>
      <w:r w:rsidRPr="00F614F9">
        <w:rPr>
          <w:rFonts w:ascii="Times New Roman" w:eastAsia="宋体" w:hAnsi="Times New Roman" w:hint="eastAsia"/>
          <w:sz w:val="18"/>
        </w:rPr>
        <w:t>抵销</w:t>
      </w:r>
      <w:proofErr w:type="gramEnd"/>
      <w:r w:rsidRPr="00F614F9">
        <w:rPr>
          <w:rFonts w:ascii="Times New Roman" w:eastAsia="宋体" w:hAnsi="Times New Roman" w:hint="eastAsia"/>
          <w:sz w:val="18"/>
        </w:rPr>
        <w:t>。</w:t>
      </w:r>
    </w:p>
    <w:p w14:paraId="235C7026"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金融资产和金融负债的公允价值确定方法</w:t>
      </w:r>
    </w:p>
    <w:p w14:paraId="2C4728FD"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公允价值，是指市场参与者在计量日发生的有序交易中，出售一项资产所能收到或者转移一项负债所需支付的价格。金融工具存在活跃市场的，本集团采用活跃市场中的报价确定其公允价值。活跃市场中的报价是指易于定期从交易所、经纪商、行业协会、定价服务机构等获得的价格，且代表了在公平交易中实际发生的市场交易的价格。金融工具不存在活跃市场的，本集团采用估值技术确定其公允价值。估值技术包括参考熟悉情况并自愿交易的各方最近进行的市场交易中使用的价格、参照实质上相同的其他金融工具当前的公允价值、现金流量折现法和期权定价模型等。在估值时，本集团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14:paraId="40FC3AD1"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权益工具</w:t>
      </w:r>
    </w:p>
    <w:p w14:paraId="276933A7"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权益工具是指能证明拥有本集团在扣除所有负债后的资产中的剩余权益的合同。本集团发行（</w:t>
      </w:r>
      <w:proofErr w:type="gramStart"/>
      <w:r w:rsidRPr="00F614F9">
        <w:rPr>
          <w:rFonts w:ascii="Times New Roman" w:eastAsia="宋体" w:hAnsi="Times New Roman" w:hint="eastAsia"/>
          <w:sz w:val="18"/>
        </w:rPr>
        <w:t>含再融资</w:t>
      </w:r>
      <w:proofErr w:type="gramEnd"/>
      <w:r w:rsidRPr="00F614F9">
        <w:rPr>
          <w:rFonts w:ascii="Times New Roman" w:eastAsia="宋体" w:hAnsi="Times New Roman" w:hint="eastAsia"/>
          <w:sz w:val="18"/>
        </w:rPr>
        <w:t>）、回购、出售或注销权益工具作为权益的变动处理，与权益性交易相关的交易费用从权益中扣减。本集团不确认权益工具的公允价值变动。</w:t>
      </w:r>
    </w:p>
    <w:p w14:paraId="09EF4B56"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本集团权益工具在存续期间分派股利（含分类为权益工具的工具所产生的“利息”）的，作为利润分配处理。</w:t>
      </w:r>
    </w:p>
    <w:p w14:paraId="3C29E887"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 </w:t>
      </w:r>
      <w:r w:rsidRPr="00F614F9">
        <w:rPr>
          <w:rFonts w:ascii="Times New Roman" w:eastAsia="宋体" w:hAnsi="Times New Roman" w:hint="eastAsia"/>
          <w:sz w:val="18"/>
        </w:rPr>
        <w:t>金融工具的减值</w:t>
      </w:r>
    </w:p>
    <w:p w14:paraId="2ECA450E"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减值项目</w:t>
      </w:r>
    </w:p>
    <w:p w14:paraId="20C804E7"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本公司以预期信用损失为基础，对下列项目进行减值会计处理并确认损失准备：</w:t>
      </w:r>
    </w:p>
    <w:p w14:paraId="3470CB17"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1</w:t>
      </w:r>
      <w:r w:rsidRPr="00F614F9">
        <w:rPr>
          <w:rFonts w:ascii="Times New Roman" w:eastAsia="宋体" w:hAnsi="Times New Roman" w:hint="eastAsia"/>
          <w:sz w:val="18"/>
        </w:rPr>
        <w:t>）分类为以摊</w:t>
      </w:r>
      <w:proofErr w:type="gramStart"/>
      <w:r w:rsidRPr="00F614F9">
        <w:rPr>
          <w:rFonts w:ascii="Times New Roman" w:eastAsia="宋体" w:hAnsi="Times New Roman" w:hint="eastAsia"/>
          <w:sz w:val="18"/>
        </w:rPr>
        <w:t>余成本</w:t>
      </w:r>
      <w:proofErr w:type="gramEnd"/>
      <w:r w:rsidRPr="00F614F9">
        <w:rPr>
          <w:rFonts w:ascii="Times New Roman" w:eastAsia="宋体" w:hAnsi="Times New Roman" w:hint="eastAsia"/>
          <w:sz w:val="18"/>
        </w:rPr>
        <w:t>计量的金融资产和分类为以公允价值计量且其变动计入其他综合收益的金融资产；</w:t>
      </w:r>
    </w:p>
    <w:p w14:paraId="662BFB88"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2</w:t>
      </w:r>
      <w:r w:rsidRPr="00F614F9">
        <w:rPr>
          <w:rFonts w:ascii="Times New Roman" w:eastAsia="宋体" w:hAnsi="Times New Roman" w:hint="eastAsia"/>
          <w:sz w:val="18"/>
        </w:rPr>
        <w:t>）租赁应收款；</w:t>
      </w:r>
    </w:p>
    <w:p w14:paraId="405D89DE"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lastRenderedPageBreak/>
        <w:t>3</w:t>
      </w:r>
      <w:r w:rsidRPr="00F614F9">
        <w:rPr>
          <w:rFonts w:ascii="Times New Roman" w:eastAsia="宋体" w:hAnsi="Times New Roman" w:hint="eastAsia"/>
          <w:sz w:val="18"/>
        </w:rPr>
        <w:t>）贷款承诺和财务担保合同。</w:t>
      </w:r>
    </w:p>
    <w:p w14:paraId="5F7ECDFB"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本集团持有的其他以公允价值计量的金融资产不适用预期信用损失模型，包括以公允价值计量且其变动计入当期损益的金融资产，指定为以公允价值计量且其变动计入其他综合收益的金融资产（</w:t>
      </w:r>
      <w:proofErr w:type="gramStart"/>
      <w:r w:rsidRPr="00F614F9">
        <w:rPr>
          <w:rFonts w:ascii="Times New Roman" w:eastAsia="宋体" w:hAnsi="Times New Roman" w:hint="eastAsia"/>
          <w:sz w:val="18"/>
        </w:rPr>
        <w:t>非交易</w:t>
      </w:r>
      <w:proofErr w:type="gramEnd"/>
      <w:r w:rsidRPr="00F614F9">
        <w:rPr>
          <w:rFonts w:ascii="Times New Roman" w:eastAsia="宋体" w:hAnsi="Times New Roman" w:hint="eastAsia"/>
          <w:sz w:val="18"/>
        </w:rPr>
        <w:t>性权益工具投资），以及衍生金融资产。</w:t>
      </w:r>
    </w:p>
    <w:p w14:paraId="1EB10933"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减值准备的确认和计量</w:t>
      </w:r>
    </w:p>
    <w:p w14:paraId="08BABC67"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除了对于</w:t>
      </w:r>
      <w:proofErr w:type="gramStart"/>
      <w:r w:rsidRPr="00F614F9">
        <w:rPr>
          <w:rFonts w:ascii="Times New Roman" w:eastAsia="宋体" w:hAnsi="Times New Roman" w:hint="eastAsia"/>
          <w:sz w:val="18"/>
        </w:rPr>
        <w:t>购买或源生</w:t>
      </w:r>
      <w:proofErr w:type="gramEnd"/>
      <w:r w:rsidRPr="00F614F9">
        <w:rPr>
          <w:rFonts w:ascii="Times New Roman" w:eastAsia="宋体" w:hAnsi="Times New Roman" w:hint="eastAsia"/>
          <w:sz w:val="18"/>
        </w:rPr>
        <w:t>的已发生信用减值的金融资产以及始终按照相当于整个存续期内预期信用损失的金额计量损失准备的金融资产之外，本公司在每个资产负债表日评估相关金融工具的信用风险自初始确认后是否已显著增加，并按照下列情形分别计量其损失准备、确认预期信用损失及其变动：</w:t>
      </w:r>
    </w:p>
    <w:p w14:paraId="7EDA6AD8"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如果该金融工具的信用风险自初始确认后并未显著增加，处于第一阶段，本公司按照相当于该金融工具未来</w:t>
      </w:r>
      <w:r w:rsidRPr="00F614F9">
        <w:rPr>
          <w:rFonts w:ascii="Times New Roman" w:eastAsia="宋体" w:hAnsi="Times New Roman" w:hint="eastAsia"/>
          <w:sz w:val="18"/>
        </w:rPr>
        <w:t>12</w:t>
      </w:r>
      <w:r w:rsidRPr="00F614F9">
        <w:rPr>
          <w:rFonts w:ascii="Times New Roman" w:eastAsia="宋体" w:hAnsi="Times New Roman" w:hint="eastAsia"/>
          <w:sz w:val="18"/>
        </w:rPr>
        <w:t>个月内预期信用损失的金额计量其损失准备，无论本公司评估信用损失的基础是单项金融工具还是金融工具组合，由此形成的损失准备的增加或转回金额，作为减值损失或利得计入当期损益。</w:t>
      </w:r>
    </w:p>
    <w:p w14:paraId="1C41DFD9"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如果该金融工具的信用风险自初始确认后已显著增加，处于第二阶段，本公司按照相当于该金融工具整个存续期内预期信用损失的金额计量其损失准备。无论本公司评估信用损失的基础是单项金融工具还是金融工具组合，由此形成的损失准备的增加或转回金额，作为减值损失或利得计入当期损益。</w:t>
      </w:r>
    </w:p>
    <w:p w14:paraId="26355995"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对于已发生信用减值的金融资产，处于第三阶段，本公司在资产负债表日仅将自初始确认后整个存续期内预期信用损失的累计变动确认为损失准备。在每个资产负债表日，本公司将整个存续期内预期信用损失的变动金额作为减值损失或利得计入当期损益。即使该资产负债表日确定的整个存续期内预期信用损失小于初始确认时估计现金流量所反映的预期信用损失的金额，本公司也将预期信用损失的有利变动确认为减值利得。</w:t>
      </w:r>
    </w:p>
    <w:p w14:paraId="67BA631F"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对于分类为以公允价值计量且其变动计入其他综合收益的金融资产（债务工具投资），本公司在其他综合收益中确认其损失准备，并将减值损失或利得计入当期损益，且不应减少该金融资产在资产负债表中列示的账面价值。</w:t>
      </w:r>
    </w:p>
    <w:p w14:paraId="74798CBA"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本集团在前一会计期间已经按照相当于金融工具整个存续期内预期信用损失的金额计量了损失准备，但在当期资产负债表日，该金融工具已不再属于自初始确认后信用风险显著增加的情形的，本公司在当期资产负债表</w:t>
      </w:r>
      <w:proofErr w:type="gramStart"/>
      <w:r w:rsidRPr="00F614F9">
        <w:rPr>
          <w:rFonts w:ascii="Times New Roman" w:eastAsia="宋体" w:hAnsi="Times New Roman" w:hint="eastAsia"/>
          <w:sz w:val="18"/>
        </w:rPr>
        <w:t>日按照</w:t>
      </w:r>
      <w:proofErr w:type="gramEnd"/>
      <w:r w:rsidRPr="00F614F9">
        <w:rPr>
          <w:rFonts w:ascii="Times New Roman" w:eastAsia="宋体" w:hAnsi="Times New Roman" w:hint="eastAsia"/>
          <w:sz w:val="18"/>
        </w:rPr>
        <w:t>相当于未来</w:t>
      </w:r>
      <w:r w:rsidRPr="00F614F9">
        <w:rPr>
          <w:rFonts w:ascii="Times New Roman" w:eastAsia="宋体" w:hAnsi="Times New Roman" w:hint="eastAsia"/>
          <w:sz w:val="18"/>
        </w:rPr>
        <w:t>12</w:t>
      </w:r>
      <w:r w:rsidRPr="00F614F9">
        <w:rPr>
          <w:rFonts w:ascii="Times New Roman" w:eastAsia="宋体" w:hAnsi="Times New Roman" w:hint="eastAsia"/>
          <w:sz w:val="18"/>
        </w:rPr>
        <w:t>个月内预期信用损失的金额计量该金融工具的损失准备，由此形成的损失准备的转回金额应当作为减值利得计入当期损益。</w:t>
      </w:r>
    </w:p>
    <w:p w14:paraId="7618AE0F"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本集团在单项工具层面无法以合理成本获得关于信用风险显著增加的充分证据时，本公司在组合基础上评估信用风险是否显著增加。</w:t>
      </w:r>
    </w:p>
    <w:p w14:paraId="2BDA6445"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对于适用本项政策有关金融工具减值规定的各类金融工具，本集团按照下列方法确定其信用损失：</w:t>
      </w:r>
    </w:p>
    <w:p w14:paraId="7445776A"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1</w:t>
      </w:r>
      <w:r w:rsidRPr="00F614F9">
        <w:rPr>
          <w:rFonts w:ascii="Times New Roman" w:eastAsia="宋体" w:hAnsi="Times New Roman" w:hint="eastAsia"/>
          <w:sz w:val="18"/>
        </w:rPr>
        <w:t>）对于金融资产，信用损失为本公司收取的合同现金流量与预期收取的现金流量之间差额的现值。</w:t>
      </w:r>
    </w:p>
    <w:p w14:paraId="2803213C"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2</w:t>
      </w:r>
      <w:r w:rsidRPr="00F614F9">
        <w:rPr>
          <w:rFonts w:ascii="Times New Roman" w:eastAsia="宋体" w:hAnsi="Times New Roman" w:hint="eastAsia"/>
          <w:sz w:val="18"/>
        </w:rPr>
        <w:t>）对于租赁应收款项，信用损失为本公司应收取的合同现金流量与预期收取的现金流量之间差额的现值。</w:t>
      </w:r>
    </w:p>
    <w:p w14:paraId="1B1EBADD"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3</w:t>
      </w:r>
      <w:r w:rsidRPr="00F614F9">
        <w:rPr>
          <w:rFonts w:ascii="Times New Roman" w:eastAsia="宋体" w:hAnsi="Times New Roman" w:hint="eastAsia"/>
          <w:sz w:val="18"/>
        </w:rPr>
        <w:t>）对于未提用的贷款承诺，信用损失应为在贷款承诺持有人提用相应贷款的情况下，本公司应收取的合同现金流量与预期收取的现金流量之间差额的现值。</w:t>
      </w:r>
    </w:p>
    <w:p w14:paraId="04F36F61"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4</w:t>
      </w:r>
      <w:r w:rsidRPr="00F614F9">
        <w:rPr>
          <w:rFonts w:ascii="Times New Roman" w:eastAsia="宋体" w:hAnsi="Times New Roman" w:hint="eastAsia"/>
          <w:sz w:val="18"/>
        </w:rPr>
        <w:t>）对于财务担保合同，信用损失应为本公司就该合同持有人发生的信用损失向其做出赔付的预计付款额，减去本公司预期向该合同持有人、债务人或任何其他方收取的金额之间差额的现值。</w:t>
      </w:r>
    </w:p>
    <w:p w14:paraId="0A048D78"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5</w:t>
      </w:r>
      <w:r w:rsidRPr="00F614F9">
        <w:rPr>
          <w:rFonts w:ascii="Times New Roman" w:eastAsia="宋体" w:hAnsi="Times New Roman" w:hint="eastAsia"/>
          <w:sz w:val="18"/>
        </w:rPr>
        <w:t>）对于资产负债表日已发生信用减值但并非</w:t>
      </w:r>
      <w:proofErr w:type="gramStart"/>
      <w:r w:rsidRPr="00F614F9">
        <w:rPr>
          <w:rFonts w:ascii="Times New Roman" w:eastAsia="宋体" w:hAnsi="Times New Roman" w:hint="eastAsia"/>
          <w:sz w:val="18"/>
        </w:rPr>
        <w:t>购买或源生</w:t>
      </w:r>
      <w:proofErr w:type="gramEnd"/>
      <w:r w:rsidRPr="00F614F9">
        <w:rPr>
          <w:rFonts w:ascii="Times New Roman" w:eastAsia="宋体" w:hAnsi="Times New Roman" w:hint="eastAsia"/>
          <w:sz w:val="18"/>
        </w:rPr>
        <w:t>已发生信用减值的金融资产，信用损失为该金融资产账面余额与按</w:t>
      </w:r>
      <w:proofErr w:type="gramStart"/>
      <w:r w:rsidRPr="00F614F9">
        <w:rPr>
          <w:rFonts w:ascii="Times New Roman" w:eastAsia="宋体" w:hAnsi="Times New Roman" w:hint="eastAsia"/>
          <w:sz w:val="18"/>
        </w:rPr>
        <w:t>原实际</w:t>
      </w:r>
      <w:proofErr w:type="gramEnd"/>
      <w:r w:rsidRPr="00F614F9">
        <w:rPr>
          <w:rFonts w:ascii="Times New Roman" w:eastAsia="宋体" w:hAnsi="Times New Roman" w:hint="eastAsia"/>
          <w:sz w:val="18"/>
        </w:rPr>
        <w:t>利率折现的估计未来现金流量的现值之间的差额。</w:t>
      </w:r>
    </w:p>
    <w:p w14:paraId="6BB3F508"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信用风险显著增加</w:t>
      </w:r>
    </w:p>
    <w:p w14:paraId="71CC15D6"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本集团通过比较金融工具在初始确认时所确定的预计存续期内的违约概率和该工具在资产负债表日所确定的预计存续期内的违约概率，来判定金融工具信用风险是否显著增加。除特殊情形外，本集团采用未来</w:t>
      </w:r>
      <w:r w:rsidRPr="00F614F9">
        <w:rPr>
          <w:rFonts w:ascii="Times New Roman" w:eastAsia="宋体" w:hAnsi="Times New Roman" w:hint="eastAsia"/>
          <w:sz w:val="18"/>
        </w:rPr>
        <w:t>12</w:t>
      </w:r>
      <w:r w:rsidRPr="00F614F9">
        <w:rPr>
          <w:rFonts w:ascii="Times New Roman" w:eastAsia="宋体" w:hAnsi="Times New Roman" w:hint="eastAsia"/>
          <w:sz w:val="18"/>
        </w:rPr>
        <w:t>个月内发生的违约风险的变化作为整个存续期内发生违约风险变化的合理估计，以确定自初始确认后信用风险是否已显著增加。</w:t>
      </w:r>
    </w:p>
    <w:p w14:paraId="3D6E9C2B"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本集团确定金融工具在资产负债表日只具有较低的信用风险的，可以假设该金融工具的信用风险自初始确认后并未显著增加。通常逾期超过</w:t>
      </w:r>
      <w:r w:rsidRPr="00F614F9">
        <w:rPr>
          <w:rFonts w:ascii="Times New Roman" w:eastAsia="宋体" w:hAnsi="Times New Roman" w:hint="eastAsia"/>
          <w:sz w:val="18"/>
        </w:rPr>
        <w:t>30</w:t>
      </w:r>
      <w:r w:rsidRPr="00F614F9">
        <w:rPr>
          <w:rFonts w:ascii="Times New Roman" w:eastAsia="宋体" w:hAnsi="Times New Roman" w:hint="eastAsia"/>
          <w:sz w:val="18"/>
        </w:rPr>
        <w:t>日，本公司即认为该金融工具的信用风险已显著增加，除非有确凿证据证明该金融工具的信用风险自初始确认后并未显著增加。</w:t>
      </w:r>
    </w:p>
    <w:p w14:paraId="5769E6FA"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应收票据及应收账款减值</w:t>
      </w:r>
    </w:p>
    <w:p w14:paraId="14CED7FE"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t>对于应收票据及应收账款，无论是否存在重大融资成分，本公司均按照整个存续期的预期信用损失计量损失准备。</w:t>
      </w:r>
    </w:p>
    <w:p w14:paraId="5E40F693" w14:textId="77777777" w:rsidR="00872599" w:rsidRPr="00F614F9" w:rsidRDefault="00000000" w:rsidP="009E2AA2">
      <w:pPr>
        <w:spacing w:line="23" w:lineRule="atLeast"/>
        <w:ind w:firstLineChars="200" w:firstLine="360"/>
        <w:divId w:val="968709565"/>
        <w:rPr>
          <w:rFonts w:ascii="Times New Roman" w:eastAsia="宋体" w:hAnsi="Times New Roman"/>
          <w:sz w:val="18"/>
        </w:rPr>
      </w:pPr>
      <w:r w:rsidRPr="00F614F9">
        <w:rPr>
          <w:rFonts w:ascii="Times New Roman" w:eastAsia="宋体" w:hAnsi="Times New Roman" w:hint="eastAsia"/>
          <w:sz w:val="18"/>
        </w:rPr>
        <w:lastRenderedPageBreak/>
        <w:t>当单项应收票据及应收账款无法以合理成本评估预期信用损失的信息时，本集团依据信用风险特征将应收票据及应收账款划分为若干组合，在组合基础上计算预期信用损失。如果有客观证据表明某项应收票据及应收账款已经发生信用减值，则本公司对该应收票据及应收账款单项计提坏准备并确认预期信用损失。对于划分为组合的应收票据及应收账款，本公司参考历史信用损失经验，结合当前状况以及对未来经济状况的预测，通过违约风险敞口和整个存续期预期信用损失率，计算预期信用损失。</w:t>
      </w:r>
      <w:proofErr w:type="gramStart"/>
      <w:r w:rsidRPr="00F614F9">
        <w:rPr>
          <w:rFonts w:ascii="Times New Roman" w:eastAsia="宋体" w:hAnsi="Times New Roman" w:hint="eastAsia"/>
          <w:sz w:val="18"/>
        </w:rPr>
        <w:t>对于按账龄</w:t>
      </w:r>
      <w:proofErr w:type="gramEnd"/>
      <w:r w:rsidRPr="00F614F9">
        <w:rPr>
          <w:rFonts w:ascii="Times New Roman" w:eastAsia="宋体" w:hAnsi="Times New Roman" w:hint="eastAsia"/>
          <w:sz w:val="18"/>
        </w:rPr>
        <w:t>划分组合的应收账款，账</w:t>
      </w:r>
      <w:proofErr w:type="gramStart"/>
      <w:r w:rsidRPr="00F614F9">
        <w:rPr>
          <w:rFonts w:ascii="Times New Roman" w:eastAsia="宋体" w:hAnsi="Times New Roman" w:hint="eastAsia"/>
          <w:sz w:val="18"/>
        </w:rPr>
        <w:t>龄自确认</w:t>
      </w:r>
      <w:proofErr w:type="gramEnd"/>
      <w:r w:rsidRPr="00F614F9">
        <w:rPr>
          <w:rFonts w:ascii="Times New Roman" w:eastAsia="宋体" w:hAnsi="Times New Roman" w:hint="eastAsia"/>
          <w:sz w:val="18"/>
        </w:rPr>
        <w:t>之日起计算。</w:t>
      </w:r>
    </w:p>
    <w:p w14:paraId="7D40544B" w14:textId="77777777" w:rsidR="00872599" w:rsidRPr="00F614F9" w:rsidRDefault="00000000">
      <w:pPr>
        <w:pStyle w:val="a3"/>
        <w:spacing w:before="0" w:beforeAutospacing="0" w:after="0" w:afterAutospacing="0" w:line="460" w:lineRule="atLeast"/>
        <w:ind w:firstLine="360"/>
        <w:jc w:val="both"/>
        <w:divId w:val="968709565"/>
        <w:rPr>
          <w:rFonts w:ascii="Times New Roman" w:hAnsi="Times New Roman" w:cs="Times New Roman"/>
          <w:sz w:val="21"/>
          <w:szCs w:val="21"/>
        </w:rPr>
      </w:pPr>
      <w:r w:rsidRPr="00F614F9">
        <w:rPr>
          <w:rFonts w:ascii="Times New Roman" w:hAnsi="Times New Roman" w:cs="Times New Roman" w:hint="eastAsia"/>
          <w:sz w:val="18"/>
          <w:szCs w:val="18"/>
        </w:rPr>
        <w:t>应收票据及应收账款组合：</w:t>
      </w:r>
    </w:p>
    <w:tbl>
      <w:tblPr>
        <w:tblW w:w="5000" w:type="pct"/>
        <w:jc w:val="center"/>
        <w:tblCellMar>
          <w:top w:w="15" w:type="dxa"/>
          <w:left w:w="15" w:type="dxa"/>
          <w:bottom w:w="15" w:type="dxa"/>
          <w:right w:w="15" w:type="dxa"/>
        </w:tblCellMar>
        <w:tblLook w:val="04A0" w:firstRow="1" w:lastRow="0" w:firstColumn="1" w:lastColumn="0" w:noHBand="0" w:noVBand="1"/>
      </w:tblPr>
      <w:tblGrid>
        <w:gridCol w:w="5003"/>
        <w:gridCol w:w="4614"/>
      </w:tblGrid>
      <w:tr w:rsidR="00872599" w:rsidRPr="00F614F9" w14:paraId="20B7D0A9" w14:textId="77777777" w:rsidTr="009E2AA2">
        <w:trPr>
          <w:divId w:val="968709565"/>
          <w:trHeight w:val="340"/>
          <w:jc w:val="center"/>
        </w:trPr>
        <w:tc>
          <w:tcPr>
            <w:tcW w:w="2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EEBADB"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项目</w:t>
            </w:r>
          </w:p>
        </w:tc>
        <w:tc>
          <w:tcPr>
            <w:tcW w:w="239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335E9"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确定组合的依据</w:t>
            </w:r>
          </w:p>
        </w:tc>
      </w:tr>
      <w:tr w:rsidR="00872599" w:rsidRPr="00F614F9" w14:paraId="7E195811" w14:textId="77777777" w:rsidTr="009E2AA2">
        <w:trPr>
          <w:divId w:val="968709565"/>
          <w:trHeight w:val="340"/>
          <w:jc w:val="center"/>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CCB2E5"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应收账款组合</w:t>
            </w: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：应收合并范围内关联方款项组合</w:t>
            </w:r>
          </w:p>
        </w:tc>
        <w:tc>
          <w:tcPr>
            <w:tcW w:w="23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F7CA51"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合并范围内各家单位之间的往来款项</w:t>
            </w:r>
          </w:p>
        </w:tc>
      </w:tr>
      <w:tr w:rsidR="00872599" w:rsidRPr="00F614F9" w14:paraId="178CE435" w14:textId="77777777" w:rsidTr="009E2AA2">
        <w:trPr>
          <w:divId w:val="968709565"/>
          <w:trHeight w:val="340"/>
          <w:jc w:val="center"/>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5491CB"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应收账款组合</w:t>
            </w: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w:t>
            </w:r>
            <w:proofErr w:type="gramStart"/>
            <w:r w:rsidRPr="00F614F9">
              <w:rPr>
                <w:rFonts w:ascii="Times New Roman" w:eastAsia="宋体" w:hAnsi="Times New Roman" w:hint="eastAsia"/>
                <w:sz w:val="18"/>
                <w:szCs w:val="18"/>
              </w:rPr>
              <w:t>账</w:t>
            </w:r>
            <w:proofErr w:type="gramEnd"/>
            <w:r w:rsidRPr="00F614F9">
              <w:rPr>
                <w:rFonts w:ascii="Times New Roman" w:eastAsia="宋体" w:hAnsi="Times New Roman" w:hint="eastAsia"/>
                <w:sz w:val="18"/>
                <w:szCs w:val="18"/>
              </w:rPr>
              <w:t>龄组合</w:t>
            </w:r>
          </w:p>
        </w:tc>
        <w:tc>
          <w:tcPr>
            <w:tcW w:w="23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69D7EA"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本组合以应收款项的账</w:t>
            </w:r>
            <w:proofErr w:type="gramStart"/>
            <w:r w:rsidRPr="00F614F9">
              <w:rPr>
                <w:rFonts w:ascii="Times New Roman" w:eastAsia="宋体" w:hAnsi="Times New Roman" w:hint="eastAsia"/>
                <w:sz w:val="18"/>
                <w:szCs w:val="18"/>
              </w:rPr>
              <w:t>龄作为</w:t>
            </w:r>
            <w:proofErr w:type="gramEnd"/>
            <w:r w:rsidRPr="00F614F9">
              <w:rPr>
                <w:rFonts w:ascii="Times New Roman" w:eastAsia="宋体" w:hAnsi="Times New Roman" w:hint="eastAsia"/>
                <w:sz w:val="18"/>
                <w:szCs w:val="18"/>
              </w:rPr>
              <w:t>信用风险特征</w:t>
            </w:r>
          </w:p>
        </w:tc>
      </w:tr>
    </w:tbl>
    <w:p w14:paraId="131B8193" w14:textId="77777777" w:rsidR="00872599" w:rsidRPr="00F614F9" w:rsidRDefault="00000000" w:rsidP="009E2AA2">
      <w:pPr>
        <w:pStyle w:val="a3"/>
        <w:spacing w:before="0" w:beforeAutospacing="0" w:after="0" w:afterAutospacing="0" w:line="276" w:lineRule="auto"/>
        <w:ind w:firstLine="360"/>
        <w:jc w:val="both"/>
        <w:divId w:val="968709565"/>
        <w:rPr>
          <w:rFonts w:ascii="Times New Roman" w:hAnsi="Times New Roman" w:cs="Times New Roman"/>
          <w:sz w:val="21"/>
          <w:szCs w:val="21"/>
        </w:rPr>
      </w:pPr>
      <w:r w:rsidRPr="00F614F9">
        <w:rPr>
          <w:rFonts w:ascii="Times New Roman" w:hAnsi="Times New Roman" w:cs="Times New Roman" w:hint="eastAsia"/>
          <w:sz w:val="18"/>
          <w:szCs w:val="18"/>
        </w:rPr>
        <w:t>各组合预期信用损失率</w:t>
      </w:r>
    </w:p>
    <w:p w14:paraId="2146A059" w14:textId="77777777" w:rsidR="00872599" w:rsidRPr="00F614F9" w:rsidRDefault="00000000" w:rsidP="009E2AA2">
      <w:pPr>
        <w:pStyle w:val="a3"/>
        <w:spacing w:before="0" w:beforeAutospacing="0" w:after="0" w:afterAutospacing="0" w:line="276" w:lineRule="auto"/>
        <w:ind w:firstLine="360"/>
        <w:jc w:val="both"/>
        <w:divId w:val="968709565"/>
        <w:rPr>
          <w:rFonts w:ascii="Times New Roman" w:hAnsi="Times New Roman" w:cs="Times New Roman"/>
          <w:sz w:val="21"/>
          <w:szCs w:val="21"/>
        </w:rPr>
      </w:pPr>
      <w:r w:rsidRPr="00F614F9">
        <w:rPr>
          <w:rFonts w:ascii="Times New Roman" w:hAnsi="Times New Roman" w:cs="Times New Roman" w:hint="eastAsia"/>
          <w:sz w:val="18"/>
          <w:szCs w:val="18"/>
        </w:rPr>
        <w:t>应收票据组合</w:t>
      </w:r>
      <w:r w:rsidRPr="00F614F9">
        <w:rPr>
          <w:rFonts w:ascii="Times New Roman" w:hAnsi="Times New Roman" w:cs="Times New Roman" w:hint="eastAsia"/>
          <w:sz w:val="18"/>
          <w:szCs w:val="18"/>
        </w:rPr>
        <w:t>1</w:t>
      </w:r>
      <w:r w:rsidRPr="00F614F9">
        <w:rPr>
          <w:rFonts w:ascii="Times New Roman" w:hAnsi="Times New Roman" w:cs="Times New Roman" w:hint="eastAsia"/>
          <w:sz w:val="18"/>
          <w:szCs w:val="18"/>
        </w:rPr>
        <w:t>：银行承兑汇票：承兑人具有较高的信用评级，历史上未发生票据违约，一般不计提坏账准备。</w:t>
      </w:r>
    </w:p>
    <w:p w14:paraId="2D8235CC" w14:textId="77777777" w:rsidR="00872599" w:rsidRPr="00F614F9" w:rsidRDefault="00000000" w:rsidP="009E2AA2">
      <w:pPr>
        <w:pStyle w:val="a3"/>
        <w:spacing w:before="0" w:beforeAutospacing="0" w:after="0" w:afterAutospacing="0" w:line="276" w:lineRule="auto"/>
        <w:ind w:firstLine="360"/>
        <w:jc w:val="both"/>
        <w:divId w:val="968709565"/>
        <w:rPr>
          <w:rFonts w:ascii="Times New Roman" w:hAnsi="Times New Roman" w:cs="Times New Roman"/>
          <w:sz w:val="21"/>
          <w:szCs w:val="21"/>
        </w:rPr>
      </w:pPr>
      <w:r w:rsidRPr="00F614F9">
        <w:rPr>
          <w:rFonts w:ascii="Times New Roman" w:hAnsi="Times New Roman" w:cs="Times New Roman" w:hint="eastAsia"/>
          <w:sz w:val="18"/>
          <w:szCs w:val="18"/>
        </w:rPr>
        <w:t>应收票据组合</w:t>
      </w:r>
      <w:r w:rsidRPr="00F614F9">
        <w:rPr>
          <w:rFonts w:ascii="Times New Roman" w:hAnsi="Times New Roman" w:cs="Times New Roman" w:hint="eastAsia"/>
          <w:sz w:val="18"/>
          <w:szCs w:val="18"/>
        </w:rPr>
        <w:t>2</w:t>
      </w:r>
      <w:r w:rsidRPr="00F614F9">
        <w:rPr>
          <w:rFonts w:ascii="Times New Roman" w:hAnsi="Times New Roman" w:cs="Times New Roman" w:hint="eastAsia"/>
          <w:sz w:val="18"/>
          <w:szCs w:val="18"/>
        </w:rPr>
        <w:t>：商业承兑汇票：参照应收账款确定预期信用损失率计提坏账准备。</w:t>
      </w:r>
    </w:p>
    <w:p w14:paraId="7756A72D" w14:textId="77777777" w:rsidR="00872599" w:rsidRPr="00F614F9" w:rsidRDefault="00000000" w:rsidP="009E2AA2">
      <w:pPr>
        <w:pStyle w:val="a3"/>
        <w:spacing w:before="0" w:beforeAutospacing="0" w:after="0" w:afterAutospacing="0" w:line="276" w:lineRule="auto"/>
        <w:ind w:firstLine="360"/>
        <w:jc w:val="both"/>
        <w:divId w:val="968709565"/>
        <w:rPr>
          <w:rFonts w:ascii="Times New Roman" w:hAnsi="Times New Roman" w:cs="Times New Roman"/>
          <w:sz w:val="21"/>
          <w:szCs w:val="21"/>
        </w:rPr>
      </w:pPr>
      <w:r w:rsidRPr="00F614F9">
        <w:rPr>
          <w:rFonts w:ascii="Times New Roman" w:hAnsi="Times New Roman" w:cs="Times New Roman" w:hint="eastAsia"/>
          <w:sz w:val="18"/>
          <w:szCs w:val="18"/>
        </w:rPr>
        <w:t>应收账款组合</w:t>
      </w:r>
      <w:r w:rsidRPr="00F614F9">
        <w:rPr>
          <w:rFonts w:ascii="Times New Roman" w:hAnsi="Times New Roman" w:cs="Times New Roman" w:hint="eastAsia"/>
          <w:sz w:val="18"/>
          <w:szCs w:val="18"/>
        </w:rPr>
        <w:t>1</w:t>
      </w:r>
      <w:r w:rsidRPr="00F614F9">
        <w:rPr>
          <w:rFonts w:ascii="Times New Roman" w:hAnsi="Times New Roman" w:cs="Times New Roman" w:hint="eastAsia"/>
          <w:sz w:val="18"/>
          <w:szCs w:val="18"/>
        </w:rPr>
        <w:t>：应收合并范围内关联方款项组合：合并范围内公司的往来款，一般不计提坏账准备，除非子公司发生明显的大额亏损考虑单项计提坏账准备。</w:t>
      </w:r>
    </w:p>
    <w:p w14:paraId="525861E8" w14:textId="77777777" w:rsidR="00872599" w:rsidRPr="00F614F9" w:rsidRDefault="00000000" w:rsidP="009E2AA2">
      <w:pPr>
        <w:pStyle w:val="a3"/>
        <w:spacing w:before="0" w:beforeAutospacing="0" w:after="0" w:afterAutospacing="0" w:line="276" w:lineRule="auto"/>
        <w:ind w:firstLine="360"/>
        <w:jc w:val="both"/>
        <w:divId w:val="968709565"/>
        <w:rPr>
          <w:rFonts w:ascii="Times New Roman" w:hAnsi="Times New Roman" w:cs="Times New Roman"/>
          <w:sz w:val="21"/>
          <w:szCs w:val="21"/>
        </w:rPr>
      </w:pPr>
      <w:r w:rsidRPr="00F614F9">
        <w:rPr>
          <w:rFonts w:ascii="Times New Roman" w:hAnsi="Times New Roman" w:cs="Times New Roman" w:hint="eastAsia"/>
          <w:sz w:val="18"/>
          <w:szCs w:val="18"/>
        </w:rPr>
        <w:t>应收账款组合</w:t>
      </w:r>
      <w:r w:rsidRPr="00F614F9">
        <w:rPr>
          <w:rFonts w:ascii="Times New Roman" w:hAnsi="Times New Roman" w:cs="Times New Roman" w:hint="eastAsia"/>
          <w:sz w:val="18"/>
          <w:szCs w:val="18"/>
        </w:rPr>
        <w:t>2</w:t>
      </w:r>
      <w:r w:rsidRPr="00F614F9">
        <w:rPr>
          <w:rFonts w:ascii="Times New Roman" w:hAnsi="Times New Roman" w:cs="Times New Roman" w:hint="eastAsia"/>
          <w:sz w:val="18"/>
          <w:szCs w:val="18"/>
        </w:rPr>
        <w:t>：</w:t>
      </w:r>
      <w:proofErr w:type="gramStart"/>
      <w:r w:rsidRPr="00F614F9">
        <w:rPr>
          <w:rFonts w:ascii="Times New Roman" w:hAnsi="Times New Roman" w:cs="Times New Roman" w:hint="eastAsia"/>
          <w:sz w:val="18"/>
          <w:szCs w:val="18"/>
        </w:rPr>
        <w:t>账</w:t>
      </w:r>
      <w:proofErr w:type="gramEnd"/>
      <w:r w:rsidRPr="00F614F9">
        <w:rPr>
          <w:rFonts w:ascii="Times New Roman" w:hAnsi="Times New Roman" w:cs="Times New Roman" w:hint="eastAsia"/>
          <w:sz w:val="18"/>
          <w:szCs w:val="18"/>
        </w:rPr>
        <w:t>龄组合：</w:t>
      </w:r>
    </w:p>
    <w:tbl>
      <w:tblPr>
        <w:tblW w:w="9795" w:type="dxa"/>
        <w:tblCellMar>
          <w:top w:w="15" w:type="dxa"/>
          <w:left w:w="15" w:type="dxa"/>
          <w:bottom w:w="15" w:type="dxa"/>
          <w:right w:w="15" w:type="dxa"/>
        </w:tblCellMar>
        <w:tblLook w:val="04A0" w:firstRow="1" w:lastRow="0" w:firstColumn="1" w:lastColumn="0" w:noHBand="0" w:noVBand="1"/>
      </w:tblPr>
      <w:tblGrid>
        <w:gridCol w:w="5093"/>
        <w:gridCol w:w="4702"/>
      </w:tblGrid>
      <w:tr w:rsidR="00872599" w:rsidRPr="00F614F9" w14:paraId="3D72E890" w14:textId="77777777">
        <w:trPr>
          <w:divId w:val="968709565"/>
          <w:trHeight w:val="340"/>
        </w:trPr>
        <w:tc>
          <w:tcPr>
            <w:tcW w:w="2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B0E52A" w14:textId="77777777" w:rsidR="00872599" w:rsidRPr="00F614F9" w:rsidRDefault="00000000" w:rsidP="009E2AA2">
            <w:pPr>
              <w:rPr>
                <w:rFonts w:ascii="Times New Roman" w:eastAsia="宋体" w:hAnsi="Times New Roman"/>
              </w:rPr>
            </w:pPr>
            <w:r w:rsidRPr="00F614F9">
              <w:rPr>
                <w:rFonts w:ascii="Times New Roman" w:eastAsia="宋体" w:hAnsi="Times New Roman" w:hint="eastAsia"/>
              </w:rPr>
              <w:t>账龄</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54349A" w14:textId="77777777" w:rsidR="00872599" w:rsidRPr="00F614F9" w:rsidRDefault="00000000" w:rsidP="009E2AA2">
            <w:pPr>
              <w:jc w:val="center"/>
              <w:rPr>
                <w:rFonts w:ascii="Times New Roman" w:eastAsia="宋体" w:hAnsi="Times New Roman"/>
              </w:rPr>
            </w:pPr>
            <w:r w:rsidRPr="00F614F9">
              <w:rPr>
                <w:rFonts w:ascii="Times New Roman" w:eastAsia="宋体" w:hAnsi="Times New Roman" w:hint="eastAsia"/>
              </w:rPr>
              <w:t>预期信用损失率（</w:t>
            </w:r>
            <w:r w:rsidRPr="00F614F9">
              <w:rPr>
                <w:rFonts w:ascii="Times New Roman" w:eastAsia="宋体" w:hAnsi="Times New Roman" w:hint="eastAsia"/>
              </w:rPr>
              <w:t>%</w:t>
            </w:r>
            <w:r w:rsidRPr="00F614F9">
              <w:rPr>
                <w:rFonts w:ascii="Times New Roman" w:eastAsia="宋体" w:hAnsi="Times New Roman" w:hint="eastAsia"/>
              </w:rPr>
              <w:t>）</w:t>
            </w:r>
          </w:p>
        </w:tc>
      </w:tr>
      <w:tr w:rsidR="00872599" w:rsidRPr="00F614F9" w14:paraId="7C9A9A3D" w14:textId="77777777">
        <w:trPr>
          <w:divId w:val="968709565"/>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50B65F" w14:textId="77777777" w:rsidR="00872599" w:rsidRPr="00F614F9" w:rsidRDefault="00000000" w:rsidP="009E2AA2">
            <w:pPr>
              <w:rPr>
                <w:rFonts w:ascii="Times New Roman" w:eastAsia="宋体" w:hAnsi="Times New Roman"/>
              </w:rPr>
            </w:pPr>
            <w:r w:rsidRPr="00F614F9">
              <w:rPr>
                <w:rFonts w:ascii="Times New Roman" w:eastAsia="宋体" w:hAnsi="Times New Roman" w:hint="eastAsia"/>
              </w:rPr>
              <w:t>1-3</w:t>
            </w:r>
            <w:r w:rsidRPr="00F614F9">
              <w:rPr>
                <w:rFonts w:ascii="Times New Roman" w:eastAsia="宋体" w:hAnsi="Times New Roman" w:hint="eastAsia"/>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716774" w14:textId="77777777" w:rsidR="00872599" w:rsidRPr="00F614F9" w:rsidRDefault="00000000" w:rsidP="009E2AA2">
            <w:pPr>
              <w:jc w:val="center"/>
              <w:rPr>
                <w:rFonts w:ascii="Times New Roman" w:eastAsia="宋体" w:hAnsi="Times New Roman"/>
              </w:rPr>
            </w:pPr>
            <w:r w:rsidRPr="00F614F9">
              <w:rPr>
                <w:rFonts w:ascii="Times New Roman" w:eastAsia="宋体" w:hAnsi="Times New Roman" w:hint="eastAsia"/>
              </w:rPr>
              <w:t>2.25%</w:t>
            </w:r>
          </w:p>
        </w:tc>
      </w:tr>
      <w:tr w:rsidR="00872599" w:rsidRPr="00F614F9" w14:paraId="4BDA5408" w14:textId="77777777">
        <w:trPr>
          <w:divId w:val="968709565"/>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1C12D7" w14:textId="77777777" w:rsidR="00872599" w:rsidRPr="00F614F9" w:rsidRDefault="00000000" w:rsidP="009E2AA2">
            <w:pPr>
              <w:rPr>
                <w:rFonts w:ascii="Times New Roman" w:eastAsia="宋体" w:hAnsi="Times New Roman"/>
              </w:rPr>
            </w:pPr>
            <w:r w:rsidRPr="00F614F9">
              <w:rPr>
                <w:rFonts w:ascii="Times New Roman" w:eastAsia="宋体" w:hAnsi="Times New Roman" w:hint="eastAsia"/>
              </w:rPr>
              <w:t>4-6</w:t>
            </w:r>
            <w:r w:rsidRPr="00F614F9">
              <w:rPr>
                <w:rFonts w:ascii="Times New Roman" w:eastAsia="宋体" w:hAnsi="Times New Roman" w:hint="eastAsia"/>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hideMark/>
          </w:tcPr>
          <w:p w14:paraId="1A0BA58A" w14:textId="77777777" w:rsidR="00872599" w:rsidRPr="00F614F9" w:rsidRDefault="00000000" w:rsidP="009E2AA2">
            <w:pPr>
              <w:jc w:val="center"/>
              <w:rPr>
                <w:rFonts w:ascii="Times New Roman" w:eastAsia="宋体" w:hAnsi="Times New Roman"/>
              </w:rPr>
            </w:pPr>
            <w:r w:rsidRPr="00F614F9">
              <w:rPr>
                <w:rFonts w:ascii="Times New Roman" w:eastAsia="宋体" w:hAnsi="Times New Roman" w:hint="eastAsia"/>
              </w:rPr>
              <w:t>2.25%</w:t>
            </w:r>
          </w:p>
        </w:tc>
      </w:tr>
      <w:tr w:rsidR="00872599" w:rsidRPr="00F614F9" w14:paraId="0738AC81" w14:textId="77777777">
        <w:trPr>
          <w:divId w:val="968709565"/>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1D699E4" w14:textId="77777777" w:rsidR="00872599" w:rsidRPr="00F614F9" w:rsidRDefault="00000000" w:rsidP="009E2AA2">
            <w:pPr>
              <w:rPr>
                <w:rFonts w:ascii="Times New Roman" w:eastAsia="宋体" w:hAnsi="Times New Roman"/>
              </w:rPr>
            </w:pPr>
            <w:r w:rsidRPr="00F614F9">
              <w:rPr>
                <w:rFonts w:ascii="Times New Roman" w:eastAsia="宋体" w:hAnsi="Times New Roman" w:hint="eastAsia"/>
              </w:rPr>
              <w:t>7-9</w:t>
            </w:r>
            <w:r w:rsidRPr="00F614F9">
              <w:rPr>
                <w:rFonts w:ascii="Times New Roman" w:eastAsia="宋体" w:hAnsi="Times New Roman" w:hint="eastAsia"/>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hideMark/>
          </w:tcPr>
          <w:p w14:paraId="70DA7147" w14:textId="77777777" w:rsidR="00872599" w:rsidRPr="00F614F9" w:rsidRDefault="00000000" w:rsidP="009E2AA2">
            <w:pPr>
              <w:jc w:val="center"/>
              <w:rPr>
                <w:rFonts w:ascii="Times New Roman" w:eastAsia="宋体" w:hAnsi="Times New Roman"/>
              </w:rPr>
            </w:pPr>
            <w:r w:rsidRPr="00F614F9">
              <w:rPr>
                <w:rFonts w:ascii="Times New Roman" w:eastAsia="宋体" w:hAnsi="Times New Roman" w:hint="eastAsia"/>
              </w:rPr>
              <w:t>2.25%</w:t>
            </w:r>
          </w:p>
        </w:tc>
      </w:tr>
      <w:tr w:rsidR="00872599" w:rsidRPr="00F614F9" w14:paraId="4320864E" w14:textId="77777777">
        <w:trPr>
          <w:divId w:val="968709565"/>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3E8025" w14:textId="77777777" w:rsidR="00872599" w:rsidRPr="00F614F9" w:rsidRDefault="00000000" w:rsidP="009E2AA2">
            <w:pPr>
              <w:rPr>
                <w:rFonts w:ascii="Times New Roman" w:eastAsia="宋体" w:hAnsi="Times New Roman"/>
              </w:rPr>
            </w:pPr>
            <w:r w:rsidRPr="00F614F9">
              <w:rPr>
                <w:rFonts w:ascii="Times New Roman" w:eastAsia="宋体" w:hAnsi="Times New Roman" w:hint="eastAsia"/>
              </w:rPr>
              <w:t>10-12</w:t>
            </w:r>
            <w:r w:rsidRPr="00F614F9">
              <w:rPr>
                <w:rFonts w:ascii="Times New Roman" w:eastAsia="宋体" w:hAnsi="Times New Roman" w:hint="eastAsia"/>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hideMark/>
          </w:tcPr>
          <w:p w14:paraId="0CC6D686" w14:textId="77777777" w:rsidR="00872599" w:rsidRPr="00F614F9" w:rsidRDefault="00000000" w:rsidP="009E2AA2">
            <w:pPr>
              <w:jc w:val="center"/>
              <w:rPr>
                <w:rFonts w:ascii="Times New Roman" w:eastAsia="宋体" w:hAnsi="Times New Roman"/>
              </w:rPr>
            </w:pPr>
            <w:r w:rsidRPr="00F614F9">
              <w:rPr>
                <w:rFonts w:ascii="Times New Roman" w:eastAsia="宋体" w:hAnsi="Times New Roman" w:hint="eastAsia"/>
              </w:rPr>
              <w:t>2.25%</w:t>
            </w:r>
          </w:p>
        </w:tc>
      </w:tr>
      <w:tr w:rsidR="00872599" w:rsidRPr="00F614F9" w14:paraId="082FBACA" w14:textId="77777777">
        <w:trPr>
          <w:divId w:val="968709565"/>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CD3DF2" w14:textId="77777777" w:rsidR="00872599" w:rsidRPr="00F614F9" w:rsidRDefault="00000000" w:rsidP="009E2AA2">
            <w:pPr>
              <w:rPr>
                <w:rFonts w:ascii="Times New Roman" w:eastAsia="宋体" w:hAnsi="Times New Roman"/>
              </w:rPr>
            </w:pPr>
            <w:r w:rsidRPr="00F614F9">
              <w:rPr>
                <w:rFonts w:ascii="Times New Roman" w:eastAsia="宋体" w:hAnsi="Times New Roman" w:hint="eastAsia"/>
              </w:rPr>
              <w:t>1-2</w:t>
            </w:r>
            <w:r w:rsidRPr="00F614F9">
              <w:rPr>
                <w:rFonts w:ascii="Times New Roman" w:eastAsia="宋体" w:hAnsi="Times New Roman" w:hint="eastAsia"/>
              </w:rPr>
              <w:t>年</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CE3E10" w14:textId="77777777" w:rsidR="00872599" w:rsidRPr="00F614F9" w:rsidRDefault="00000000" w:rsidP="009E2AA2">
            <w:pPr>
              <w:jc w:val="center"/>
              <w:rPr>
                <w:rFonts w:ascii="Times New Roman" w:eastAsia="宋体" w:hAnsi="Times New Roman"/>
              </w:rPr>
            </w:pPr>
            <w:r w:rsidRPr="00F614F9">
              <w:rPr>
                <w:rFonts w:ascii="Times New Roman" w:eastAsia="宋体" w:hAnsi="Times New Roman" w:hint="eastAsia"/>
              </w:rPr>
              <w:t>25%</w:t>
            </w:r>
          </w:p>
        </w:tc>
      </w:tr>
      <w:tr w:rsidR="00872599" w:rsidRPr="00F614F9" w14:paraId="2FF22276" w14:textId="77777777">
        <w:trPr>
          <w:divId w:val="968709565"/>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1D9C18" w14:textId="77777777" w:rsidR="00872599" w:rsidRPr="00F614F9" w:rsidRDefault="00000000" w:rsidP="009E2AA2">
            <w:pPr>
              <w:rPr>
                <w:rFonts w:ascii="Times New Roman" w:eastAsia="宋体" w:hAnsi="Times New Roman"/>
              </w:rPr>
            </w:pPr>
            <w:r w:rsidRPr="00F614F9">
              <w:rPr>
                <w:rFonts w:ascii="Times New Roman" w:eastAsia="宋体" w:hAnsi="Times New Roman" w:hint="eastAsia"/>
              </w:rPr>
              <w:t>2-3</w:t>
            </w:r>
            <w:r w:rsidRPr="00F614F9">
              <w:rPr>
                <w:rFonts w:ascii="Times New Roman" w:eastAsia="宋体" w:hAnsi="Times New Roman" w:hint="eastAsia"/>
              </w:rPr>
              <w:t>年</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FA0DD9" w14:textId="77777777" w:rsidR="00872599" w:rsidRPr="00F614F9" w:rsidRDefault="00000000" w:rsidP="009E2AA2">
            <w:pPr>
              <w:jc w:val="center"/>
              <w:rPr>
                <w:rFonts w:ascii="Times New Roman" w:eastAsia="宋体" w:hAnsi="Times New Roman"/>
              </w:rPr>
            </w:pPr>
            <w:r w:rsidRPr="00F614F9">
              <w:rPr>
                <w:rFonts w:ascii="Times New Roman" w:eastAsia="宋体" w:hAnsi="Times New Roman" w:hint="eastAsia"/>
              </w:rPr>
              <w:t>50%</w:t>
            </w:r>
          </w:p>
        </w:tc>
      </w:tr>
      <w:tr w:rsidR="00872599" w:rsidRPr="00F614F9" w14:paraId="56172F3B" w14:textId="77777777">
        <w:trPr>
          <w:divId w:val="968709565"/>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20E088" w14:textId="77777777" w:rsidR="00872599" w:rsidRPr="00F614F9" w:rsidRDefault="00000000" w:rsidP="009E2AA2">
            <w:pPr>
              <w:rPr>
                <w:rFonts w:ascii="Times New Roman" w:eastAsia="宋体" w:hAnsi="Times New Roman"/>
              </w:rPr>
            </w:pPr>
            <w:r w:rsidRPr="00F614F9">
              <w:rPr>
                <w:rFonts w:ascii="Times New Roman" w:eastAsia="宋体" w:hAnsi="Times New Roman" w:hint="eastAsia"/>
              </w:rPr>
              <w:t>3</w:t>
            </w:r>
            <w:r w:rsidRPr="00F614F9">
              <w:rPr>
                <w:rFonts w:ascii="Times New Roman" w:eastAsia="宋体" w:hAnsi="Times New Roman" w:hint="eastAsia"/>
              </w:rPr>
              <w:t>年以上</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52AF2D" w14:textId="77777777" w:rsidR="00872599" w:rsidRPr="00F614F9" w:rsidRDefault="00000000" w:rsidP="009E2AA2">
            <w:pPr>
              <w:jc w:val="center"/>
              <w:rPr>
                <w:rFonts w:ascii="Times New Roman" w:eastAsia="宋体" w:hAnsi="Times New Roman"/>
              </w:rPr>
            </w:pPr>
            <w:r w:rsidRPr="00F614F9">
              <w:rPr>
                <w:rFonts w:ascii="Times New Roman" w:eastAsia="宋体" w:hAnsi="Times New Roman" w:hint="eastAsia"/>
              </w:rPr>
              <w:t>80%</w:t>
            </w:r>
          </w:p>
        </w:tc>
      </w:tr>
    </w:tbl>
    <w:p w14:paraId="527BDB20"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应收款项融资</w:t>
      </w:r>
    </w:p>
    <w:p w14:paraId="74923BA7" w14:textId="77777777" w:rsidR="00872599" w:rsidRPr="00F614F9" w:rsidRDefault="00000000" w:rsidP="009E2AA2">
      <w:pPr>
        <w:spacing w:line="276" w:lineRule="auto"/>
        <w:ind w:firstLineChars="200" w:firstLine="360"/>
        <w:divId w:val="968709565"/>
        <w:rPr>
          <w:rFonts w:ascii="Times New Roman" w:eastAsia="宋体" w:hAnsi="Times New Roman" w:cs="Times New Roman"/>
          <w:sz w:val="18"/>
          <w:szCs w:val="18"/>
        </w:rPr>
      </w:pPr>
      <w:r w:rsidRPr="00F614F9">
        <w:rPr>
          <w:rFonts w:ascii="Times New Roman" w:eastAsia="宋体" w:hAnsi="Times New Roman" w:hint="eastAsia"/>
          <w:sz w:val="18"/>
          <w:szCs w:val="18"/>
        </w:rPr>
        <w:t>按照附注五、</w:t>
      </w:r>
      <w:r w:rsidRPr="00F614F9">
        <w:rPr>
          <w:rFonts w:ascii="Times New Roman" w:eastAsia="宋体" w:hAnsi="Times New Roman" w:hint="eastAsia"/>
          <w:sz w:val="18"/>
          <w:szCs w:val="18"/>
        </w:rPr>
        <w:t>11</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）减值准备的确认和计量中的描述确认和计量减值。当单项应收款项融资无法以合理成本评估预</w:t>
      </w:r>
      <w:r w:rsidRPr="00F614F9">
        <w:rPr>
          <w:rFonts w:ascii="Times New Roman" w:eastAsia="宋体" w:hAnsi="Times New Roman" w:cs="Times New Roman" w:hint="eastAsia"/>
          <w:sz w:val="18"/>
          <w:szCs w:val="18"/>
        </w:rPr>
        <w:t>期信用损失的信息时，本公司依据信用风险特征将应收款项融资划分为若干组合，在组合基础上计算预期信用损失，确定组合的依据如下：</w:t>
      </w:r>
    </w:p>
    <w:tbl>
      <w:tblPr>
        <w:tblW w:w="9975" w:type="dxa"/>
        <w:tblCellMar>
          <w:top w:w="15" w:type="dxa"/>
          <w:left w:w="15" w:type="dxa"/>
          <w:bottom w:w="15" w:type="dxa"/>
          <w:right w:w="15" w:type="dxa"/>
        </w:tblCellMar>
        <w:tblLook w:val="04A0" w:firstRow="1" w:lastRow="0" w:firstColumn="1" w:lastColumn="0" w:noHBand="0" w:noVBand="1"/>
      </w:tblPr>
      <w:tblGrid>
        <w:gridCol w:w="4551"/>
        <w:gridCol w:w="5424"/>
      </w:tblGrid>
      <w:tr w:rsidR="00872599" w:rsidRPr="00F614F9" w14:paraId="64BE0D21" w14:textId="77777777">
        <w:trPr>
          <w:divId w:val="968709565"/>
          <w:trHeight w:val="340"/>
        </w:trPr>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077E7D"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组合名称</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8C4EF7"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确定组合的依据</w:t>
            </w:r>
          </w:p>
        </w:tc>
      </w:tr>
      <w:tr w:rsidR="00872599" w:rsidRPr="00F614F9" w14:paraId="2397956F" w14:textId="77777777">
        <w:trPr>
          <w:divId w:val="968709565"/>
          <w:trHeight w:val="340"/>
        </w:trPr>
        <w:tc>
          <w:tcPr>
            <w:tcW w:w="228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A0A9C0E"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组合</w:t>
            </w: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：应收合并范围内关联方款项组合</w:t>
            </w:r>
          </w:p>
        </w:tc>
        <w:tc>
          <w:tcPr>
            <w:tcW w:w="271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11A299"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合并范围内各家单位之间的往来款项</w:t>
            </w:r>
          </w:p>
        </w:tc>
      </w:tr>
      <w:tr w:rsidR="00872599" w:rsidRPr="00F614F9" w14:paraId="0A91A245" w14:textId="77777777">
        <w:trPr>
          <w:divId w:val="968709565"/>
          <w:trHeight w:val="340"/>
        </w:trPr>
        <w:tc>
          <w:tcPr>
            <w:tcW w:w="228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4C929A"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组合</w:t>
            </w: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w:t>
            </w:r>
            <w:proofErr w:type="gramStart"/>
            <w:r w:rsidRPr="00F614F9">
              <w:rPr>
                <w:rFonts w:ascii="Times New Roman" w:eastAsia="宋体" w:hAnsi="Times New Roman" w:hint="eastAsia"/>
                <w:sz w:val="18"/>
                <w:szCs w:val="18"/>
              </w:rPr>
              <w:t>账</w:t>
            </w:r>
            <w:proofErr w:type="gramEnd"/>
            <w:r w:rsidRPr="00F614F9">
              <w:rPr>
                <w:rFonts w:ascii="Times New Roman" w:eastAsia="宋体" w:hAnsi="Times New Roman" w:hint="eastAsia"/>
                <w:sz w:val="18"/>
                <w:szCs w:val="18"/>
              </w:rPr>
              <w:t>龄组合</w:t>
            </w:r>
          </w:p>
        </w:tc>
        <w:tc>
          <w:tcPr>
            <w:tcW w:w="271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A0D82A"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本组合以应收款项的账</w:t>
            </w:r>
            <w:proofErr w:type="gramStart"/>
            <w:r w:rsidRPr="00F614F9">
              <w:rPr>
                <w:rFonts w:ascii="Times New Roman" w:eastAsia="宋体" w:hAnsi="Times New Roman" w:hint="eastAsia"/>
                <w:sz w:val="18"/>
                <w:szCs w:val="18"/>
              </w:rPr>
              <w:t>龄作为</w:t>
            </w:r>
            <w:proofErr w:type="gramEnd"/>
            <w:r w:rsidRPr="00F614F9">
              <w:rPr>
                <w:rFonts w:ascii="Times New Roman" w:eastAsia="宋体" w:hAnsi="Times New Roman" w:hint="eastAsia"/>
                <w:sz w:val="18"/>
                <w:szCs w:val="18"/>
              </w:rPr>
              <w:t>信用风险特征</w:t>
            </w:r>
          </w:p>
        </w:tc>
      </w:tr>
    </w:tbl>
    <w:p w14:paraId="100AF0D5"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其他应收款减值</w:t>
      </w:r>
    </w:p>
    <w:p w14:paraId="0EC5E4F6"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按照附注五、</w:t>
      </w:r>
      <w:r w:rsidRPr="00F614F9">
        <w:rPr>
          <w:rFonts w:ascii="Times New Roman" w:eastAsia="宋体" w:hAnsi="Times New Roman" w:hint="eastAsia"/>
          <w:sz w:val="18"/>
          <w:szCs w:val="18"/>
        </w:rPr>
        <w:t>11</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）减值准备的确认和计量中的描述确认和计量减值。当单项其他应收款无法以合理成本评估预期信用损失的信息时，本公司依据信用风险特征将其他应收款划分为若干组合，在组合基础上计算预期信用损失。</w:t>
      </w:r>
      <w:proofErr w:type="gramStart"/>
      <w:r w:rsidRPr="00F614F9">
        <w:rPr>
          <w:rFonts w:ascii="Times New Roman" w:eastAsia="宋体" w:hAnsi="Times New Roman" w:hint="eastAsia"/>
          <w:sz w:val="18"/>
          <w:szCs w:val="18"/>
        </w:rPr>
        <w:t>对于按账龄</w:t>
      </w:r>
      <w:proofErr w:type="gramEnd"/>
      <w:r w:rsidRPr="00F614F9">
        <w:rPr>
          <w:rFonts w:ascii="Times New Roman" w:eastAsia="宋体" w:hAnsi="Times New Roman" w:hint="eastAsia"/>
          <w:sz w:val="18"/>
          <w:szCs w:val="18"/>
        </w:rPr>
        <w:t>划分组合的其他应收款，账</w:t>
      </w:r>
      <w:proofErr w:type="gramStart"/>
      <w:r w:rsidRPr="00F614F9">
        <w:rPr>
          <w:rFonts w:ascii="Times New Roman" w:eastAsia="宋体" w:hAnsi="Times New Roman" w:hint="eastAsia"/>
          <w:sz w:val="18"/>
          <w:szCs w:val="18"/>
        </w:rPr>
        <w:t>龄自确认</w:t>
      </w:r>
      <w:proofErr w:type="gramEnd"/>
      <w:r w:rsidRPr="00F614F9">
        <w:rPr>
          <w:rFonts w:ascii="Times New Roman" w:eastAsia="宋体" w:hAnsi="Times New Roman" w:hint="eastAsia"/>
          <w:sz w:val="18"/>
          <w:szCs w:val="18"/>
        </w:rPr>
        <w:t>之日起计算。确定组合的依据如下：</w:t>
      </w:r>
    </w:p>
    <w:tbl>
      <w:tblPr>
        <w:tblW w:w="5000" w:type="pct"/>
        <w:tblCellMar>
          <w:top w:w="15" w:type="dxa"/>
          <w:left w:w="15" w:type="dxa"/>
          <w:bottom w:w="15" w:type="dxa"/>
          <w:right w:w="15" w:type="dxa"/>
        </w:tblCellMar>
        <w:tblLook w:val="04A0" w:firstRow="1" w:lastRow="0" w:firstColumn="1" w:lastColumn="0" w:noHBand="0" w:noVBand="1"/>
      </w:tblPr>
      <w:tblGrid>
        <w:gridCol w:w="1715"/>
        <w:gridCol w:w="7902"/>
      </w:tblGrid>
      <w:tr w:rsidR="00872599" w:rsidRPr="00F614F9" w14:paraId="3916C9B2" w14:textId="77777777">
        <w:trPr>
          <w:divId w:val="968709565"/>
          <w:trHeight w:val="378"/>
        </w:trPr>
        <w:tc>
          <w:tcPr>
            <w:tcW w:w="9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ED7314"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项目</w:t>
            </w:r>
          </w:p>
        </w:tc>
        <w:tc>
          <w:tcPr>
            <w:tcW w:w="409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64AB92"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确定组合的依据</w:t>
            </w:r>
          </w:p>
        </w:tc>
      </w:tr>
      <w:tr w:rsidR="00872599" w:rsidRPr="00F614F9" w14:paraId="25E69933" w14:textId="77777777">
        <w:trPr>
          <w:divId w:val="968709565"/>
          <w:trHeight w:val="300"/>
        </w:trPr>
        <w:tc>
          <w:tcPr>
            <w:tcW w:w="90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447A58"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组合</w:t>
            </w: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：应收合并范围内关联方款项组合</w:t>
            </w:r>
          </w:p>
        </w:tc>
        <w:tc>
          <w:tcPr>
            <w:tcW w:w="409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166326"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合并范围内各家单位之间的往来款项</w:t>
            </w:r>
          </w:p>
        </w:tc>
      </w:tr>
      <w:tr w:rsidR="00872599" w:rsidRPr="00F614F9" w14:paraId="7477FDDA" w14:textId="77777777">
        <w:trPr>
          <w:divId w:val="968709565"/>
          <w:trHeight w:val="300"/>
        </w:trPr>
        <w:tc>
          <w:tcPr>
            <w:tcW w:w="90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8FFEB0"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组合</w:t>
            </w: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w:t>
            </w:r>
            <w:proofErr w:type="gramStart"/>
            <w:r w:rsidRPr="00F614F9">
              <w:rPr>
                <w:rFonts w:ascii="Times New Roman" w:eastAsia="宋体" w:hAnsi="Times New Roman" w:hint="eastAsia"/>
                <w:sz w:val="18"/>
                <w:szCs w:val="18"/>
              </w:rPr>
              <w:t>账</w:t>
            </w:r>
            <w:proofErr w:type="gramEnd"/>
            <w:r w:rsidRPr="00F614F9">
              <w:rPr>
                <w:rFonts w:ascii="Times New Roman" w:eastAsia="宋体" w:hAnsi="Times New Roman" w:hint="eastAsia"/>
                <w:sz w:val="18"/>
                <w:szCs w:val="18"/>
              </w:rPr>
              <w:t>龄组合</w:t>
            </w:r>
          </w:p>
        </w:tc>
        <w:tc>
          <w:tcPr>
            <w:tcW w:w="409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2A7284"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除上述组合外的其他组合，本组合以其他应收款的账</w:t>
            </w:r>
            <w:proofErr w:type="gramStart"/>
            <w:r w:rsidRPr="00F614F9">
              <w:rPr>
                <w:rFonts w:ascii="Times New Roman" w:eastAsia="宋体" w:hAnsi="Times New Roman" w:hint="eastAsia"/>
                <w:sz w:val="18"/>
                <w:szCs w:val="18"/>
              </w:rPr>
              <w:t>龄作为</w:t>
            </w:r>
            <w:proofErr w:type="gramEnd"/>
            <w:r w:rsidRPr="00F614F9">
              <w:rPr>
                <w:rFonts w:ascii="Times New Roman" w:eastAsia="宋体" w:hAnsi="Times New Roman" w:hint="eastAsia"/>
                <w:sz w:val="18"/>
                <w:szCs w:val="18"/>
              </w:rPr>
              <w:t>信用风险特征。公司根据</w:t>
            </w:r>
            <w:proofErr w:type="gramStart"/>
            <w:r w:rsidRPr="00F614F9">
              <w:rPr>
                <w:rFonts w:ascii="Times New Roman" w:eastAsia="宋体" w:hAnsi="Times New Roman" w:hint="eastAsia"/>
                <w:sz w:val="18"/>
                <w:szCs w:val="18"/>
              </w:rPr>
              <w:t>账龄段划分</w:t>
            </w:r>
            <w:proofErr w:type="gramEnd"/>
            <w:r w:rsidRPr="00F614F9">
              <w:rPr>
                <w:rFonts w:ascii="Times New Roman" w:eastAsia="宋体" w:hAnsi="Times New Roman" w:hint="eastAsia"/>
                <w:sz w:val="18"/>
                <w:szCs w:val="18"/>
              </w:rPr>
              <w:t>的具有类似信用风险特征的其他应收款组合的预期损失率为基础，结合现时情况分析法确定坏账</w:t>
            </w:r>
            <w:r w:rsidRPr="00F614F9">
              <w:rPr>
                <w:rFonts w:ascii="Times New Roman" w:eastAsia="宋体" w:hAnsi="Times New Roman" w:hint="eastAsia"/>
                <w:sz w:val="18"/>
                <w:szCs w:val="18"/>
              </w:rPr>
              <w:lastRenderedPageBreak/>
              <w:t>准备计提的比例</w:t>
            </w:r>
          </w:p>
        </w:tc>
      </w:tr>
    </w:tbl>
    <w:p w14:paraId="3A529479"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lastRenderedPageBreak/>
        <w:t>各组合预期信用损失率：</w:t>
      </w:r>
    </w:p>
    <w:p w14:paraId="0D16BE9A"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其他应收款组合</w:t>
      </w: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：应收合并范围内关联方款项组合：合并范围内公司的往来款，一般不计提坏账准备，除非子公司发生明显的大额亏损考虑单项计提坏账准备。</w:t>
      </w:r>
    </w:p>
    <w:p w14:paraId="3C9AC8DA"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其他应收款组合</w:t>
      </w: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w:t>
      </w:r>
      <w:proofErr w:type="gramStart"/>
      <w:r w:rsidRPr="00F614F9">
        <w:rPr>
          <w:rFonts w:ascii="Times New Roman" w:eastAsia="宋体" w:hAnsi="Times New Roman" w:hint="eastAsia"/>
          <w:sz w:val="18"/>
          <w:szCs w:val="18"/>
        </w:rPr>
        <w:t>账</w:t>
      </w:r>
      <w:proofErr w:type="gramEnd"/>
      <w:r w:rsidRPr="00F614F9">
        <w:rPr>
          <w:rFonts w:ascii="Times New Roman" w:eastAsia="宋体" w:hAnsi="Times New Roman" w:hint="eastAsia"/>
          <w:sz w:val="18"/>
          <w:szCs w:val="18"/>
        </w:rPr>
        <w:t>龄组合：</w:t>
      </w:r>
    </w:p>
    <w:tbl>
      <w:tblPr>
        <w:tblW w:w="9675" w:type="dxa"/>
        <w:tblCellMar>
          <w:top w:w="15" w:type="dxa"/>
          <w:left w:w="15" w:type="dxa"/>
          <w:bottom w:w="15" w:type="dxa"/>
          <w:right w:w="15" w:type="dxa"/>
        </w:tblCellMar>
        <w:tblLook w:val="04A0" w:firstRow="1" w:lastRow="0" w:firstColumn="1" w:lastColumn="0" w:noHBand="0" w:noVBand="1"/>
      </w:tblPr>
      <w:tblGrid>
        <w:gridCol w:w="5031"/>
        <w:gridCol w:w="4644"/>
      </w:tblGrid>
      <w:tr w:rsidR="00872599" w:rsidRPr="00F614F9" w14:paraId="0C848258" w14:textId="77777777">
        <w:trPr>
          <w:divId w:val="968709565"/>
          <w:trHeight w:val="340"/>
        </w:trPr>
        <w:tc>
          <w:tcPr>
            <w:tcW w:w="2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1821CC" w14:textId="77777777" w:rsidR="00872599" w:rsidRPr="00F614F9" w:rsidRDefault="00000000" w:rsidP="009E2AA2">
            <w:pPr>
              <w:rPr>
                <w:rFonts w:ascii="Times New Roman" w:eastAsia="宋体" w:hAnsi="Times New Roman" w:cs="Times New Roman"/>
                <w:sz w:val="18"/>
                <w:szCs w:val="18"/>
              </w:rPr>
            </w:pPr>
            <w:r w:rsidRPr="00F614F9">
              <w:rPr>
                <w:rFonts w:ascii="Times New Roman" w:eastAsia="宋体" w:hAnsi="Times New Roman" w:cs="Times New Roman"/>
                <w:sz w:val="18"/>
                <w:szCs w:val="18"/>
              </w:rPr>
              <w:t>账龄</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D55757" w14:textId="77777777" w:rsidR="00872599" w:rsidRPr="00F614F9" w:rsidRDefault="00000000">
            <w:pPr>
              <w:pStyle w:val="a3"/>
              <w:spacing w:before="0" w:beforeAutospacing="0" w:after="0" w:afterAutospacing="0" w:line="460" w:lineRule="atLeast"/>
              <w:jc w:val="center"/>
              <w:rPr>
                <w:rFonts w:ascii="Times New Roman" w:hAnsi="Times New Roman" w:cs="Times New Roman"/>
                <w:sz w:val="21"/>
                <w:szCs w:val="21"/>
              </w:rPr>
            </w:pPr>
            <w:r w:rsidRPr="00F614F9">
              <w:rPr>
                <w:rFonts w:ascii="Times New Roman" w:hAnsi="Times New Roman" w:cs="Times New Roman" w:hint="eastAsia"/>
                <w:sz w:val="18"/>
                <w:szCs w:val="18"/>
              </w:rPr>
              <w:t>预期信用损失率（</w:t>
            </w:r>
            <w:r w:rsidRPr="00F614F9">
              <w:rPr>
                <w:rFonts w:ascii="Times New Roman" w:hAnsi="Times New Roman" w:cs="Times New Roman" w:hint="eastAsia"/>
                <w:sz w:val="18"/>
                <w:szCs w:val="18"/>
              </w:rPr>
              <w:t>%</w:t>
            </w:r>
            <w:r w:rsidRPr="00F614F9">
              <w:rPr>
                <w:rFonts w:ascii="Times New Roman" w:hAnsi="Times New Roman" w:cs="Times New Roman" w:hint="eastAsia"/>
                <w:sz w:val="18"/>
                <w:szCs w:val="18"/>
              </w:rPr>
              <w:t>）</w:t>
            </w:r>
          </w:p>
        </w:tc>
      </w:tr>
      <w:tr w:rsidR="00872599" w:rsidRPr="00F614F9" w14:paraId="53030E5F" w14:textId="77777777">
        <w:trPr>
          <w:divId w:val="968709565"/>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89265C" w14:textId="77777777" w:rsidR="00872599" w:rsidRPr="00F614F9" w:rsidRDefault="00000000" w:rsidP="009E2AA2">
            <w:pPr>
              <w:rPr>
                <w:rFonts w:ascii="Times New Roman" w:eastAsia="宋体" w:hAnsi="Times New Roman" w:cs="Times New Roman"/>
                <w:sz w:val="18"/>
                <w:szCs w:val="18"/>
              </w:rPr>
            </w:pPr>
            <w:r w:rsidRPr="00F614F9">
              <w:rPr>
                <w:rFonts w:ascii="Times New Roman" w:eastAsia="宋体" w:hAnsi="Times New Roman" w:cs="Times New Roman"/>
                <w:sz w:val="18"/>
                <w:szCs w:val="18"/>
              </w:rPr>
              <w:t>1-3</w:t>
            </w:r>
            <w:r w:rsidRPr="00F614F9">
              <w:rPr>
                <w:rFonts w:ascii="Times New Roman" w:eastAsia="宋体" w:hAnsi="Times New Roman" w:cs="Times New Roman"/>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hideMark/>
          </w:tcPr>
          <w:p w14:paraId="729180B2" w14:textId="77777777" w:rsidR="00872599" w:rsidRPr="00F614F9" w:rsidRDefault="00000000" w:rsidP="00BE4446">
            <w:pPr>
              <w:pStyle w:val="a3"/>
              <w:spacing w:before="0" w:beforeAutospacing="0" w:after="0" w:afterAutospacing="0" w:line="460" w:lineRule="atLeast"/>
              <w:jc w:val="center"/>
              <w:rPr>
                <w:rFonts w:ascii="Times New Roman" w:hAnsi="Times New Roman" w:cs="Times New Roman"/>
                <w:sz w:val="21"/>
                <w:szCs w:val="21"/>
              </w:rPr>
            </w:pPr>
            <w:r w:rsidRPr="00F614F9">
              <w:rPr>
                <w:rFonts w:ascii="Times New Roman" w:hAnsi="Times New Roman" w:cs="Times New Roman" w:hint="eastAsia"/>
                <w:sz w:val="18"/>
                <w:szCs w:val="18"/>
              </w:rPr>
              <w:t>1.23</w:t>
            </w:r>
          </w:p>
        </w:tc>
      </w:tr>
      <w:tr w:rsidR="00872599" w:rsidRPr="00F614F9" w14:paraId="14F1096A" w14:textId="77777777">
        <w:trPr>
          <w:divId w:val="968709565"/>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4B26F5" w14:textId="77777777" w:rsidR="00872599" w:rsidRPr="00F614F9" w:rsidRDefault="00000000" w:rsidP="009E2AA2">
            <w:pPr>
              <w:rPr>
                <w:rFonts w:ascii="Times New Roman" w:eastAsia="宋体" w:hAnsi="Times New Roman" w:cs="Times New Roman"/>
                <w:sz w:val="18"/>
                <w:szCs w:val="18"/>
              </w:rPr>
            </w:pPr>
            <w:r w:rsidRPr="00F614F9">
              <w:rPr>
                <w:rFonts w:ascii="Times New Roman" w:eastAsia="宋体" w:hAnsi="Times New Roman" w:cs="Times New Roman"/>
                <w:sz w:val="18"/>
                <w:szCs w:val="18"/>
              </w:rPr>
              <w:t>4-6</w:t>
            </w:r>
            <w:r w:rsidRPr="00F614F9">
              <w:rPr>
                <w:rFonts w:ascii="Times New Roman" w:eastAsia="宋体" w:hAnsi="Times New Roman" w:cs="Times New Roman"/>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hideMark/>
          </w:tcPr>
          <w:p w14:paraId="592253AD" w14:textId="77777777" w:rsidR="00872599" w:rsidRPr="00F614F9" w:rsidRDefault="00000000" w:rsidP="00BE4446">
            <w:pPr>
              <w:pStyle w:val="a3"/>
              <w:spacing w:before="0" w:beforeAutospacing="0" w:after="0" w:afterAutospacing="0" w:line="460" w:lineRule="atLeast"/>
              <w:jc w:val="center"/>
              <w:rPr>
                <w:rFonts w:ascii="Times New Roman" w:hAnsi="Times New Roman" w:cs="Times New Roman"/>
                <w:sz w:val="21"/>
                <w:szCs w:val="21"/>
              </w:rPr>
            </w:pPr>
            <w:r w:rsidRPr="00F614F9">
              <w:rPr>
                <w:rFonts w:ascii="Times New Roman" w:hAnsi="Times New Roman" w:cs="Times New Roman" w:hint="eastAsia"/>
                <w:sz w:val="18"/>
                <w:szCs w:val="18"/>
              </w:rPr>
              <w:t>1.23</w:t>
            </w:r>
          </w:p>
        </w:tc>
      </w:tr>
      <w:tr w:rsidR="00872599" w:rsidRPr="00F614F9" w14:paraId="64EF4B22" w14:textId="77777777">
        <w:trPr>
          <w:divId w:val="968709565"/>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02DAC1" w14:textId="77777777" w:rsidR="00872599" w:rsidRPr="00F614F9" w:rsidRDefault="00000000" w:rsidP="009E2AA2">
            <w:pPr>
              <w:rPr>
                <w:rFonts w:ascii="Times New Roman" w:eastAsia="宋体" w:hAnsi="Times New Roman" w:cs="Times New Roman"/>
                <w:sz w:val="18"/>
                <w:szCs w:val="18"/>
              </w:rPr>
            </w:pPr>
            <w:r w:rsidRPr="00F614F9">
              <w:rPr>
                <w:rFonts w:ascii="Times New Roman" w:eastAsia="宋体" w:hAnsi="Times New Roman" w:cs="Times New Roman"/>
                <w:sz w:val="18"/>
                <w:szCs w:val="18"/>
              </w:rPr>
              <w:t>7-9</w:t>
            </w:r>
            <w:r w:rsidRPr="00F614F9">
              <w:rPr>
                <w:rFonts w:ascii="Times New Roman" w:eastAsia="宋体" w:hAnsi="Times New Roman" w:cs="Times New Roman"/>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hideMark/>
          </w:tcPr>
          <w:p w14:paraId="4E8F279B" w14:textId="77777777" w:rsidR="00872599" w:rsidRPr="00F614F9" w:rsidRDefault="00000000" w:rsidP="00BE4446">
            <w:pPr>
              <w:pStyle w:val="a3"/>
              <w:spacing w:before="0" w:beforeAutospacing="0" w:after="0" w:afterAutospacing="0" w:line="460" w:lineRule="atLeast"/>
              <w:jc w:val="center"/>
              <w:rPr>
                <w:rFonts w:ascii="Times New Roman" w:hAnsi="Times New Roman" w:cs="Times New Roman"/>
                <w:sz w:val="21"/>
                <w:szCs w:val="21"/>
              </w:rPr>
            </w:pPr>
            <w:r w:rsidRPr="00F614F9">
              <w:rPr>
                <w:rFonts w:ascii="Times New Roman" w:hAnsi="Times New Roman" w:cs="Times New Roman" w:hint="eastAsia"/>
                <w:sz w:val="18"/>
                <w:szCs w:val="18"/>
              </w:rPr>
              <w:t>1.23</w:t>
            </w:r>
          </w:p>
        </w:tc>
      </w:tr>
      <w:tr w:rsidR="00872599" w:rsidRPr="00F614F9" w14:paraId="1C3347CA" w14:textId="77777777">
        <w:trPr>
          <w:divId w:val="968709565"/>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2251C9" w14:textId="77777777" w:rsidR="00872599" w:rsidRPr="00F614F9" w:rsidRDefault="00000000" w:rsidP="009E2AA2">
            <w:pPr>
              <w:rPr>
                <w:rFonts w:ascii="Times New Roman" w:eastAsia="宋体" w:hAnsi="Times New Roman" w:cs="Times New Roman"/>
                <w:sz w:val="18"/>
                <w:szCs w:val="18"/>
              </w:rPr>
            </w:pPr>
            <w:r w:rsidRPr="00F614F9">
              <w:rPr>
                <w:rFonts w:ascii="Times New Roman" w:eastAsia="宋体" w:hAnsi="Times New Roman" w:cs="Times New Roman"/>
                <w:sz w:val="18"/>
                <w:szCs w:val="18"/>
              </w:rPr>
              <w:t>10-12</w:t>
            </w:r>
            <w:r w:rsidRPr="00F614F9">
              <w:rPr>
                <w:rFonts w:ascii="Times New Roman" w:eastAsia="宋体" w:hAnsi="Times New Roman" w:cs="Times New Roman"/>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A85E36" w14:textId="77777777" w:rsidR="00872599" w:rsidRPr="00F614F9" w:rsidRDefault="00000000" w:rsidP="00BE4446">
            <w:pPr>
              <w:pStyle w:val="a3"/>
              <w:spacing w:before="0" w:beforeAutospacing="0" w:after="0" w:afterAutospacing="0" w:line="460" w:lineRule="atLeast"/>
              <w:jc w:val="center"/>
              <w:rPr>
                <w:rFonts w:ascii="Times New Roman" w:hAnsi="Times New Roman" w:cs="Times New Roman"/>
                <w:sz w:val="21"/>
                <w:szCs w:val="21"/>
              </w:rPr>
            </w:pPr>
            <w:r w:rsidRPr="00F614F9">
              <w:rPr>
                <w:rFonts w:ascii="Times New Roman" w:hAnsi="Times New Roman" w:cs="Times New Roman" w:hint="eastAsia"/>
                <w:sz w:val="18"/>
                <w:szCs w:val="18"/>
              </w:rPr>
              <w:t>1.23</w:t>
            </w:r>
          </w:p>
        </w:tc>
      </w:tr>
      <w:tr w:rsidR="00872599" w:rsidRPr="00F614F9" w14:paraId="6E352BD1" w14:textId="77777777">
        <w:trPr>
          <w:divId w:val="968709565"/>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55C1C2" w14:textId="77777777" w:rsidR="00872599" w:rsidRPr="00F614F9" w:rsidRDefault="00000000" w:rsidP="009E2AA2">
            <w:pPr>
              <w:rPr>
                <w:rFonts w:ascii="Times New Roman" w:eastAsia="宋体" w:hAnsi="Times New Roman" w:cs="Times New Roman"/>
                <w:sz w:val="18"/>
                <w:szCs w:val="18"/>
              </w:rPr>
            </w:pPr>
            <w:r w:rsidRPr="00F614F9">
              <w:rPr>
                <w:rFonts w:ascii="Times New Roman" w:eastAsia="宋体" w:hAnsi="Times New Roman" w:cs="Times New Roman"/>
                <w:sz w:val="18"/>
                <w:szCs w:val="18"/>
              </w:rPr>
              <w:t>1-2</w:t>
            </w:r>
            <w:r w:rsidRPr="00F614F9">
              <w:rPr>
                <w:rFonts w:ascii="Times New Roman" w:eastAsia="宋体" w:hAnsi="Times New Roman" w:cs="Times New Roman"/>
                <w:sz w:val="18"/>
                <w:szCs w:val="18"/>
              </w:rPr>
              <w:t>年</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F72437" w14:textId="77777777" w:rsidR="00872599" w:rsidRPr="00F614F9" w:rsidRDefault="00000000" w:rsidP="00BE4446">
            <w:pPr>
              <w:pStyle w:val="a3"/>
              <w:spacing w:before="0" w:beforeAutospacing="0" w:after="0" w:afterAutospacing="0" w:line="460" w:lineRule="atLeast"/>
              <w:jc w:val="center"/>
              <w:rPr>
                <w:rFonts w:ascii="Times New Roman" w:hAnsi="Times New Roman" w:cs="Times New Roman"/>
                <w:sz w:val="21"/>
                <w:szCs w:val="21"/>
              </w:rPr>
            </w:pPr>
            <w:r w:rsidRPr="00F614F9">
              <w:rPr>
                <w:rFonts w:ascii="Times New Roman" w:hAnsi="Times New Roman" w:cs="Times New Roman" w:hint="eastAsia"/>
                <w:sz w:val="18"/>
                <w:szCs w:val="18"/>
              </w:rPr>
              <w:t>22.91</w:t>
            </w:r>
          </w:p>
        </w:tc>
      </w:tr>
      <w:tr w:rsidR="00872599" w:rsidRPr="00F614F9" w14:paraId="7D8EE671" w14:textId="77777777">
        <w:trPr>
          <w:divId w:val="968709565"/>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DEE8F7" w14:textId="77777777" w:rsidR="00872599" w:rsidRPr="00F614F9" w:rsidRDefault="00000000" w:rsidP="009E2AA2">
            <w:pPr>
              <w:rPr>
                <w:rFonts w:ascii="Times New Roman" w:eastAsia="宋体" w:hAnsi="Times New Roman" w:cs="Times New Roman"/>
                <w:sz w:val="18"/>
                <w:szCs w:val="18"/>
              </w:rPr>
            </w:pPr>
            <w:r w:rsidRPr="00F614F9">
              <w:rPr>
                <w:rFonts w:ascii="Times New Roman" w:eastAsia="宋体" w:hAnsi="Times New Roman" w:cs="Times New Roman"/>
                <w:sz w:val="18"/>
                <w:szCs w:val="18"/>
              </w:rPr>
              <w:t>2-3</w:t>
            </w:r>
            <w:r w:rsidRPr="00F614F9">
              <w:rPr>
                <w:rFonts w:ascii="Times New Roman" w:eastAsia="宋体" w:hAnsi="Times New Roman" w:cs="Times New Roman"/>
                <w:sz w:val="18"/>
                <w:szCs w:val="18"/>
              </w:rPr>
              <w:t>年</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9BFEE7" w14:textId="77777777" w:rsidR="00872599" w:rsidRPr="00F614F9" w:rsidRDefault="00000000" w:rsidP="00BE4446">
            <w:pPr>
              <w:pStyle w:val="a3"/>
              <w:spacing w:before="0" w:beforeAutospacing="0" w:after="0" w:afterAutospacing="0" w:line="460" w:lineRule="atLeast"/>
              <w:jc w:val="center"/>
              <w:rPr>
                <w:rFonts w:ascii="Times New Roman" w:hAnsi="Times New Roman" w:cs="Times New Roman"/>
                <w:sz w:val="21"/>
                <w:szCs w:val="21"/>
              </w:rPr>
            </w:pPr>
            <w:r w:rsidRPr="00F614F9">
              <w:rPr>
                <w:rFonts w:ascii="Times New Roman" w:hAnsi="Times New Roman" w:cs="Times New Roman" w:hint="eastAsia"/>
                <w:sz w:val="18"/>
                <w:szCs w:val="18"/>
              </w:rPr>
              <w:t>79.83</w:t>
            </w:r>
          </w:p>
        </w:tc>
      </w:tr>
      <w:tr w:rsidR="00872599" w:rsidRPr="00F614F9" w14:paraId="4BFD7E70" w14:textId="77777777">
        <w:trPr>
          <w:divId w:val="968709565"/>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E2B66EC" w14:textId="77777777" w:rsidR="00872599" w:rsidRPr="00F614F9" w:rsidRDefault="00000000" w:rsidP="009E2AA2">
            <w:pPr>
              <w:rPr>
                <w:rFonts w:ascii="Times New Roman" w:eastAsia="宋体" w:hAnsi="Times New Roman" w:cs="Times New Roman"/>
                <w:sz w:val="18"/>
                <w:szCs w:val="18"/>
              </w:rPr>
            </w:pPr>
            <w:r w:rsidRPr="00F614F9">
              <w:rPr>
                <w:rFonts w:ascii="Times New Roman" w:eastAsia="宋体" w:hAnsi="Times New Roman" w:cs="Times New Roman"/>
                <w:sz w:val="18"/>
                <w:szCs w:val="18"/>
              </w:rPr>
              <w:t>3</w:t>
            </w:r>
            <w:r w:rsidRPr="00F614F9">
              <w:rPr>
                <w:rFonts w:ascii="Times New Roman" w:eastAsia="宋体" w:hAnsi="Times New Roman" w:cs="Times New Roman"/>
                <w:sz w:val="18"/>
                <w:szCs w:val="18"/>
              </w:rPr>
              <w:t>年以上</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185EE7" w14:textId="77777777" w:rsidR="00872599" w:rsidRPr="00F614F9" w:rsidRDefault="00000000" w:rsidP="00BE4446">
            <w:pPr>
              <w:pStyle w:val="a3"/>
              <w:spacing w:before="0" w:beforeAutospacing="0" w:after="0" w:afterAutospacing="0" w:line="460" w:lineRule="atLeast"/>
              <w:jc w:val="center"/>
              <w:rPr>
                <w:rFonts w:ascii="Times New Roman" w:hAnsi="Times New Roman" w:cs="Times New Roman"/>
                <w:sz w:val="21"/>
                <w:szCs w:val="21"/>
              </w:rPr>
            </w:pPr>
            <w:r w:rsidRPr="00F614F9">
              <w:rPr>
                <w:rFonts w:ascii="Times New Roman" w:hAnsi="Times New Roman" w:cs="Times New Roman" w:hint="eastAsia"/>
                <w:sz w:val="18"/>
                <w:szCs w:val="18"/>
              </w:rPr>
              <w:t>100.00</w:t>
            </w:r>
          </w:p>
        </w:tc>
      </w:tr>
    </w:tbl>
    <w:p w14:paraId="56E86335"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合同资产减值</w:t>
      </w:r>
    </w:p>
    <w:p w14:paraId="2C32BDE6"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当单项合同资产无法以合理成本评估预期信用损失的信息时，本公司依据信用风险特征将合同资产划分为若干组合，在组合基础上计算预期信用损失。</w:t>
      </w:r>
      <w:proofErr w:type="gramStart"/>
      <w:r w:rsidRPr="00F614F9">
        <w:rPr>
          <w:rFonts w:ascii="Times New Roman" w:eastAsia="宋体" w:hAnsi="Times New Roman" w:hint="eastAsia"/>
          <w:sz w:val="18"/>
          <w:szCs w:val="18"/>
        </w:rPr>
        <w:t>对于按账龄</w:t>
      </w:r>
      <w:proofErr w:type="gramEnd"/>
      <w:r w:rsidRPr="00F614F9">
        <w:rPr>
          <w:rFonts w:ascii="Times New Roman" w:eastAsia="宋体" w:hAnsi="Times New Roman" w:hint="eastAsia"/>
          <w:sz w:val="18"/>
          <w:szCs w:val="18"/>
        </w:rPr>
        <w:t>划分组合的合同资产，账</w:t>
      </w:r>
      <w:proofErr w:type="gramStart"/>
      <w:r w:rsidRPr="00F614F9">
        <w:rPr>
          <w:rFonts w:ascii="Times New Roman" w:eastAsia="宋体" w:hAnsi="Times New Roman" w:hint="eastAsia"/>
          <w:sz w:val="18"/>
          <w:szCs w:val="18"/>
        </w:rPr>
        <w:t>龄自确认</w:t>
      </w:r>
      <w:proofErr w:type="gramEnd"/>
      <w:r w:rsidRPr="00F614F9">
        <w:rPr>
          <w:rFonts w:ascii="Times New Roman" w:eastAsia="宋体" w:hAnsi="Times New Roman" w:hint="eastAsia"/>
          <w:sz w:val="18"/>
          <w:szCs w:val="18"/>
        </w:rPr>
        <w:t>之日起计算。</w:t>
      </w:r>
    </w:p>
    <w:p w14:paraId="31ABEBA2"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确定组合的依据如下：</w:t>
      </w:r>
    </w:p>
    <w:tbl>
      <w:tblPr>
        <w:tblW w:w="5000" w:type="pct"/>
        <w:tblCellMar>
          <w:top w:w="15" w:type="dxa"/>
          <w:left w:w="15" w:type="dxa"/>
          <w:bottom w:w="15" w:type="dxa"/>
          <w:right w:w="15" w:type="dxa"/>
        </w:tblCellMar>
        <w:tblLook w:val="04A0" w:firstRow="1" w:lastRow="0" w:firstColumn="1" w:lastColumn="0" w:noHBand="0" w:noVBand="1"/>
      </w:tblPr>
      <w:tblGrid>
        <w:gridCol w:w="2368"/>
        <w:gridCol w:w="7249"/>
      </w:tblGrid>
      <w:tr w:rsidR="00872599" w:rsidRPr="00F614F9" w14:paraId="3DAD4FA1" w14:textId="77777777">
        <w:trPr>
          <w:divId w:val="968709565"/>
          <w:trHeight w:val="340"/>
        </w:trPr>
        <w:tc>
          <w:tcPr>
            <w:tcW w:w="9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7B7FD8"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项目</w:t>
            </w:r>
          </w:p>
        </w:tc>
        <w:tc>
          <w:tcPr>
            <w:tcW w:w="40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E43AB7"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确定组合的依据</w:t>
            </w:r>
          </w:p>
        </w:tc>
      </w:tr>
      <w:tr w:rsidR="00872599" w:rsidRPr="00F614F9" w14:paraId="1C91ADAF" w14:textId="77777777">
        <w:trPr>
          <w:divId w:val="968709565"/>
          <w:trHeight w:val="340"/>
        </w:trPr>
        <w:tc>
          <w:tcPr>
            <w:tcW w:w="90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D4A277"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组合</w:t>
            </w: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：应收合并范围内关联方款项组合</w:t>
            </w:r>
          </w:p>
        </w:tc>
        <w:tc>
          <w:tcPr>
            <w:tcW w:w="409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6973F1"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合并范围内各家单位之间的往来款项</w:t>
            </w:r>
          </w:p>
        </w:tc>
      </w:tr>
      <w:tr w:rsidR="00872599" w:rsidRPr="00F614F9" w14:paraId="2F4F5F0E" w14:textId="77777777">
        <w:trPr>
          <w:divId w:val="968709565"/>
          <w:trHeight w:val="340"/>
        </w:trPr>
        <w:tc>
          <w:tcPr>
            <w:tcW w:w="90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C0D0D8"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组合</w:t>
            </w: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w:t>
            </w:r>
            <w:proofErr w:type="gramStart"/>
            <w:r w:rsidRPr="00F614F9">
              <w:rPr>
                <w:rFonts w:ascii="Times New Roman" w:eastAsia="宋体" w:hAnsi="Times New Roman" w:hint="eastAsia"/>
                <w:sz w:val="18"/>
                <w:szCs w:val="18"/>
              </w:rPr>
              <w:t>账</w:t>
            </w:r>
            <w:proofErr w:type="gramEnd"/>
            <w:r w:rsidRPr="00F614F9">
              <w:rPr>
                <w:rFonts w:ascii="Times New Roman" w:eastAsia="宋体" w:hAnsi="Times New Roman" w:hint="eastAsia"/>
                <w:sz w:val="18"/>
                <w:szCs w:val="18"/>
              </w:rPr>
              <w:t>龄组合</w:t>
            </w:r>
          </w:p>
        </w:tc>
        <w:tc>
          <w:tcPr>
            <w:tcW w:w="409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189FC5"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除上述组合外的其他组合，本组合以长期应收款的账</w:t>
            </w:r>
            <w:proofErr w:type="gramStart"/>
            <w:r w:rsidRPr="00F614F9">
              <w:rPr>
                <w:rFonts w:ascii="Times New Roman" w:eastAsia="宋体" w:hAnsi="Times New Roman" w:hint="eastAsia"/>
                <w:sz w:val="18"/>
                <w:szCs w:val="18"/>
              </w:rPr>
              <w:t>龄作为</w:t>
            </w:r>
            <w:proofErr w:type="gramEnd"/>
            <w:r w:rsidRPr="00F614F9">
              <w:rPr>
                <w:rFonts w:ascii="Times New Roman" w:eastAsia="宋体" w:hAnsi="Times New Roman" w:hint="eastAsia"/>
                <w:sz w:val="18"/>
                <w:szCs w:val="18"/>
              </w:rPr>
              <w:t>信用风险特征。</w:t>
            </w:r>
          </w:p>
          <w:p w14:paraId="7EB63655"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公司根据</w:t>
            </w:r>
            <w:proofErr w:type="gramStart"/>
            <w:r w:rsidRPr="00F614F9">
              <w:rPr>
                <w:rFonts w:ascii="Times New Roman" w:eastAsia="宋体" w:hAnsi="Times New Roman" w:hint="eastAsia"/>
                <w:sz w:val="18"/>
                <w:szCs w:val="18"/>
              </w:rPr>
              <w:t>账龄段划分</w:t>
            </w:r>
            <w:proofErr w:type="gramEnd"/>
            <w:r w:rsidRPr="00F614F9">
              <w:rPr>
                <w:rFonts w:ascii="Times New Roman" w:eastAsia="宋体" w:hAnsi="Times New Roman" w:hint="eastAsia"/>
                <w:sz w:val="18"/>
                <w:szCs w:val="18"/>
              </w:rPr>
              <w:t>的具有类似信用风险特征的长期应收款组合的预期损失率为基础，结合现时情况分析法确定坏账准备计提的比例</w:t>
            </w:r>
          </w:p>
        </w:tc>
      </w:tr>
    </w:tbl>
    <w:p w14:paraId="12FE5F73"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长期应收款减值</w:t>
      </w:r>
    </w:p>
    <w:p w14:paraId="43A07D91"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对于由《企业会计准则第</w:t>
      </w:r>
      <w:r w:rsidRPr="00F614F9">
        <w:rPr>
          <w:rFonts w:ascii="Times New Roman" w:eastAsia="宋体" w:hAnsi="Times New Roman" w:hint="eastAsia"/>
          <w:sz w:val="18"/>
          <w:szCs w:val="18"/>
        </w:rPr>
        <w:t>14</w:t>
      </w:r>
      <w:r w:rsidRPr="00F614F9">
        <w:rPr>
          <w:rFonts w:ascii="Times New Roman" w:eastAsia="宋体" w:hAnsi="Times New Roman" w:hint="eastAsia"/>
          <w:sz w:val="18"/>
          <w:szCs w:val="18"/>
        </w:rPr>
        <w:t>号——收入》规范的交易形成的长期应收款，无论是否存在重大融资成分，本公司均按照整个存续期的预期信用损失计量损失准备。其他情形形成的长期应收款，则按照附注五、</w:t>
      </w:r>
      <w:r w:rsidRPr="00F614F9">
        <w:rPr>
          <w:rFonts w:ascii="Times New Roman" w:eastAsia="宋体" w:hAnsi="Times New Roman" w:hint="eastAsia"/>
          <w:sz w:val="18"/>
          <w:szCs w:val="18"/>
        </w:rPr>
        <w:t>11</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）减值准备的确认和计量中的描述确认和计量减值。</w:t>
      </w:r>
    </w:p>
    <w:p w14:paraId="7EFE05C1"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当单项长期应收款无法以合理成本评估预期信用损失的信息时，本公司依据信用风险特征将长期应收款划分为若干组合，在组合基础上计算预期信用损失，确定组合的依据如下：</w:t>
      </w:r>
    </w:p>
    <w:tbl>
      <w:tblPr>
        <w:tblW w:w="9473" w:type="dxa"/>
        <w:jc w:val="center"/>
        <w:tblCellMar>
          <w:top w:w="15" w:type="dxa"/>
          <w:left w:w="15" w:type="dxa"/>
          <w:bottom w:w="15" w:type="dxa"/>
          <w:right w:w="15" w:type="dxa"/>
        </w:tblCellMar>
        <w:tblLook w:val="04A0" w:firstRow="1" w:lastRow="0" w:firstColumn="1" w:lastColumn="0" w:noHBand="0" w:noVBand="1"/>
      </w:tblPr>
      <w:tblGrid>
        <w:gridCol w:w="2368"/>
        <w:gridCol w:w="7249"/>
      </w:tblGrid>
      <w:tr w:rsidR="00872599" w:rsidRPr="00F614F9" w14:paraId="4DC8C58F" w14:textId="77777777" w:rsidTr="009E2AA2">
        <w:trPr>
          <w:divId w:val="968709565"/>
          <w:trHeight w:val="471"/>
          <w:jc w:val="center"/>
        </w:trPr>
        <w:tc>
          <w:tcPr>
            <w:tcW w:w="12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2FB465"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项目</w:t>
            </w:r>
          </w:p>
        </w:tc>
        <w:tc>
          <w:tcPr>
            <w:tcW w:w="37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288D7D"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确定组合的依据</w:t>
            </w:r>
          </w:p>
        </w:tc>
      </w:tr>
      <w:tr w:rsidR="00872599" w:rsidRPr="00F614F9" w14:paraId="3C66EB54" w14:textId="77777777" w:rsidTr="009E2AA2">
        <w:trPr>
          <w:divId w:val="968709565"/>
          <w:trHeight w:val="471"/>
          <w:jc w:val="center"/>
        </w:trPr>
        <w:tc>
          <w:tcPr>
            <w:tcW w:w="121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4FCDED"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组合</w:t>
            </w: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：应收合并范围内关联方款项组合</w:t>
            </w:r>
          </w:p>
        </w:tc>
        <w:tc>
          <w:tcPr>
            <w:tcW w:w="378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9BC1CE"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合并范围内各家单位之间的往来款项</w:t>
            </w:r>
          </w:p>
        </w:tc>
      </w:tr>
      <w:tr w:rsidR="00872599" w:rsidRPr="00F614F9" w14:paraId="0FF47DA7" w14:textId="77777777" w:rsidTr="009E2AA2">
        <w:trPr>
          <w:divId w:val="968709565"/>
          <w:trHeight w:val="471"/>
          <w:jc w:val="center"/>
        </w:trPr>
        <w:tc>
          <w:tcPr>
            <w:tcW w:w="121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5EDA25"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组合</w:t>
            </w: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w:t>
            </w:r>
            <w:proofErr w:type="gramStart"/>
            <w:r w:rsidRPr="00F614F9">
              <w:rPr>
                <w:rFonts w:ascii="Times New Roman" w:eastAsia="宋体" w:hAnsi="Times New Roman" w:hint="eastAsia"/>
                <w:sz w:val="18"/>
                <w:szCs w:val="18"/>
              </w:rPr>
              <w:t>账</w:t>
            </w:r>
            <w:proofErr w:type="gramEnd"/>
            <w:r w:rsidRPr="00F614F9">
              <w:rPr>
                <w:rFonts w:ascii="Times New Roman" w:eastAsia="宋体" w:hAnsi="Times New Roman" w:hint="eastAsia"/>
                <w:sz w:val="18"/>
                <w:szCs w:val="18"/>
              </w:rPr>
              <w:t>龄组合</w:t>
            </w:r>
          </w:p>
        </w:tc>
        <w:tc>
          <w:tcPr>
            <w:tcW w:w="378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E3951B"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除上述组合外的其他组合，本组合以长期应收款的账</w:t>
            </w:r>
            <w:proofErr w:type="gramStart"/>
            <w:r w:rsidRPr="00F614F9">
              <w:rPr>
                <w:rFonts w:ascii="Times New Roman" w:eastAsia="宋体" w:hAnsi="Times New Roman" w:hint="eastAsia"/>
                <w:sz w:val="18"/>
                <w:szCs w:val="18"/>
              </w:rPr>
              <w:t>龄作为</w:t>
            </w:r>
            <w:proofErr w:type="gramEnd"/>
            <w:r w:rsidRPr="00F614F9">
              <w:rPr>
                <w:rFonts w:ascii="Times New Roman" w:eastAsia="宋体" w:hAnsi="Times New Roman" w:hint="eastAsia"/>
                <w:sz w:val="18"/>
                <w:szCs w:val="18"/>
              </w:rPr>
              <w:t>信用风险特征。</w:t>
            </w:r>
          </w:p>
          <w:p w14:paraId="4DDC1A94"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公司根据</w:t>
            </w:r>
            <w:proofErr w:type="gramStart"/>
            <w:r w:rsidRPr="00F614F9">
              <w:rPr>
                <w:rFonts w:ascii="Times New Roman" w:eastAsia="宋体" w:hAnsi="Times New Roman" w:hint="eastAsia"/>
                <w:sz w:val="18"/>
                <w:szCs w:val="18"/>
              </w:rPr>
              <w:t>账龄段划分</w:t>
            </w:r>
            <w:proofErr w:type="gramEnd"/>
            <w:r w:rsidRPr="00F614F9">
              <w:rPr>
                <w:rFonts w:ascii="Times New Roman" w:eastAsia="宋体" w:hAnsi="Times New Roman" w:hint="eastAsia"/>
                <w:sz w:val="18"/>
                <w:szCs w:val="18"/>
              </w:rPr>
              <w:t>的具有类似信用风险特征的长期应收款组合的预期损失率为基础，结合现时情况分析法确定坏账准备计提的比例</w:t>
            </w:r>
          </w:p>
        </w:tc>
      </w:tr>
    </w:tbl>
    <w:p w14:paraId="318539FF"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利得和损失</w:t>
      </w:r>
    </w:p>
    <w:p w14:paraId="5F0ECCAB"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本公司将以公允价值计量的金融资产或金融负债的利得或损失计入当期损益，除非该金融资产或金融负债属于下列情形之一：</w:t>
      </w:r>
    </w:p>
    <w:p w14:paraId="55CE9E93"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）属于《企业会计准则第</w:t>
      </w:r>
      <w:r w:rsidRPr="00F614F9">
        <w:rPr>
          <w:rFonts w:ascii="Times New Roman" w:eastAsia="宋体" w:hAnsi="Times New Roman" w:hint="eastAsia"/>
          <w:sz w:val="18"/>
          <w:szCs w:val="18"/>
        </w:rPr>
        <w:t>24</w:t>
      </w:r>
      <w:r w:rsidRPr="00F614F9">
        <w:rPr>
          <w:rFonts w:ascii="Times New Roman" w:eastAsia="宋体" w:hAnsi="Times New Roman" w:hint="eastAsia"/>
          <w:sz w:val="18"/>
          <w:szCs w:val="18"/>
        </w:rPr>
        <w:t>号——套期会计》规定的套</w:t>
      </w:r>
      <w:proofErr w:type="gramStart"/>
      <w:r w:rsidRPr="00F614F9">
        <w:rPr>
          <w:rFonts w:ascii="Times New Roman" w:eastAsia="宋体" w:hAnsi="Times New Roman" w:hint="eastAsia"/>
          <w:sz w:val="18"/>
          <w:szCs w:val="18"/>
        </w:rPr>
        <w:t>期关系</w:t>
      </w:r>
      <w:proofErr w:type="gramEnd"/>
      <w:r w:rsidRPr="00F614F9">
        <w:rPr>
          <w:rFonts w:ascii="Times New Roman" w:eastAsia="宋体" w:hAnsi="Times New Roman" w:hint="eastAsia"/>
          <w:sz w:val="18"/>
          <w:szCs w:val="18"/>
        </w:rPr>
        <w:t>的一部分。</w:t>
      </w:r>
    </w:p>
    <w:p w14:paraId="72A6612A"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lastRenderedPageBreak/>
        <w:t>2</w:t>
      </w:r>
      <w:r w:rsidRPr="00F614F9">
        <w:rPr>
          <w:rFonts w:ascii="Times New Roman" w:eastAsia="宋体" w:hAnsi="Times New Roman" w:hint="eastAsia"/>
          <w:sz w:val="18"/>
          <w:szCs w:val="18"/>
        </w:rPr>
        <w:t>）是一项对</w:t>
      </w:r>
      <w:proofErr w:type="gramStart"/>
      <w:r w:rsidRPr="00F614F9">
        <w:rPr>
          <w:rFonts w:ascii="Times New Roman" w:eastAsia="宋体" w:hAnsi="Times New Roman" w:hint="eastAsia"/>
          <w:sz w:val="18"/>
          <w:szCs w:val="18"/>
        </w:rPr>
        <w:t>非交易</w:t>
      </w:r>
      <w:proofErr w:type="gramEnd"/>
      <w:r w:rsidRPr="00F614F9">
        <w:rPr>
          <w:rFonts w:ascii="Times New Roman" w:eastAsia="宋体" w:hAnsi="Times New Roman" w:hint="eastAsia"/>
          <w:sz w:val="18"/>
          <w:szCs w:val="18"/>
        </w:rPr>
        <w:t>性权益工具的投资，且本公司将其指定为以公允价值计量且其变动计入其他综合收益的金融资产。</w:t>
      </w:r>
    </w:p>
    <w:p w14:paraId="73EA7A72"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3</w:t>
      </w:r>
      <w:r w:rsidRPr="00F614F9">
        <w:rPr>
          <w:rFonts w:ascii="Times New Roman" w:eastAsia="宋体" w:hAnsi="Times New Roman" w:hint="eastAsia"/>
          <w:sz w:val="18"/>
          <w:szCs w:val="18"/>
        </w:rPr>
        <w:t>）是一项被指定为以公允价值计量且其变动计入当期损益的金融负债，该负债由本公司自身信用风险变动引起的其公允价值变动应当计入其他综合收益。</w:t>
      </w:r>
    </w:p>
    <w:p w14:paraId="056860BA"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4</w:t>
      </w:r>
      <w:r w:rsidRPr="00F614F9">
        <w:rPr>
          <w:rFonts w:ascii="Times New Roman" w:eastAsia="宋体" w:hAnsi="Times New Roman" w:hint="eastAsia"/>
          <w:sz w:val="18"/>
          <w:szCs w:val="18"/>
        </w:rPr>
        <w:t>）是一项分类为以公允价值计量且其变动计入其他综合收益的金融资产（债务工具投资），其减值损失或利得和汇兑损益之外的公允价值变动计入其他综合收益。</w:t>
      </w:r>
    </w:p>
    <w:p w14:paraId="1053760C"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本公司只有在同时符合下列条件时，才能确认股利收入并计入当期损益：</w:t>
      </w:r>
    </w:p>
    <w:p w14:paraId="6CE45FDB"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）本公司收取股利的权利已经确立；</w:t>
      </w:r>
    </w:p>
    <w:p w14:paraId="103E48ED"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）与股利相关的经济利益很可能流入本公司；</w:t>
      </w:r>
    </w:p>
    <w:p w14:paraId="40806305"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3</w:t>
      </w:r>
      <w:r w:rsidRPr="00F614F9">
        <w:rPr>
          <w:rFonts w:ascii="Times New Roman" w:eastAsia="宋体" w:hAnsi="Times New Roman" w:hint="eastAsia"/>
          <w:sz w:val="18"/>
          <w:szCs w:val="18"/>
        </w:rPr>
        <w:t>）股利的金额能够可靠计量。</w:t>
      </w:r>
    </w:p>
    <w:p w14:paraId="18639621"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以摊</w:t>
      </w:r>
      <w:proofErr w:type="gramStart"/>
      <w:r w:rsidRPr="00F614F9">
        <w:rPr>
          <w:rFonts w:ascii="Times New Roman" w:eastAsia="宋体" w:hAnsi="Times New Roman" w:hint="eastAsia"/>
          <w:sz w:val="18"/>
          <w:szCs w:val="18"/>
        </w:rPr>
        <w:t>余成本</w:t>
      </w:r>
      <w:proofErr w:type="gramEnd"/>
      <w:r w:rsidRPr="00F614F9">
        <w:rPr>
          <w:rFonts w:ascii="Times New Roman" w:eastAsia="宋体" w:hAnsi="Times New Roman" w:hint="eastAsia"/>
          <w:sz w:val="18"/>
          <w:szCs w:val="18"/>
        </w:rPr>
        <w:t>计量且不属于任何套</w:t>
      </w:r>
      <w:proofErr w:type="gramStart"/>
      <w:r w:rsidRPr="00F614F9">
        <w:rPr>
          <w:rFonts w:ascii="Times New Roman" w:eastAsia="宋体" w:hAnsi="Times New Roman" w:hint="eastAsia"/>
          <w:sz w:val="18"/>
          <w:szCs w:val="18"/>
        </w:rPr>
        <w:t>期关系</w:t>
      </w:r>
      <w:proofErr w:type="gramEnd"/>
      <w:r w:rsidRPr="00F614F9">
        <w:rPr>
          <w:rFonts w:ascii="Times New Roman" w:eastAsia="宋体" w:hAnsi="Times New Roman" w:hint="eastAsia"/>
          <w:sz w:val="18"/>
          <w:szCs w:val="18"/>
        </w:rPr>
        <w:t>的一部分的金融资产所产生的利得或损失，在终止确认、按照本项重分类、按照实际利率法摊销或确认减值时，计入当期损益。本公司将一项以摊</w:t>
      </w:r>
      <w:proofErr w:type="gramStart"/>
      <w:r w:rsidRPr="00F614F9">
        <w:rPr>
          <w:rFonts w:ascii="Times New Roman" w:eastAsia="宋体" w:hAnsi="Times New Roman" w:hint="eastAsia"/>
          <w:sz w:val="18"/>
          <w:szCs w:val="18"/>
        </w:rPr>
        <w:t>余成本</w:t>
      </w:r>
      <w:proofErr w:type="gramEnd"/>
      <w:r w:rsidRPr="00F614F9">
        <w:rPr>
          <w:rFonts w:ascii="Times New Roman" w:eastAsia="宋体" w:hAnsi="Times New Roman" w:hint="eastAsia"/>
          <w:sz w:val="18"/>
          <w:szCs w:val="18"/>
        </w:rPr>
        <w:t>计量的金融资产重分类为以公允价值计量且其变动计入当期损益的金融资产的，按照该资产在重</w:t>
      </w:r>
      <w:proofErr w:type="gramStart"/>
      <w:r w:rsidRPr="00F614F9">
        <w:rPr>
          <w:rFonts w:ascii="Times New Roman" w:eastAsia="宋体" w:hAnsi="Times New Roman" w:hint="eastAsia"/>
          <w:sz w:val="18"/>
          <w:szCs w:val="18"/>
        </w:rPr>
        <w:t>分类日</w:t>
      </w:r>
      <w:proofErr w:type="gramEnd"/>
      <w:r w:rsidRPr="00F614F9">
        <w:rPr>
          <w:rFonts w:ascii="Times New Roman" w:eastAsia="宋体" w:hAnsi="Times New Roman" w:hint="eastAsia"/>
          <w:sz w:val="18"/>
          <w:szCs w:val="18"/>
        </w:rPr>
        <w:t>的公允价值进行计量。原账面价值与公允价值之间的差额计入当期损益。将一项以摊</w:t>
      </w:r>
      <w:proofErr w:type="gramStart"/>
      <w:r w:rsidRPr="00F614F9">
        <w:rPr>
          <w:rFonts w:ascii="Times New Roman" w:eastAsia="宋体" w:hAnsi="Times New Roman" w:hint="eastAsia"/>
          <w:sz w:val="18"/>
          <w:szCs w:val="18"/>
        </w:rPr>
        <w:t>余成本</w:t>
      </w:r>
      <w:proofErr w:type="gramEnd"/>
      <w:r w:rsidRPr="00F614F9">
        <w:rPr>
          <w:rFonts w:ascii="Times New Roman" w:eastAsia="宋体" w:hAnsi="Times New Roman" w:hint="eastAsia"/>
          <w:sz w:val="18"/>
          <w:szCs w:val="18"/>
        </w:rPr>
        <w:t>计量的金融资产重分类为以公允价值计量且其变动计入其他综合收益的金融资产的，按照该金融资产在重</w:t>
      </w:r>
      <w:proofErr w:type="gramStart"/>
      <w:r w:rsidRPr="00F614F9">
        <w:rPr>
          <w:rFonts w:ascii="Times New Roman" w:eastAsia="宋体" w:hAnsi="Times New Roman" w:hint="eastAsia"/>
          <w:sz w:val="18"/>
          <w:szCs w:val="18"/>
        </w:rPr>
        <w:t>分类日</w:t>
      </w:r>
      <w:proofErr w:type="gramEnd"/>
      <w:r w:rsidRPr="00F614F9">
        <w:rPr>
          <w:rFonts w:ascii="Times New Roman" w:eastAsia="宋体" w:hAnsi="Times New Roman" w:hint="eastAsia"/>
          <w:sz w:val="18"/>
          <w:szCs w:val="18"/>
        </w:rPr>
        <w:t>的公允价值进行计量。原账面价值与公允价值之间的差额计入其他综合收益。以摊</w:t>
      </w:r>
      <w:proofErr w:type="gramStart"/>
      <w:r w:rsidRPr="00F614F9">
        <w:rPr>
          <w:rFonts w:ascii="Times New Roman" w:eastAsia="宋体" w:hAnsi="Times New Roman" w:hint="eastAsia"/>
          <w:sz w:val="18"/>
          <w:szCs w:val="18"/>
        </w:rPr>
        <w:t>余成本</w:t>
      </w:r>
      <w:proofErr w:type="gramEnd"/>
      <w:r w:rsidRPr="00F614F9">
        <w:rPr>
          <w:rFonts w:ascii="Times New Roman" w:eastAsia="宋体" w:hAnsi="Times New Roman" w:hint="eastAsia"/>
          <w:sz w:val="18"/>
          <w:szCs w:val="18"/>
        </w:rPr>
        <w:t>计量且不属于任何套</w:t>
      </w:r>
      <w:proofErr w:type="gramStart"/>
      <w:r w:rsidRPr="00F614F9">
        <w:rPr>
          <w:rFonts w:ascii="Times New Roman" w:eastAsia="宋体" w:hAnsi="Times New Roman" w:hint="eastAsia"/>
          <w:sz w:val="18"/>
          <w:szCs w:val="18"/>
        </w:rPr>
        <w:t>期关系</w:t>
      </w:r>
      <w:proofErr w:type="gramEnd"/>
      <w:r w:rsidRPr="00F614F9">
        <w:rPr>
          <w:rFonts w:ascii="Times New Roman" w:eastAsia="宋体" w:hAnsi="Times New Roman" w:hint="eastAsia"/>
          <w:sz w:val="18"/>
          <w:szCs w:val="18"/>
        </w:rPr>
        <w:t>的一部分的金融负债所产生的利得或损失，在终止确认时计入当期损益或在按照实际利率法摊销时计入相关期间损益。</w:t>
      </w:r>
    </w:p>
    <w:p w14:paraId="3F832543"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对于本公司将金融负债指定为以公允价值计量且其变动计入当期损益的金融负债，该金融负债所产生的利得或损失按照下列规定进行处理：</w:t>
      </w:r>
    </w:p>
    <w:p w14:paraId="25395ACD"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）由本公司自身信用风险变动引起的该金融负债公允价值的变动金额，计入其他综合收益；</w:t>
      </w:r>
    </w:p>
    <w:p w14:paraId="245D2DAF"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）该金融负债的其他公允价值变动计入当期损益。</w:t>
      </w:r>
    </w:p>
    <w:p w14:paraId="25AE69CB"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按照本条第</w:t>
      </w: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规定对该金融负债的自身信用风险变动的影响进行处理会造成或扩大损益中的会计错配的，本公司将该金融负债的全部利得或损失（包括本公司自身信用风险变动的影响金额）计入当期损益。该金融负债终止确认时，之前计入其他综合收益的累计利得或损失应当从其他综合收益中转出，计入留存收益。</w:t>
      </w:r>
    </w:p>
    <w:p w14:paraId="2F1D54B5"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本公司将</w:t>
      </w:r>
      <w:proofErr w:type="gramStart"/>
      <w:r w:rsidRPr="00F614F9">
        <w:rPr>
          <w:rFonts w:ascii="Times New Roman" w:eastAsia="宋体" w:hAnsi="Times New Roman" w:hint="eastAsia"/>
          <w:sz w:val="18"/>
          <w:szCs w:val="18"/>
        </w:rPr>
        <w:t>非交易</w:t>
      </w:r>
      <w:proofErr w:type="gramEnd"/>
      <w:r w:rsidRPr="00F614F9">
        <w:rPr>
          <w:rFonts w:ascii="Times New Roman" w:eastAsia="宋体" w:hAnsi="Times New Roman" w:hint="eastAsia"/>
          <w:sz w:val="18"/>
          <w:szCs w:val="18"/>
        </w:rPr>
        <w:t>性权益工具投资指定为以公允价值计量且其变动计入其他综合收益的金融资产的，当该金融资产终止确认时，之前计入其他综合收益的累计利得或损失从其他综合收益中转出，计入留存收益。</w:t>
      </w:r>
    </w:p>
    <w:p w14:paraId="134773EE"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分类为以公允价值计量且其变动计入其他综合收益的金融资产所产生的</w:t>
      </w:r>
      <w:proofErr w:type="gramStart"/>
      <w:r w:rsidRPr="00F614F9">
        <w:rPr>
          <w:rFonts w:ascii="Times New Roman" w:eastAsia="宋体" w:hAnsi="Times New Roman" w:hint="eastAsia"/>
          <w:sz w:val="18"/>
          <w:szCs w:val="18"/>
        </w:rPr>
        <w:t>所有利</w:t>
      </w:r>
      <w:proofErr w:type="gramEnd"/>
      <w:r w:rsidRPr="00F614F9">
        <w:rPr>
          <w:rFonts w:ascii="Times New Roman" w:eastAsia="宋体" w:hAnsi="Times New Roman" w:hint="eastAsia"/>
          <w:sz w:val="18"/>
          <w:szCs w:val="18"/>
        </w:rPr>
        <w:t>得或损失（债务工具投资），除减值损失或利得和汇兑损益之外，均计入其他综合收益，直至该金融资产终止确认或被重分类。但是，采用实际利率法计算的该金融资产的利息计入当期损益。该金融资产终止确认时，之前计入其他综合收益的累计利得或损失应当从其他综合收益中转出，计入当期损益。本公司将该金融资产重分类为其他类别金融资产的，</w:t>
      </w:r>
      <w:proofErr w:type="gramStart"/>
      <w:r w:rsidRPr="00F614F9">
        <w:rPr>
          <w:rFonts w:ascii="Times New Roman" w:eastAsia="宋体" w:hAnsi="Times New Roman" w:hint="eastAsia"/>
          <w:sz w:val="18"/>
          <w:szCs w:val="18"/>
        </w:rPr>
        <w:t>对之前</w:t>
      </w:r>
      <w:proofErr w:type="gramEnd"/>
      <w:r w:rsidRPr="00F614F9">
        <w:rPr>
          <w:rFonts w:ascii="Times New Roman" w:eastAsia="宋体" w:hAnsi="Times New Roman" w:hint="eastAsia"/>
          <w:sz w:val="18"/>
          <w:szCs w:val="18"/>
        </w:rPr>
        <w:t>计入其他综合收益的累计利得或损失转出，调整该金融资产在重</w:t>
      </w:r>
      <w:proofErr w:type="gramStart"/>
      <w:r w:rsidRPr="00F614F9">
        <w:rPr>
          <w:rFonts w:ascii="Times New Roman" w:eastAsia="宋体" w:hAnsi="Times New Roman" w:hint="eastAsia"/>
          <w:sz w:val="18"/>
          <w:szCs w:val="18"/>
        </w:rPr>
        <w:t>分类日</w:t>
      </w:r>
      <w:proofErr w:type="gramEnd"/>
      <w:r w:rsidRPr="00F614F9">
        <w:rPr>
          <w:rFonts w:ascii="Times New Roman" w:eastAsia="宋体" w:hAnsi="Times New Roman" w:hint="eastAsia"/>
          <w:sz w:val="18"/>
          <w:szCs w:val="18"/>
        </w:rPr>
        <w:t>的公允价值，并以调整后的金额作为新的账面价值。</w:t>
      </w:r>
    </w:p>
    <w:p w14:paraId="37373293"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报表列示</w:t>
      </w:r>
    </w:p>
    <w:p w14:paraId="5B9C0552"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本公司将分类为以公允价值计量且其变动计入当期损益的金融资产，在“交易性金融资产”科目中列示。自资产负债表日起超过一年到期且预期持有超过一年的以公允价值计量且其变动计入当期损益的非流动金融资产，在“其他非流动金融资产”科目列示。</w:t>
      </w:r>
    </w:p>
    <w:p w14:paraId="0B85056A"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本公司将分类为以摊</w:t>
      </w:r>
      <w:proofErr w:type="gramStart"/>
      <w:r w:rsidRPr="00F614F9">
        <w:rPr>
          <w:rFonts w:ascii="Times New Roman" w:eastAsia="宋体" w:hAnsi="Times New Roman" w:hint="eastAsia"/>
          <w:sz w:val="18"/>
          <w:szCs w:val="18"/>
        </w:rPr>
        <w:t>余成本</w:t>
      </w:r>
      <w:proofErr w:type="gramEnd"/>
      <w:r w:rsidRPr="00F614F9">
        <w:rPr>
          <w:rFonts w:ascii="Times New Roman" w:eastAsia="宋体" w:hAnsi="Times New Roman" w:hint="eastAsia"/>
          <w:sz w:val="18"/>
          <w:szCs w:val="18"/>
        </w:rPr>
        <w:t>计量的长期债权投资，在“债权投资”科目中列示。自资产负债表日起一年内到期的长期债权投资，在“一年内到期的非流动资产”科目列示。本公司购入的以摊</w:t>
      </w:r>
      <w:proofErr w:type="gramStart"/>
      <w:r w:rsidRPr="00F614F9">
        <w:rPr>
          <w:rFonts w:ascii="Times New Roman" w:eastAsia="宋体" w:hAnsi="Times New Roman" w:hint="eastAsia"/>
          <w:sz w:val="18"/>
          <w:szCs w:val="18"/>
        </w:rPr>
        <w:t>余成本</w:t>
      </w:r>
      <w:proofErr w:type="gramEnd"/>
      <w:r w:rsidRPr="00F614F9">
        <w:rPr>
          <w:rFonts w:ascii="Times New Roman" w:eastAsia="宋体" w:hAnsi="Times New Roman" w:hint="eastAsia"/>
          <w:sz w:val="18"/>
          <w:szCs w:val="18"/>
        </w:rPr>
        <w:t>计量的一年内到期的债权投资，在“其他流动资产”科目列示。</w:t>
      </w:r>
    </w:p>
    <w:p w14:paraId="092D7932"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本公司将分类为以公允价值计量且其变动计入其他综合收益的长期债权投资，在“其他债权投资”科目列示。自资产负债表日起一年内到期的长期债权投资的期末账面价值，在“一年内到期的非流动资产”科目列示。本公司购入的以公允</w:t>
      </w:r>
      <w:r w:rsidRPr="00F614F9">
        <w:rPr>
          <w:rFonts w:ascii="Times New Roman" w:eastAsia="宋体" w:hAnsi="Times New Roman" w:hint="eastAsia"/>
          <w:sz w:val="18"/>
          <w:szCs w:val="18"/>
        </w:rPr>
        <w:lastRenderedPageBreak/>
        <w:t>价值计量且其变动计入其他综合收益的一年内到期的债权投资，在“其他流动资产”科目列示。</w:t>
      </w:r>
    </w:p>
    <w:p w14:paraId="308F23CB"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本公司将指定为以公允价值计量且其变动计入其他综合收益的</w:t>
      </w:r>
      <w:proofErr w:type="gramStart"/>
      <w:r w:rsidRPr="00F614F9">
        <w:rPr>
          <w:rFonts w:ascii="Times New Roman" w:eastAsia="宋体" w:hAnsi="Times New Roman" w:hint="eastAsia"/>
          <w:sz w:val="18"/>
          <w:szCs w:val="18"/>
        </w:rPr>
        <w:t>非交易</w:t>
      </w:r>
      <w:proofErr w:type="gramEnd"/>
      <w:r w:rsidRPr="00F614F9">
        <w:rPr>
          <w:rFonts w:ascii="Times New Roman" w:eastAsia="宋体" w:hAnsi="Times New Roman" w:hint="eastAsia"/>
          <w:sz w:val="18"/>
          <w:szCs w:val="18"/>
        </w:rPr>
        <w:t>性权益工具投资，在“其他权益工具投资”科目列示。</w:t>
      </w:r>
    </w:p>
    <w:p w14:paraId="7E5CF829"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本公司承担的交易性金融负债，以及本公司持有的直接指定为以公允价值计量且其变动计入当期损益的金融负债，在“交易性金融负债”科目列示。</w:t>
      </w:r>
    </w:p>
    <w:p w14:paraId="4FA93FCB"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权益工具</w:t>
      </w:r>
    </w:p>
    <w:p w14:paraId="2B01352D" w14:textId="77777777" w:rsidR="00872599" w:rsidRPr="00F614F9" w:rsidRDefault="00000000" w:rsidP="009E2AA2">
      <w:pPr>
        <w:spacing w:line="276" w:lineRule="auto"/>
        <w:ind w:firstLineChars="200" w:firstLine="360"/>
        <w:divId w:val="968709565"/>
        <w:rPr>
          <w:rFonts w:ascii="Times New Roman" w:eastAsia="宋体" w:hAnsi="Times New Roman"/>
          <w:sz w:val="18"/>
          <w:szCs w:val="18"/>
        </w:rPr>
      </w:pPr>
      <w:r w:rsidRPr="00F614F9">
        <w:rPr>
          <w:rFonts w:ascii="Times New Roman" w:eastAsia="宋体" w:hAnsi="Times New Roman" w:hint="eastAsia"/>
          <w:sz w:val="18"/>
          <w:szCs w:val="18"/>
        </w:rPr>
        <w:t>权益工具是指能证明拥有本公司在扣除所有负债后的资产中的剩余权益的合同。本公司发行（</w:t>
      </w:r>
      <w:proofErr w:type="gramStart"/>
      <w:r w:rsidRPr="00F614F9">
        <w:rPr>
          <w:rFonts w:ascii="Times New Roman" w:eastAsia="宋体" w:hAnsi="Times New Roman" w:hint="eastAsia"/>
          <w:sz w:val="18"/>
          <w:szCs w:val="18"/>
        </w:rPr>
        <w:t>含再融资</w:t>
      </w:r>
      <w:proofErr w:type="gramEnd"/>
      <w:r w:rsidRPr="00F614F9">
        <w:rPr>
          <w:rFonts w:ascii="Times New Roman" w:eastAsia="宋体" w:hAnsi="Times New Roman" w:hint="eastAsia"/>
          <w:sz w:val="18"/>
          <w:szCs w:val="18"/>
        </w:rPr>
        <w:t>）、回购、出售或注销权益工具作为权益的变动处理，与权益性交易相关的交易费用从权益中扣减。本公司不确认权益工具的公允价值变动。本公司对权益工具持有方的分配作为利润分配处理，发放的股票股利不影响所有者权益总额。</w:t>
      </w:r>
    </w:p>
    <w:p w14:paraId="6861BE6F" w14:textId="77777777" w:rsidR="001D26E7" w:rsidRPr="00F614F9" w:rsidRDefault="00000000">
      <w:pPr>
        <w:pStyle w:val="3"/>
        <w:spacing w:line="280" w:lineRule="exact"/>
        <w:jc w:val="left"/>
        <w:rPr>
          <w:rFonts w:ascii="Times New Roman" w:hAnsi="Times New Roman" w:cs="宋体"/>
          <w:b/>
          <w:bCs/>
        </w:rPr>
      </w:pPr>
      <w:bookmarkStart w:id="263" w:name="_Toc989078"/>
      <w:r w:rsidRPr="00F614F9">
        <w:rPr>
          <w:rFonts w:ascii="Times New Roman" w:hAnsi="Times New Roman" w:cs="宋体"/>
          <w:b/>
          <w:bCs/>
        </w:rPr>
        <w:t>12</w:t>
      </w:r>
      <w:r w:rsidRPr="00F614F9">
        <w:rPr>
          <w:rFonts w:ascii="Times New Roman" w:hAnsi="Times New Roman" w:cs="宋体"/>
          <w:b/>
          <w:bCs/>
        </w:rPr>
        <w:t>、应收票据</w:t>
      </w:r>
      <w:bookmarkEnd w:id="263"/>
    </w:p>
    <w:p w14:paraId="08D3A648" w14:textId="77777777" w:rsidR="00872599" w:rsidRPr="00F614F9" w:rsidRDefault="00000000" w:rsidP="009E2AA2">
      <w:pPr>
        <w:pStyle w:val="a3"/>
        <w:spacing w:before="0" w:beforeAutospacing="0" w:after="0" w:afterAutospacing="0" w:line="276" w:lineRule="auto"/>
        <w:ind w:firstLine="360"/>
        <w:jc w:val="both"/>
        <w:divId w:val="1943485746"/>
        <w:rPr>
          <w:rFonts w:ascii="Times New Roman" w:hAnsi="Times New Roman" w:cs="Times New Roman"/>
          <w:sz w:val="21"/>
          <w:szCs w:val="21"/>
        </w:rPr>
      </w:pPr>
      <w:r w:rsidRPr="00F614F9">
        <w:rPr>
          <w:rFonts w:ascii="Times New Roman" w:hAnsi="Times New Roman" w:cs="Times New Roman" w:hint="eastAsia"/>
          <w:sz w:val="18"/>
          <w:szCs w:val="18"/>
        </w:rPr>
        <w:t>对于应收票据及应收账款，无论是否存在重大融资成分，本公司均按照整个存续期的预期信用损失计量损失准备。</w:t>
      </w:r>
    </w:p>
    <w:p w14:paraId="3A9ED898" w14:textId="77777777" w:rsidR="00872599" w:rsidRPr="00F614F9" w:rsidRDefault="00000000" w:rsidP="009E2AA2">
      <w:pPr>
        <w:pStyle w:val="a3"/>
        <w:spacing w:before="0" w:beforeAutospacing="0" w:after="0" w:afterAutospacing="0" w:line="276" w:lineRule="auto"/>
        <w:ind w:firstLine="360"/>
        <w:jc w:val="both"/>
        <w:divId w:val="1943485746"/>
        <w:rPr>
          <w:rFonts w:ascii="Times New Roman" w:hAnsi="Times New Roman" w:cs="Times New Roman"/>
          <w:sz w:val="21"/>
          <w:szCs w:val="21"/>
        </w:rPr>
      </w:pPr>
      <w:r w:rsidRPr="00F614F9">
        <w:rPr>
          <w:rFonts w:ascii="Times New Roman" w:hAnsi="Times New Roman" w:cs="Times New Roman" w:hint="eastAsia"/>
          <w:sz w:val="18"/>
          <w:szCs w:val="18"/>
        </w:rPr>
        <w:t>当单项应收票据及应收账款无法以合理成本评估预期信用损失的信息时，本集团依据信用风险特征将应收票据及应收账款划分为若干组合，在组合基础上计算预期信用损失。如果有客观证据表明某项应收票据及应收账款已经发生信用减值，则本公司对该应收票据及应收账款单项计提坏准备并确认预期信用损失。对于划分为组合的应收票据及应收账款，本公司参考历史信用损失经验，结合当前状况以及对未来经济状况的预测，通过违约风险敞口和整个存续期预期信用损失率，计算预期信用损失。</w:t>
      </w:r>
      <w:proofErr w:type="gramStart"/>
      <w:r w:rsidRPr="00F614F9">
        <w:rPr>
          <w:rFonts w:ascii="Times New Roman" w:hAnsi="Times New Roman" w:cs="Times New Roman" w:hint="eastAsia"/>
          <w:sz w:val="18"/>
          <w:szCs w:val="18"/>
        </w:rPr>
        <w:t>对于按账龄</w:t>
      </w:r>
      <w:proofErr w:type="gramEnd"/>
      <w:r w:rsidRPr="00F614F9">
        <w:rPr>
          <w:rFonts w:ascii="Times New Roman" w:hAnsi="Times New Roman" w:cs="Times New Roman" w:hint="eastAsia"/>
          <w:sz w:val="18"/>
          <w:szCs w:val="18"/>
        </w:rPr>
        <w:t>划分组合的应收账款，账</w:t>
      </w:r>
      <w:proofErr w:type="gramStart"/>
      <w:r w:rsidRPr="00F614F9">
        <w:rPr>
          <w:rFonts w:ascii="Times New Roman" w:hAnsi="Times New Roman" w:cs="Times New Roman" w:hint="eastAsia"/>
          <w:sz w:val="18"/>
          <w:szCs w:val="18"/>
        </w:rPr>
        <w:t>龄自确认</w:t>
      </w:r>
      <w:proofErr w:type="gramEnd"/>
      <w:r w:rsidRPr="00F614F9">
        <w:rPr>
          <w:rFonts w:ascii="Times New Roman" w:hAnsi="Times New Roman" w:cs="Times New Roman" w:hint="eastAsia"/>
          <w:sz w:val="18"/>
          <w:szCs w:val="18"/>
        </w:rPr>
        <w:t>之日起计算。</w:t>
      </w:r>
    </w:p>
    <w:p w14:paraId="7AE82126" w14:textId="77777777" w:rsidR="00872599" w:rsidRPr="00F614F9" w:rsidRDefault="00000000">
      <w:pPr>
        <w:pStyle w:val="a3"/>
        <w:spacing w:before="0" w:beforeAutospacing="0" w:after="0" w:afterAutospacing="0" w:line="460" w:lineRule="atLeast"/>
        <w:ind w:firstLine="360"/>
        <w:jc w:val="both"/>
        <w:divId w:val="1943485746"/>
        <w:rPr>
          <w:rFonts w:ascii="Times New Roman" w:hAnsi="Times New Roman" w:cs="Times New Roman"/>
          <w:sz w:val="21"/>
          <w:szCs w:val="21"/>
        </w:rPr>
      </w:pPr>
      <w:r w:rsidRPr="00F614F9">
        <w:rPr>
          <w:rFonts w:ascii="Times New Roman" w:hAnsi="Times New Roman" w:cs="Times New Roman" w:hint="eastAsia"/>
          <w:sz w:val="18"/>
          <w:szCs w:val="18"/>
        </w:rPr>
        <w:t>应收票据组合：</w:t>
      </w:r>
    </w:p>
    <w:tbl>
      <w:tblPr>
        <w:tblW w:w="9060" w:type="dxa"/>
        <w:tblCellMar>
          <w:top w:w="15" w:type="dxa"/>
          <w:left w:w="15" w:type="dxa"/>
          <w:bottom w:w="15" w:type="dxa"/>
          <w:right w:w="15" w:type="dxa"/>
        </w:tblCellMar>
        <w:tblLook w:val="04A0" w:firstRow="1" w:lastRow="0" w:firstColumn="1" w:lastColumn="0" w:noHBand="0" w:noVBand="1"/>
      </w:tblPr>
      <w:tblGrid>
        <w:gridCol w:w="4711"/>
        <w:gridCol w:w="4349"/>
      </w:tblGrid>
      <w:tr w:rsidR="00872599" w:rsidRPr="00F614F9" w14:paraId="4FDE0688" w14:textId="77777777" w:rsidTr="009E2AA2">
        <w:trPr>
          <w:divId w:val="1943485746"/>
          <w:trHeight w:val="347"/>
        </w:trPr>
        <w:tc>
          <w:tcPr>
            <w:tcW w:w="2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4C9828"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项目</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75F8FE"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确定组合的依据</w:t>
            </w:r>
          </w:p>
        </w:tc>
      </w:tr>
      <w:tr w:rsidR="00872599" w:rsidRPr="00F614F9" w14:paraId="33A76A21" w14:textId="77777777" w:rsidTr="009E2AA2">
        <w:trPr>
          <w:divId w:val="1943485746"/>
          <w:trHeight w:val="347"/>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AD7C94"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应收票据组合</w:t>
            </w: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：银行承兑汇票</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910632"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银行承兑汇票，承兑人为信用风险较小的银行</w:t>
            </w:r>
          </w:p>
        </w:tc>
      </w:tr>
      <w:tr w:rsidR="00872599" w:rsidRPr="00F614F9" w14:paraId="6ECB5260" w14:textId="77777777" w:rsidTr="009E2AA2">
        <w:trPr>
          <w:divId w:val="1943485746"/>
          <w:trHeight w:val="347"/>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89F5625"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应收票据组合</w:t>
            </w: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：商业承兑汇票</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B8ACD5"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评估为正常的、低风险的商业承兑汇票</w:t>
            </w:r>
          </w:p>
        </w:tc>
      </w:tr>
    </w:tbl>
    <w:p w14:paraId="09241567" w14:textId="77777777" w:rsidR="00872599" w:rsidRPr="00F614F9" w:rsidRDefault="00000000" w:rsidP="009E2AA2">
      <w:pPr>
        <w:pStyle w:val="a3"/>
        <w:spacing w:before="0" w:beforeAutospacing="0" w:after="0" w:afterAutospacing="0" w:line="276" w:lineRule="auto"/>
        <w:ind w:firstLine="360"/>
        <w:jc w:val="both"/>
        <w:divId w:val="1943485746"/>
        <w:rPr>
          <w:rFonts w:ascii="Times New Roman" w:hAnsi="Times New Roman" w:cs="Times New Roman"/>
          <w:sz w:val="21"/>
          <w:szCs w:val="21"/>
        </w:rPr>
      </w:pPr>
      <w:r w:rsidRPr="00F614F9">
        <w:rPr>
          <w:rFonts w:ascii="Times New Roman" w:hAnsi="Times New Roman" w:cs="Times New Roman" w:hint="eastAsia"/>
          <w:sz w:val="18"/>
          <w:szCs w:val="18"/>
        </w:rPr>
        <w:t>各组合预期信用损失率</w:t>
      </w:r>
    </w:p>
    <w:p w14:paraId="4855D2E1" w14:textId="77777777" w:rsidR="00872599" w:rsidRPr="00F614F9" w:rsidRDefault="00000000" w:rsidP="009E2AA2">
      <w:pPr>
        <w:pStyle w:val="a3"/>
        <w:spacing w:before="0" w:beforeAutospacing="0" w:after="0" w:afterAutospacing="0" w:line="276" w:lineRule="auto"/>
        <w:ind w:firstLine="360"/>
        <w:jc w:val="both"/>
        <w:divId w:val="1943485746"/>
        <w:rPr>
          <w:rFonts w:ascii="Times New Roman" w:hAnsi="Times New Roman" w:cs="Times New Roman"/>
          <w:sz w:val="21"/>
          <w:szCs w:val="21"/>
        </w:rPr>
      </w:pPr>
      <w:r w:rsidRPr="00F614F9">
        <w:rPr>
          <w:rFonts w:ascii="Times New Roman" w:hAnsi="Times New Roman" w:cs="Times New Roman" w:hint="eastAsia"/>
          <w:sz w:val="18"/>
          <w:szCs w:val="18"/>
        </w:rPr>
        <w:t>应收票据组合</w:t>
      </w:r>
      <w:r w:rsidRPr="00F614F9">
        <w:rPr>
          <w:rFonts w:ascii="Times New Roman" w:hAnsi="Times New Roman" w:cs="Times New Roman" w:hint="eastAsia"/>
          <w:sz w:val="18"/>
          <w:szCs w:val="18"/>
        </w:rPr>
        <w:t>1</w:t>
      </w:r>
      <w:r w:rsidRPr="00F614F9">
        <w:rPr>
          <w:rFonts w:ascii="Times New Roman" w:hAnsi="Times New Roman" w:cs="Times New Roman" w:hint="eastAsia"/>
          <w:sz w:val="18"/>
          <w:szCs w:val="18"/>
        </w:rPr>
        <w:t>：银行承兑汇票：承兑人具有较高的信用评级，历史上未发生票据违约，一般不计提坏账准备。</w:t>
      </w:r>
    </w:p>
    <w:p w14:paraId="1F87E000" w14:textId="77777777" w:rsidR="00872599" w:rsidRPr="00F614F9" w:rsidRDefault="00000000" w:rsidP="009E2AA2">
      <w:pPr>
        <w:pStyle w:val="a3"/>
        <w:spacing w:before="0" w:beforeAutospacing="0" w:after="0" w:afterAutospacing="0" w:line="276" w:lineRule="auto"/>
        <w:ind w:firstLine="360"/>
        <w:jc w:val="both"/>
        <w:divId w:val="1943485746"/>
        <w:rPr>
          <w:rFonts w:ascii="Times New Roman" w:hAnsi="Times New Roman" w:cs="Times New Roman"/>
          <w:sz w:val="21"/>
          <w:szCs w:val="21"/>
        </w:rPr>
      </w:pPr>
      <w:r w:rsidRPr="00F614F9">
        <w:rPr>
          <w:rFonts w:ascii="Times New Roman" w:hAnsi="Times New Roman" w:cs="Times New Roman" w:hint="eastAsia"/>
          <w:sz w:val="18"/>
          <w:szCs w:val="18"/>
        </w:rPr>
        <w:t>应收票据组合</w:t>
      </w:r>
      <w:r w:rsidRPr="00F614F9">
        <w:rPr>
          <w:rFonts w:ascii="Times New Roman" w:hAnsi="Times New Roman" w:cs="Times New Roman" w:hint="eastAsia"/>
          <w:sz w:val="18"/>
          <w:szCs w:val="18"/>
        </w:rPr>
        <w:t>2</w:t>
      </w:r>
      <w:r w:rsidRPr="00F614F9">
        <w:rPr>
          <w:rFonts w:ascii="Times New Roman" w:hAnsi="Times New Roman" w:cs="Times New Roman" w:hint="eastAsia"/>
          <w:sz w:val="18"/>
          <w:szCs w:val="18"/>
        </w:rPr>
        <w:t>：商业承兑汇票：参照应收账款确定预期信用损失率计提坏账准备。</w:t>
      </w:r>
    </w:p>
    <w:p w14:paraId="3AA926CF" w14:textId="77777777" w:rsidR="001D26E7" w:rsidRPr="00F614F9" w:rsidRDefault="00000000">
      <w:pPr>
        <w:pStyle w:val="3"/>
        <w:spacing w:line="280" w:lineRule="exact"/>
        <w:jc w:val="left"/>
        <w:rPr>
          <w:rFonts w:ascii="Times New Roman" w:hAnsi="Times New Roman" w:cs="宋体"/>
          <w:b/>
          <w:bCs/>
        </w:rPr>
      </w:pPr>
      <w:bookmarkStart w:id="264" w:name="_Toc989079"/>
      <w:r w:rsidRPr="00F614F9">
        <w:rPr>
          <w:rFonts w:ascii="Times New Roman" w:hAnsi="Times New Roman" w:cs="宋体"/>
          <w:b/>
          <w:bCs/>
        </w:rPr>
        <w:t>13</w:t>
      </w:r>
      <w:r w:rsidRPr="00F614F9">
        <w:rPr>
          <w:rFonts w:ascii="Times New Roman" w:hAnsi="Times New Roman" w:cs="宋体"/>
          <w:b/>
          <w:bCs/>
        </w:rPr>
        <w:t>、应收账款</w:t>
      </w:r>
      <w:bookmarkEnd w:id="264"/>
    </w:p>
    <w:p w14:paraId="06429FA1" w14:textId="77777777" w:rsidR="00872599" w:rsidRPr="00F614F9" w:rsidRDefault="00000000">
      <w:pPr>
        <w:pStyle w:val="a3"/>
        <w:spacing w:before="0" w:beforeAutospacing="0" w:after="0" w:afterAutospacing="0" w:line="460" w:lineRule="atLeast"/>
        <w:ind w:firstLine="360"/>
        <w:jc w:val="both"/>
        <w:divId w:val="1989704714"/>
        <w:rPr>
          <w:rFonts w:ascii="Times New Roman" w:hAnsi="Times New Roman" w:cs="Times New Roman"/>
          <w:sz w:val="21"/>
          <w:szCs w:val="21"/>
        </w:rPr>
      </w:pPr>
      <w:r w:rsidRPr="00F614F9">
        <w:rPr>
          <w:rFonts w:ascii="Times New Roman" w:hAnsi="Times New Roman" w:cs="Times New Roman" w:hint="eastAsia"/>
          <w:sz w:val="18"/>
          <w:szCs w:val="18"/>
        </w:rPr>
        <w:t>应收账款组合：</w:t>
      </w:r>
    </w:p>
    <w:tbl>
      <w:tblPr>
        <w:tblW w:w="9078" w:type="dxa"/>
        <w:tblCellMar>
          <w:top w:w="15" w:type="dxa"/>
          <w:left w:w="15" w:type="dxa"/>
          <w:bottom w:w="15" w:type="dxa"/>
          <w:right w:w="15" w:type="dxa"/>
        </w:tblCellMar>
        <w:tblLook w:val="04A0" w:firstRow="1" w:lastRow="0" w:firstColumn="1" w:lastColumn="0" w:noHBand="0" w:noVBand="1"/>
      </w:tblPr>
      <w:tblGrid>
        <w:gridCol w:w="4668"/>
        <w:gridCol w:w="4410"/>
      </w:tblGrid>
      <w:tr w:rsidR="00872599" w:rsidRPr="00F614F9" w14:paraId="558C5880" w14:textId="77777777" w:rsidTr="00BE4446">
        <w:trPr>
          <w:divId w:val="1989704714"/>
          <w:trHeight w:val="340"/>
        </w:trPr>
        <w:tc>
          <w:tcPr>
            <w:tcW w:w="25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2A174"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项目</w:t>
            </w:r>
          </w:p>
        </w:tc>
        <w:tc>
          <w:tcPr>
            <w:tcW w:w="242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28C14C"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确定组合的依据</w:t>
            </w:r>
          </w:p>
        </w:tc>
      </w:tr>
      <w:tr w:rsidR="00872599" w:rsidRPr="00F614F9" w14:paraId="439DB293" w14:textId="77777777" w:rsidTr="00BE4446">
        <w:trPr>
          <w:divId w:val="1989704714"/>
          <w:trHeight w:val="340"/>
        </w:trPr>
        <w:tc>
          <w:tcPr>
            <w:tcW w:w="257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C02D1"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应收账款组合</w:t>
            </w: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：应收合并范围内关联方款项组合</w:t>
            </w:r>
          </w:p>
        </w:tc>
        <w:tc>
          <w:tcPr>
            <w:tcW w:w="242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74B703"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合并范围内各家单位之间的往来款项</w:t>
            </w:r>
          </w:p>
        </w:tc>
      </w:tr>
      <w:tr w:rsidR="00872599" w:rsidRPr="00F614F9" w14:paraId="31A8C976" w14:textId="77777777" w:rsidTr="00BE4446">
        <w:trPr>
          <w:divId w:val="1989704714"/>
          <w:trHeight w:val="340"/>
        </w:trPr>
        <w:tc>
          <w:tcPr>
            <w:tcW w:w="257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D88BFE"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应收账款组合</w:t>
            </w: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w:t>
            </w:r>
            <w:proofErr w:type="gramStart"/>
            <w:r w:rsidRPr="00F614F9">
              <w:rPr>
                <w:rFonts w:ascii="Times New Roman" w:eastAsia="宋体" w:hAnsi="Times New Roman" w:hint="eastAsia"/>
                <w:sz w:val="18"/>
                <w:szCs w:val="18"/>
              </w:rPr>
              <w:t>账</w:t>
            </w:r>
            <w:proofErr w:type="gramEnd"/>
            <w:r w:rsidRPr="00F614F9">
              <w:rPr>
                <w:rFonts w:ascii="Times New Roman" w:eastAsia="宋体" w:hAnsi="Times New Roman" w:hint="eastAsia"/>
                <w:sz w:val="18"/>
                <w:szCs w:val="18"/>
              </w:rPr>
              <w:t>龄组合</w:t>
            </w:r>
          </w:p>
        </w:tc>
        <w:tc>
          <w:tcPr>
            <w:tcW w:w="242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7F59E6"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本组合以应收款项的账</w:t>
            </w:r>
            <w:proofErr w:type="gramStart"/>
            <w:r w:rsidRPr="00F614F9">
              <w:rPr>
                <w:rFonts w:ascii="Times New Roman" w:eastAsia="宋体" w:hAnsi="Times New Roman" w:hint="eastAsia"/>
                <w:sz w:val="18"/>
                <w:szCs w:val="18"/>
              </w:rPr>
              <w:t>龄作为</w:t>
            </w:r>
            <w:proofErr w:type="gramEnd"/>
            <w:r w:rsidRPr="00F614F9">
              <w:rPr>
                <w:rFonts w:ascii="Times New Roman" w:eastAsia="宋体" w:hAnsi="Times New Roman" w:hint="eastAsia"/>
                <w:sz w:val="18"/>
                <w:szCs w:val="18"/>
              </w:rPr>
              <w:t>信用风险特征</w:t>
            </w:r>
          </w:p>
        </w:tc>
      </w:tr>
    </w:tbl>
    <w:p w14:paraId="334585EA" w14:textId="77777777" w:rsidR="00872599" w:rsidRPr="00F614F9" w:rsidRDefault="00000000" w:rsidP="009E2AA2">
      <w:pPr>
        <w:pStyle w:val="a3"/>
        <w:spacing w:before="0" w:beforeAutospacing="0" w:after="0" w:afterAutospacing="0" w:line="276" w:lineRule="auto"/>
        <w:ind w:firstLine="360"/>
        <w:jc w:val="both"/>
        <w:divId w:val="1989704714"/>
        <w:rPr>
          <w:rFonts w:ascii="Times New Roman" w:hAnsi="Times New Roman" w:cs="Times New Roman"/>
          <w:sz w:val="21"/>
          <w:szCs w:val="21"/>
        </w:rPr>
      </w:pPr>
      <w:r w:rsidRPr="00F614F9">
        <w:rPr>
          <w:rFonts w:ascii="Times New Roman" w:hAnsi="Times New Roman" w:cs="Times New Roman" w:hint="eastAsia"/>
          <w:sz w:val="18"/>
          <w:szCs w:val="18"/>
        </w:rPr>
        <w:t>各组合预期信用损失率</w:t>
      </w:r>
    </w:p>
    <w:p w14:paraId="0D2F37E1" w14:textId="77777777" w:rsidR="00872599" w:rsidRPr="00F614F9" w:rsidRDefault="00000000" w:rsidP="009E2AA2">
      <w:pPr>
        <w:pStyle w:val="a3"/>
        <w:spacing w:before="0" w:beforeAutospacing="0" w:after="0" w:afterAutospacing="0" w:line="276" w:lineRule="auto"/>
        <w:ind w:firstLine="360"/>
        <w:jc w:val="both"/>
        <w:divId w:val="1989704714"/>
        <w:rPr>
          <w:rFonts w:ascii="Times New Roman" w:hAnsi="Times New Roman" w:cs="Times New Roman"/>
          <w:sz w:val="21"/>
          <w:szCs w:val="21"/>
        </w:rPr>
      </w:pPr>
      <w:r w:rsidRPr="00F614F9">
        <w:rPr>
          <w:rFonts w:ascii="Times New Roman" w:hAnsi="Times New Roman" w:cs="Times New Roman" w:hint="eastAsia"/>
          <w:sz w:val="18"/>
          <w:szCs w:val="18"/>
        </w:rPr>
        <w:t>应收账款组合</w:t>
      </w:r>
      <w:r w:rsidRPr="00F614F9">
        <w:rPr>
          <w:rFonts w:ascii="Times New Roman" w:hAnsi="Times New Roman" w:cs="Times New Roman" w:hint="eastAsia"/>
          <w:sz w:val="18"/>
          <w:szCs w:val="18"/>
        </w:rPr>
        <w:t>1</w:t>
      </w:r>
      <w:r w:rsidRPr="00F614F9">
        <w:rPr>
          <w:rFonts w:ascii="Times New Roman" w:hAnsi="Times New Roman" w:cs="Times New Roman" w:hint="eastAsia"/>
          <w:sz w:val="18"/>
          <w:szCs w:val="18"/>
        </w:rPr>
        <w:t>：应收合并范围内关联方款项组合：合并范围内公司的往来款，一般不计提坏账准备，除非子公司发生明显的大额亏损考虑单项计提坏账准备。</w:t>
      </w:r>
    </w:p>
    <w:p w14:paraId="677F6C5B" w14:textId="77777777" w:rsidR="00872599" w:rsidRPr="00F614F9" w:rsidRDefault="00000000" w:rsidP="009E2AA2">
      <w:pPr>
        <w:pStyle w:val="a3"/>
        <w:spacing w:before="0" w:beforeAutospacing="0" w:after="0" w:afterAutospacing="0" w:line="276" w:lineRule="auto"/>
        <w:ind w:firstLine="360"/>
        <w:jc w:val="both"/>
        <w:divId w:val="1989704714"/>
        <w:rPr>
          <w:rFonts w:ascii="Times New Roman" w:hAnsi="Times New Roman" w:cs="Times New Roman"/>
          <w:sz w:val="21"/>
          <w:szCs w:val="21"/>
        </w:rPr>
      </w:pPr>
      <w:r w:rsidRPr="00F614F9">
        <w:rPr>
          <w:rFonts w:ascii="Times New Roman" w:hAnsi="Times New Roman" w:cs="Times New Roman" w:hint="eastAsia"/>
          <w:sz w:val="18"/>
          <w:szCs w:val="18"/>
        </w:rPr>
        <w:t>应收账款组合</w:t>
      </w:r>
      <w:r w:rsidRPr="00F614F9">
        <w:rPr>
          <w:rFonts w:ascii="Times New Roman" w:hAnsi="Times New Roman" w:cs="Times New Roman" w:hint="eastAsia"/>
          <w:sz w:val="18"/>
          <w:szCs w:val="18"/>
        </w:rPr>
        <w:t>2</w:t>
      </w:r>
      <w:r w:rsidRPr="00F614F9">
        <w:rPr>
          <w:rFonts w:ascii="Times New Roman" w:hAnsi="Times New Roman" w:cs="Times New Roman" w:hint="eastAsia"/>
          <w:sz w:val="18"/>
          <w:szCs w:val="18"/>
        </w:rPr>
        <w:t>：</w:t>
      </w:r>
      <w:proofErr w:type="gramStart"/>
      <w:r w:rsidRPr="00F614F9">
        <w:rPr>
          <w:rFonts w:ascii="Times New Roman" w:hAnsi="Times New Roman" w:cs="Times New Roman" w:hint="eastAsia"/>
          <w:sz w:val="18"/>
          <w:szCs w:val="18"/>
        </w:rPr>
        <w:t>账</w:t>
      </w:r>
      <w:proofErr w:type="gramEnd"/>
      <w:r w:rsidRPr="00F614F9">
        <w:rPr>
          <w:rFonts w:ascii="Times New Roman" w:hAnsi="Times New Roman" w:cs="Times New Roman" w:hint="eastAsia"/>
          <w:sz w:val="18"/>
          <w:szCs w:val="18"/>
        </w:rPr>
        <w:t>龄组合：</w:t>
      </w:r>
    </w:p>
    <w:tbl>
      <w:tblPr>
        <w:tblW w:w="9062" w:type="dxa"/>
        <w:tblCellMar>
          <w:top w:w="15" w:type="dxa"/>
          <w:left w:w="15" w:type="dxa"/>
          <w:bottom w:w="15" w:type="dxa"/>
          <w:right w:w="15" w:type="dxa"/>
        </w:tblCellMar>
        <w:tblLook w:val="04A0" w:firstRow="1" w:lastRow="0" w:firstColumn="1" w:lastColumn="0" w:noHBand="0" w:noVBand="1"/>
      </w:tblPr>
      <w:tblGrid>
        <w:gridCol w:w="4669"/>
        <w:gridCol w:w="4393"/>
      </w:tblGrid>
      <w:tr w:rsidR="00872599" w:rsidRPr="00F614F9" w14:paraId="454BE34D" w14:textId="77777777" w:rsidTr="00BE4446">
        <w:trPr>
          <w:divId w:val="1989704714"/>
          <w:trHeight w:val="340"/>
        </w:trPr>
        <w:tc>
          <w:tcPr>
            <w:tcW w:w="25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6CD30D"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账龄</w:t>
            </w:r>
          </w:p>
        </w:tc>
        <w:tc>
          <w:tcPr>
            <w:tcW w:w="242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E95417"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预期信用损失率（</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w:t>
            </w:r>
          </w:p>
        </w:tc>
      </w:tr>
      <w:tr w:rsidR="00872599" w:rsidRPr="00F614F9" w14:paraId="25894049" w14:textId="77777777" w:rsidTr="00BE4446">
        <w:trPr>
          <w:divId w:val="1989704714"/>
          <w:trHeight w:val="340"/>
        </w:trPr>
        <w:tc>
          <w:tcPr>
            <w:tcW w:w="257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5BDEDD"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1-3</w:t>
            </w:r>
            <w:r w:rsidRPr="00F614F9">
              <w:rPr>
                <w:rFonts w:ascii="Times New Roman" w:eastAsia="宋体" w:hAnsi="Times New Roman" w:hint="eastAsia"/>
                <w:sz w:val="18"/>
                <w:szCs w:val="18"/>
              </w:rPr>
              <w:t>个月</w:t>
            </w:r>
          </w:p>
        </w:tc>
        <w:tc>
          <w:tcPr>
            <w:tcW w:w="242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816840" w14:textId="77777777" w:rsidR="00872599" w:rsidRPr="00F614F9" w:rsidRDefault="00000000" w:rsidP="00BE4446">
            <w:pPr>
              <w:jc w:val="center"/>
              <w:rPr>
                <w:rFonts w:ascii="Times New Roman" w:eastAsia="宋体" w:hAnsi="Times New Roman"/>
                <w:sz w:val="18"/>
                <w:szCs w:val="18"/>
              </w:rPr>
            </w:pPr>
            <w:r w:rsidRPr="00F614F9">
              <w:rPr>
                <w:rFonts w:ascii="Times New Roman" w:eastAsia="宋体" w:hAnsi="Times New Roman" w:hint="eastAsia"/>
                <w:sz w:val="18"/>
                <w:szCs w:val="18"/>
              </w:rPr>
              <w:t>2.25%</w:t>
            </w:r>
          </w:p>
        </w:tc>
      </w:tr>
      <w:tr w:rsidR="00872599" w:rsidRPr="00F614F9" w14:paraId="25086484" w14:textId="77777777" w:rsidTr="00BE4446">
        <w:trPr>
          <w:divId w:val="1989704714"/>
          <w:trHeight w:val="340"/>
        </w:trPr>
        <w:tc>
          <w:tcPr>
            <w:tcW w:w="257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73EC9D"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4-6</w:t>
            </w:r>
            <w:r w:rsidRPr="00F614F9">
              <w:rPr>
                <w:rFonts w:ascii="Times New Roman" w:eastAsia="宋体" w:hAnsi="Times New Roman" w:hint="eastAsia"/>
                <w:sz w:val="18"/>
                <w:szCs w:val="18"/>
              </w:rPr>
              <w:t>个月</w:t>
            </w:r>
          </w:p>
        </w:tc>
        <w:tc>
          <w:tcPr>
            <w:tcW w:w="2424" w:type="pct"/>
            <w:tcBorders>
              <w:top w:val="nil"/>
              <w:left w:val="nil"/>
              <w:bottom w:val="single" w:sz="8" w:space="0" w:color="auto"/>
              <w:right w:val="single" w:sz="8" w:space="0" w:color="auto"/>
            </w:tcBorders>
            <w:noWrap/>
            <w:tcMar>
              <w:top w:w="0" w:type="dxa"/>
              <w:left w:w="108" w:type="dxa"/>
              <w:bottom w:w="0" w:type="dxa"/>
              <w:right w:w="108" w:type="dxa"/>
            </w:tcMar>
            <w:hideMark/>
          </w:tcPr>
          <w:p w14:paraId="03491071" w14:textId="77777777" w:rsidR="00872599" w:rsidRPr="00F614F9" w:rsidRDefault="00000000" w:rsidP="00BE4446">
            <w:pPr>
              <w:jc w:val="center"/>
              <w:rPr>
                <w:rFonts w:ascii="Times New Roman" w:eastAsia="宋体" w:hAnsi="Times New Roman"/>
                <w:sz w:val="18"/>
                <w:szCs w:val="18"/>
              </w:rPr>
            </w:pPr>
            <w:r w:rsidRPr="00F614F9">
              <w:rPr>
                <w:rFonts w:ascii="Times New Roman" w:eastAsia="宋体" w:hAnsi="Times New Roman" w:hint="eastAsia"/>
                <w:sz w:val="18"/>
                <w:szCs w:val="18"/>
              </w:rPr>
              <w:t>2.25%</w:t>
            </w:r>
          </w:p>
        </w:tc>
      </w:tr>
      <w:tr w:rsidR="00872599" w:rsidRPr="00F614F9" w14:paraId="7CC9D29D" w14:textId="77777777" w:rsidTr="00BE4446">
        <w:trPr>
          <w:divId w:val="1989704714"/>
          <w:trHeight w:val="340"/>
        </w:trPr>
        <w:tc>
          <w:tcPr>
            <w:tcW w:w="257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04EEE7"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lastRenderedPageBreak/>
              <w:t>7-9</w:t>
            </w:r>
            <w:r w:rsidRPr="00F614F9">
              <w:rPr>
                <w:rFonts w:ascii="Times New Roman" w:eastAsia="宋体" w:hAnsi="Times New Roman" w:hint="eastAsia"/>
                <w:sz w:val="18"/>
                <w:szCs w:val="18"/>
              </w:rPr>
              <w:t>个月</w:t>
            </w:r>
          </w:p>
        </w:tc>
        <w:tc>
          <w:tcPr>
            <w:tcW w:w="2424" w:type="pct"/>
            <w:tcBorders>
              <w:top w:val="nil"/>
              <w:left w:val="nil"/>
              <w:bottom w:val="single" w:sz="8" w:space="0" w:color="auto"/>
              <w:right w:val="single" w:sz="8" w:space="0" w:color="auto"/>
            </w:tcBorders>
            <w:noWrap/>
            <w:tcMar>
              <w:top w:w="0" w:type="dxa"/>
              <w:left w:w="108" w:type="dxa"/>
              <w:bottom w:w="0" w:type="dxa"/>
              <w:right w:w="108" w:type="dxa"/>
            </w:tcMar>
            <w:hideMark/>
          </w:tcPr>
          <w:p w14:paraId="2E4DE152" w14:textId="77777777" w:rsidR="00872599" w:rsidRPr="00F614F9" w:rsidRDefault="00000000" w:rsidP="00BE4446">
            <w:pPr>
              <w:jc w:val="center"/>
              <w:rPr>
                <w:rFonts w:ascii="Times New Roman" w:eastAsia="宋体" w:hAnsi="Times New Roman"/>
                <w:sz w:val="18"/>
                <w:szCs w:val="18"/>
              </w:rPr>
            </w:pPr>
            <w:r w:rsidRPr="00F614F9">
              <w:rPr>
                <w:rFonts w:ascii="Times New Roman" w:eastAsia="宋体" w:hAnsi="Times New Roman" w:hint="eastAsia"/>
                <w:sz w:val="18"/>
                <w:szCs w:val="18"/>
              </w:rPr>
              <w:t>2.25%</w:t>
            </w:r>
          </w:p>
        </w:tc>
      </w:tr>
      <w:tr w:rsidR="00872599" w:rsidRPr="00F614F9" w14:paraId="4593B0B3" w14:textId="77777777" w:rsidTr="00BE4446">
        <w:trPr>
          <w:divId w:val="1989704714"/>
          <w:trHeight w:val="340"/>
        </w:trPr>
        <w:tc>
          <w:tcPr>
            <w:tcW w:w="257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A1CA58"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10-12</w:t>
            </w:r>
            <w:r w:rsidRPr="00F614F9">
              <w:rPr>
                <w:rFonts w:ascii="Times New Roman" w:eastAsia="宋体" w:hAnsi="Times New Roman" w:hint="eastAsia"/>
                <w:sz w:val="18"/>
                <w:szCs w:val="18"/>
              </w:rPr>
              <w:t>个月</w:t>
            </w:r>
          </w:p>
        </w:tc>
        <w:tc>
          <w:tcPr>
            <w:tcW w:w="2424" w:type="pct"/>
            <w:tcBorders>
              <w:top w:val="nil"/>
              <w:left w:val="nil"/>
              <w:bottom w:val="single" w:sz="8" w:space="0" w:color="auto"/>
              <w:right w:val="single" w:sz="8" w:space="0" w:color="auto"/>
            </w:tcBorders>
            <w:noWrap/>
            <w:tcMar>
              <w:top w:w="0" w:type="dxa"/>
              <w:left w:w="108" w:type="dxa"/>
              <w:bottom w:w="0" w:type="dxa"/>
              <w:right w:w="108" w:type="dxa"/>
            </w:tcMar>
            <w:hideMark/>
          </w:tcPr>
          <w:p w14:paraId="0ADC6ECF" w14:textId="77777777" w:rsidR="00872599" w:rsidRPr="00F614F9" w:rsidRDefault="00000000" w:rsidP="00BE4446">
            <w:pPr>
              <w:jc w:val="center"/>
              <w:rPr>
                <w:rFonts w:ascii="Times New Roman" w:eastAsia="宋体" w:hAnsi="Times New Roman"/>
                <w:sz w:val="18"/>
                <w:szCs w:val="18"/>
              </w:rPr>
            </w:pPr>
            <w:r w:rsidRPr="00F614F9">
              <w:rPr>
                <w:rFonts w:ascii="Times New Roman" w:eastAsia="宋体" w:hAnsi="Times New Roman" w:hint="eastAsia"/>
                <w:sz w:val="18"/>
                <w:szCs w:val="18"/>
              </w:rPr>
              <w:t>2.25%</w:t>
            </w:r>
          </w:p>
        </w:tc>
      </w:tr>
      <w:tr w:rsidR="00872599" w:rsidRPr="00F614F9" w14:paraId="002A4275" w14:textId="77777777" w:rsidTr="00BE4446">
        <w:trPr>
          <w:divId w:val="1989704714"/>
          <w:trHeight w:val="340"/>
        </w:trPr>
        <w:tc>
          <w:tcPr>
            <w:tcW w:w="257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DEE9107"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1-2</w:t>
            </w:r>
            <w:r w:rsidRPr="00F614F9">
              <w:rPr>
                <w:rFonts w:ascii="Times New Roman" w:eastAsia="宋体" w:hAnsi="Times New Roman" w:hint="eastAsia"/>
                <w:sz w:val="18"/>
                <w:szCs w:val="18"/>
              </w:rPr>
              <w:t>年</w:t>
            </w:r>
          </w:p>
        </w:tc>
        <w:tc>
          <w:tcPr>
            <w:tcW w:w="242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3E96C1" w14:textId="77777777" w:rsidR="00872599" w:rsidRPr="00F614F9" w:rsidRDefault="00000000" w:rsidP="00BE4446">
            <w:pPr>
              <w:jc w:val="center"/>
              <w:rPr>
                <w:rFonts w:ascii="Times New Roman" w:eastAsia="宋体" w:hAnsi="Times New Roman"/>
                <w:sz w:val="18"/>
                <w:szCs w:val="18"/>
              </w:rPr>
            </w:pPr>
            <w:r w:rsidRPr="00F614F9">
              <w:rPr>
                <w:rFonts w:ascii="Times New Roman" w:eastAsia="宋体" w:hAnsi="Times New Roman" w:hint="eastAsia"/>
                <w:sz w:val="18"/>
                <w:szCs w:val="18"/>
              </w:rPr>
              <w:t>25%</w:t>
            </w:r>
          </w:p>
        </w:tc>
      </w:tr>
      <w:tr w:rsidR="00872599" w:rsidRPr="00F614F9" w14:paraId="0C3CF9C6" w14:textId="77777777" w:rsidTr="00BE4446">
        <w:trPr>
          <w:divId w:val="1989704714"/>
          <w:trHeight w:val="340"/>
        </w:trPr>
        <w:tc>
          <w:tcPr>
            <w:tcW w:w="257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443BE5"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2-3</w:t>
            </w:r>
            <w:r w:rsidRPr="00F614F9">
              <w:rPr>
                <w:rFonts w:ascii="Times New Roman" w:eastAsia="宋体" w:hAnsi="Times New Roman" w:hint="eastAsia"/>
                <w:sz w:val="18"/>
                <w:szCs w:val="18"/>
              </w:rPr>
              <w:t>年</w:t>
            </w:r>
          </w:p>
        </w:tc>
        <w:tc>
          <w:tcPr>
            <w:tcW w:w="242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BAC5A5" w14:textId="77777777" w:rsidR="00872599" w:rsidRPr="00F614F9" w:rsidRDefault="00000000" w:rsidP="00BE4446">
            <w:pPr>
              <w:jc w:val="center"/>
              <w:rPr>
                <w:rFonts w:ascii="Times New Roman" w:eastAsia="宋体" w:hAnsi="Times New Roman"/>
                <w:sz w:val="18"/>
                <w:szCs w:val="18"/>
              </w:rPr>
            </w:pPr>
            <w:r w:rsidRPr="00F614F9">
              <w:rPr>
                <w:rFonts w:ascii="Times New Roman" w:eastAsia="宋体" w:hAnsi="Times New Roman" w:hint="eastAsia"/>
                <w:sz w:val="18"/>
                <w:szCs w:val="18"/>
              </w:rPr>
              <w:t>50%</w:t>
            </w:r>
          </w:p>
        </w:tc>
      </w:tr>
      <w:tr w:rsidR="00872599" w:rsidRPr="00F614F9" w14:paraId="23D75F1F" w14:textId="77777777" w:rsidTr="00BE4446">
        <w:trPr>
          <w:divId w:val="1989704714"/>
          <w:trHeight w:val="340"/>
        </w:trPr>
        <w:tc>
          <w:tcPr>
            <w:tcW w:w="257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46E890"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3</w:t>
            </w:r>
            <w:r w:rsidRPr="00F614F9">
              <w:rPr>
                <w:rFonts w:ascii="Times New Roman" w:eastAsia="宋体" w:hAnsi="Times New Roman" w:hint="eastAsia"/>
                <w:sz w:val="18"/>
                <w:szCs w:val="18"/>
              </w:rPr>
              <w:t>年以上</w:t>
            </w:r>
          </w:p>
        </w:tc>
        <w:tc>
          <w:tcPr>
            <w:tcW w:w="242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54A8AA" w14:textId="77777777" w:rsidR="00872599" w:rsidRPr="00F614F9" w:rsidRDefault="00000000" w:rsidP="00BE4446">
            <w:pPr>
              <w:jc w:val="center"/>
              <w:rPr>
                <w:rFonts w:ascii="Times New Roman" w:eastAsia="宋体" w:hAnsi="Times New Roman"/>
                <w:sz w:val="18"/>
                <w:szCs w:val="18"/>
              </w:rPr>
            </w:pPr>
            <w:r w:rsidRPr="00F614F9">
              <w:rPr>
                <w:rFonts w:ascii="Times New Roman" w:eastAsia="宋体" w:hAnsi="Times New Roman" w:hint="eastAsia"/>
                <w:sz w:val="18"/>
                <w:szCs w:val="18"/>
              </w:rPr>
              <w:t>80%</w:t>
            </w:r>
          </w:p>
        </w:tc>
      </w:tr>
    </w:tbl>
    <w:p w14:paraId="1868E82E" w14:textId="77777777" w:rsidR="001D26E7" w:rsidRPr="00F614F9" w:rsidRDefault="00000000">
      <w:pPr>
        <w:pStyle w:val="3"/>
        <w:spacing w:line="280" w:lineRule="exact"/>
        <w:jc w:val="left"/>
        <w:rPr>
          <w:rFonts w:ascii="Times New Roman" w:hAnsi="Times New Roman" w:cs="宋体"/>
          <w:b/>
          <w:bCs/>
        </w:rPr>
      </w:pPr>
      <w:bookmarkStart w:id="265" w:name="_Toc989080"/>
      <w:r w:rsidRPr="00F614F9">
        <w:rPr>
          <w:rFonts w:ascii="Times New Roman" w:hAnsi="Times New Roman" w:cs="宋体"/>
          <w:b/>
          <w:bCs/>
        </w:rPr>
        <w:t>14</w:t>
      </w:r>
      <w:r w:rsidRPr="00F614F9">
        <w:rPr>
          <w:rFonts w:ascii="Times New Roman" w:hAnsi="Times New Roman" w:cs="宋体"/>
          <w:b/>
          <w:bCs/>
        </w:rPr>
        <w:t>、应收款项融资</w:t>
      </w:r>
      <w:bookmarkEnd w:id="265"/>
    </w:p>
    <w:p w14:paraId="0B9FDDDE" w14:textId="77777777" w:rsidR="00872599" w:rsidRPr="00F614F9" w:rsidRDefault="00000000" w:rsidP="009E2AA2">
      <w:pPr>
        <w:pStyle w:val="a3"/>
        <w:spacing w:before="0" w:beforeAutospacing="0" w:after="0" w:afterAutospacing="0" w:line="276" w:lineRule="auto"/>
        <w:ind w:firstLine="360"/>
        <w:divId w:val="735326689"/>
        <w:rPr>
          <w:rFonts w:ascii="Times New Roman" w:hAnsi="Times New Roman" w:cs="Times New Roman"/>
          <w:sz w:val="21"/>
          <w:szCs w:val="21"/>
        </w:rPr>
      </w:pPr>
      <w:r w:rsidRPr="00F614F9">
        <w:rPr>
          <w:rFonts w:ascii="Times New Roman" w:hAnsi="Times New Roman" w:cs="Times New Roman" w:hint="eastAsia"/>
          <w:sz w:val="18"/>
          <w:szCs w:val="18"/>
        </w:rPr>
        <w:t>分类为以公允价值计量且其变动计入其他综合收益的应收票据和应收账款，自初始确认日起到期期限在一年内（含一年）的，列示为应收款项融资；自初始确认日起到期期限在一年以上的，列示为其他债权投资。其相关会计政策参见本附注五、</w:t>
      </w:r>
      <w:r w:rsidRPr="00F614F9">
        <w:rPr>
          <w:rFonts w:ascii="Times New Roman" w:hAnsi="Times New Roman" w:cs="Times New Roman" w:hint="eastAsia"/>
          <w:sz w:val="18"/>
          <w:szCs w:val="18"/>
        </w:rPr>
        <w:t>11</w:t>
      </w:r>
      <w:r w:rsidRPr="00F614F9">
        <w:rPr>
          <w:rFonts w:ascii="Times New Roman" w:hAnsi="Times New Roman" w:cs="Times New Roman" w:hint="eastAsia"/>
          <w:sz w:val="18"/>
          <w:szCs w:val="18"/>
        </w:rPr>
        <w:t>“金融工具”。</w:t>
      </w:r>
    </w:p>
    <w:p w14:paraId="0F0F471F" w14:textId="77777777" w:rsidR="001D26E7" w:rsidRPr="00F614F9" w:rsidRDefault="00000000">
      <w:pPr>
        <w:pStyle w:val="3"/>
        <w:spacing w:line="280" w:lineRule="exact"/>
        <w:jc w:val="left"/>
        <w:rPr>
          <w:rFonts w:ascii="Times New Roman" w:hAnsi="Times New Roman" w:cs="宋体"/>
          <w:b/>
          <w:bCs/>
        </w:rPr>
      </w:pPr>
      <w:bookmarkStart w:id="266" w:name="_Toc989081"/>
      <w:r w:rsidRPr="00F614F9">
        <w:rPr>
          <w:rFonts w:ascii="Times New Roman" w:hAnsi="Times New Roman" w:cs="宋体"/>
          <w:b/>
          <w:bCs/>
        </w:rPr>
        <w:t>15</w:t>
      </w:r>
      <w:r w:rsidRPr="00F614F9">
        <w:rPr>
          <w:rFonts w:ascii="Times New Roman" w:hAnsi="Times New Roman" w:cs="宋体"/>
          <w:b/>
          <w:bCs/>
        </w:rPr>
        <w:t>、其他应收款</w:t>
      </w:r>
      <w:bookmarkEnd w:id="266"/>
    </w:p>
    <w:p w14:paraId="58282FF3" w14:textId="77777777" w:rsidR="00872599" w:rsidRPr="00F614F9" w:rsidRDefault="00000000" w:rsidP="009E2AA2">
      <w:pPr>
        <w:pStyle w:val="a3"/>
        <w:spacing w:before="0" w:beforeAutospacing="0" w:after="0" w:afterAutospacing="0" w:line="276" w:lineRule="auto"/>
        <w:ind w:firstLine="360"/>
        <w:divId w:val="1572348816"/>
        <w:rPr>
          <w:rFonts w:ascii="Times New Roman" w:hAnsi="Times New Roman" w:cs="Times New Roman"/>
          <w:sz w:val="21"/>
          <w:szCs w:val="21"/>
        </w:rPr>
      </w:pPr>
      <w:r w:rsidRPr="00F614F9">
        <w:rPr>
          <w:rFonts w:ascii="Times New Roman" w:hAnsi="Times New Roman" w:cs="Times New Roman" w:hint="eastAsia"/>
          <w:sz w:val="18"/>
          <w:szCs w:val="18"/>
        </w:rPr>
        <w:t>按照附注五、</w:t>
      </w:r>
      <w:r w:rsidRPr="00F614F9">
        <w:rPr>
          <w:rFonts w:ascii="Times New Roman" w:hAnsi="Times New Roman" w:cs="Times New Roman" w:hint="eastAsia"/>
          <w:sz w:val="18"/>
          <w:szCs w:val="18"/>
        </w:rPr>
        <w:t>11</w:t>
      </w:r>
      <w:r w:rsidRPr="00F614F9">
        <w:rPr>
          <w:rFonts w:ascii="Times New Roman" w:hAnsi="Times New Roman" w:cs="Times New Roman" w:hint="eastAsia"/>
          <w:sz w:val="18"/>
          <w:szCs w:val="18"/>
        </w:rPr>
        <w:t>、（</w:t>
      </w:r>
      <w:r w:rsidRPr="00F614F9">
        <w:rPr>
          <w:rFonts w:ascii="Times New Roman" w:hAnsi="Times New Roman" w:cs="Times New Roman" w:hint="eastAsia"/>
          <w:sz w:val="18"/>
          <w:szCs w:val="18"/>
        </w:rPr>
        <w:t>2</w:t>
      </w:r>
      <w:r w:rsidRPr="00F614F9">
        <w:rPr>
          <w:rFonts w:ascii="Times New Roman" w:hAnsi="Times New Roman" w:cs="Times New Roman" w:hint="eastAsia"/>
          <w:sz w:val="18"/>
          <w:szCs w:val="18"/>
        </w:rPr>
        <w:t>）减值准备的确认和计量中的描述确认和计量减值。当单项其他应收款无法以合理成本评估预期信用损失的信息时，本公司依据信用风险特征将其他应收款划分为若干组合，在组合基础上计算预期信用损失。</w:t>
      </w:r>
      <w:proofErr w:type="gramStart"/>
      <w:r w:rsidRPr="00F614F9">
        <w:rPr>
          <w:rFonts w:ascii="Times New Roman" w:hAnsi="Times New Roman" w:cs="Times New Roman" w:hint="eastAsia"/>
          <w:sz w:val="18"/>
          <w:szCs w:val="18"/>
        </w:rPr>
        <w:t>对于按账龄</w:t>
      </w:r>
      <w:proofErr w:type="gramEnd"/>
      <w:r w:rsidRPr="00F614F9">
        <w:rPr>
          <w:rFonts w:ascii="Times New Roman" w:hAnsi="Times New Roman" w:cs="Times New Roman" w:hint="eastAsia"/>
          <w:sz w:val="18"/>
          <w:szCs w:val="18"/>
        </w:rPr>
        <w:t>划分组合的其他应收款，账</w:t>
      </w:r>
      <w:proofErr w:type="gramStart"/>
      <w:r w:rsidRPr="00F614F9">
        <w:rPr>
          <w:rFonts w:ascii="Times New Roman" w:hAnsi="Times New Roman" w:cs="Times New Roman" w:hint="eastAsia"/>
          <w:sz w:val="18"/>
          <w:szCs w:val="18"/>
        </w:rPr>
        <w:t>龄自确认</w:t>
      </w:r>
      <w:proofErr w:type="gramEnd"/>
      <w:r w:rsidRPr="00F614F9">
        <w:rPr>
          <w:rFonts w:ascii="Times New Roman" w:hAnsi="Times New Roman" w:cs="Times New Roman" w:hint="eastAsia"/>
          <w:sz w:val="18"/>
          <w:szCs w:val="18"/>
        </w:rPr>
        <w:t>之日起计算。确定组合的依据如下：</w:t>
      </w:r>
    </w:p>
    <w:tbl>
      <w:tblPr>
        <w:tblW w:w="5000" w:type="pct"/>
        <w:tblCellMar>
          <w:top w:w="15" w:type="dxa"/>
          <w:left w:w="15" w:type="dxa"/>
          <w:bottom w:w="15" w:type="dxa"/>
          <w:right w:w="15" w:type="dxa"/>
        </w:tblCellMar>
        <w:tblLook w:val="04A0" w:firstRow="1" w:lastRow="0" w:firstColumn="1" w:lastColumn="0" w:noHBand="0" w:noVBand="1"/>
      </w:tblPr>
      <w:tblGrid>
        <w:gridCol w:w="2368"/>
        <w:gridCol w:w="7249"/>
      </w:tblGrid>
      <w:tr w:rsidR="00872599" w:rsidRPr="00F614F9" w14:paraId="553FA757" w14:textId="77777777">
        <w:trPr>
          <w:divId w:val="1572348816"/>
          <w:trHeight w:val="378"/>
        </w:trPr>
        <w:tc>
          <w:tcPr>
            <w:tcW w:w="9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C46641"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项目</w:t>
            </w:r>
          </w:p>
        </w:tc>
        <w:tc>
          <w:tcPr>
            <w:tcW w:w="409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939172"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确定组合的依据</w:t>
            </w:r>
          </w:p>
        </w:tc>
      </w:tr>
      <w:tr w:rsidR="00872599" w:rsidRPr="00F614F9" w14:paraId="702F6EE0" w14:textId="77777777">
        <w:trPr>
          <w:divId w:val="1572348816"/>
          <w:trHeight w:val="300"/>
        </w:trPr>
        <w:tc>
          <w:tcPr>
            <w:tcW w:w="90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03A826"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组合</w:t>
            </w: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：应收合并范围内关联方款项组合</w:t>
            </w:r>
          </w:p>
        </w:tc>
        <w:tc>
          <w:tcPr>
            <w:tcW w:w="409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5670BA"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合并范围内各家单位之间的往来款项</w:t>
            </w:r>
          </w:p>
        </w:tc>
      </w:tr>
      <w:tr w:rsidR="00872599" w:rsidRPr="00F614F9" w14:paraId="5636703F" w14:textId="77777777">
        <w:trPr>
          <w:divId w:val="1572348816"/>
          <w:trHeight w:val="300"/>
        </w:trPr>
        <w:tc>
          <w:tcPr>
            <w:tcW w:w="90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BD8960"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组合</w:t>
            </w: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w:t>
            </w:r>
            <w:proofErr w:type="gramStart"/>
            <w:r w:rsidRPr="00F614F9">
              <w:rPr>
                <w:rFonts w:ascii="Times New Roman" w:eastAsia="宋体" w:hAnsi="Times New Roman" w:hint="eastAsia"/>
                <w:sz w:val="18"/>
                <w:szCs w:val="18"/>
              </w:rPr>
              <w:t>账</w:t>
            </w:r>
            <w:proofErr w:type="gramEnd"/>
            <w:r w:rsidRPr="00F614F9">
              <w:rPr>
                <w:rFonts w:ascii="Times New Roman" w:eastAsia="宋体" w:hAnsi="Times New Roman" w:hint="eastAsia"/>
                <w:sz w:val="18"/>
                <w:szCs w:val="18"/>
              </w:rPr>
              <w:t>龄组合</w:t>
            </w:r>
          </w:p>
        </w:tc>
        <w:tc>
          <w:tcPr>
            <w:tcW w:w="409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4C0769"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除上述组合外的其他组合，本组合以其他应收款的账</w:t>
            </w:r>
            <w:proofErr w:type="gramStart"/>
            <w:r w:rsidRPr="00F614F9">
              <w:rPr>
                <w:rFonts w:ascii="Times New Roman" w:eastAsia="宋体" w:hAnsi="Times New Roman" w:hint="eastAsia"/>
                <w:sz w:val="18"/>
                <w:szCs w:val="18"/>
              </w:rPr>
              <w:t>龄作为</w:t>
            </w:r>
            <w:proofErr w:type="gramEnd"/>
            <w:r w:rsidRPr="00F614F9">
              <w:rPr>
                <w:rFonts w:ascii="Times New Roman" w:eastAsia="宋体" w:hAnsi="Times New Roman" w:hint="eastAsia"/>
                <w:sz w:val="18"/>
                <w:szCs w:val="18"/>
              </w:rPr>
              <w:t>信用风险特征。</w:t>
            </w:r>
          </w:p>
          <w:p w14:paraId="4FC51153"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公司根据</w:t>
            </w:r>
            <w:proofErr w:type="gramStart"/>
            <w:r w:rsidRPr="00F614F9">
              <w:rPr>
                <w:rFonts w:ascii="Times New Roman" w:eastAsia="宋体" w:hAnsi="Times New Roman" w:hint="eastAsia"/>
                <w:sz w:val="18"/>
                <w:szCs w:val="18"/>
              </w:rPr>
              <w:t>账龄段划分</w:t>
            </w:r>
            <w:proofErr w:type="gramEnd"/>
            <w:r w:rsidRPr="00F614F9">
              <w:rPr>
                <w:rFonts w:ascii="Times New Roman" w:eastAsia="宋体" w:hAnsi="Times New Roman" w:hint="eastAsia"/>
                <w:sz w:val="18"/>
                <w:szCs w:val="18"/>
              </w:rPr>
              <w:t>的具有类似信用风险特征的其他应收款组合的预期损失率为基础，结合现时情况分析法确定坏账准备计提的比例</w:t>
            </w:r>
          </w:p>
        </w:tc>
      </w:tr>
    </w:tbl>
    <w:p w14:paraId="017D0B97" w14:textId="77777777" w:rsidR="00872599" w:rsidRPr="00F614F9" w:rsidRDefault="00000000" w:rsidP="009E2AA2">
      <w:pPr>
        <w:spacing w:line="276" w:lineRule="auto"/>
        <w:ind w:firstLineChars="200" w:firstLine="360"/>
        <w:divId w:val="1572348816"/>
        <w:rPr>
          <w:rFonts w:ascii="Times New Roman" w:eastAsia="宋体" w:hAnsi="Times New Roman"/>
          <w:sz w:val="18"/>
          <w:szCs w:val="18"/>
        </w:rPr>
      </w:pPr>
      <w:r w:rsidRPr="00F614F9">
        <w:rPr>
          <w:rFonts w:ascii="Times New Roman" w:eastAsia="宋体" w:hAnsi="Times New Roman" w:hint="eastAsia"/>
          <w:sz w:val="18"/>
          <w:szCs w:val="18"/>
        </w:rPr>
        <w:t>各组合预期信用损失率：</w:t>
      </w:r>
    </w:p>
    <w:p w14:paraId="35324625" w14:textId="77777777" w:rsidR="00872599" w:rsidRPr="00F614F9" w:rsidRDefault="00000000" w:rsidP="009E2AA2">
      <w:pPr>
        <w:spacing w:line="276" w:lineRule="auto"/>
        <w:ind w:firstLineChars="200" w:firstLine="360"/>
        <w:divId w:val="1572348816"/>
        <w:rPr>
          <w:rFonts w:ascii="Times New Roman" w:eastAsia="宋体" w:hAnsi="Times New Roman"/>
          <w:sz w:val="18"/>
          <w:szCs w:val="18"/>
        </w:rPr>
      </w:pPr>
      <w:r w:rsidRPr="00F614F9">
        <w:rPr>
          <w:rFonts w:ascii="Times New Roman" w:eastAsia="宋体" w:hAnsi="Times New Roman" w:hint="eastAsia"/>
          <w:sz w:val="18"/>
          <w:szCs w:val="18"/>
        </w:rPr>
        <w:t>其他应收款组合</w:t>
      </w: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：应收合并范围内关联方款项组合：合并范围内公司的往来款，一般不计提坏账准备，除非子公司发生明显的大额亏损考虑单项计提坏账准备。</w:t>
      </w:r>
    </w:p>
    <w:p w14:paraId="64B9CC50" w14:textId="77777777" w:rsidR="00872599" w:rsidRPr="00F614F9" w:rsidRDefault="00000000" w:rsidP="009E2AA2">
      <w:pPr>
        <w:spacing w:line="276" w:lineRule="auto"/>
        <w:ind w:firstLineChars="200" w:firstLine="360"/>
        <w:divId w:val="1572348816"/>
        <w:rPr>
          <w:rFonts w:ascii="Times New Roman" w:eastAsia="宋体" w:hAnsi="Times New Roman"/>
          <w:sz w:val="18"/>
          <w:szCs w:val="18"/>
        </w:rPr>
      </w:pPr>
      <w:r w:rsidRPr="00F614F9">
        <w:rPr>
          <w:rFonts w:ascii="Times New Roman" w:eastAsia="宋体" w:hAnsi="Times New Roman" w:hint="eastAsia"/>
          <w:sz w:val="18"/>
          <w:szCs w:val="18"/>
        </w:rPr>
        <w:t>其他应收款组合</w:t>
      </w: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w:t>
      </w:r>
      <w:proofErr w:type="gramStart"/>
      <w:r w:rsidRPr="00F614F9">
        <w:rPr>
          <w:rFonts w:ascii="Times New Roman" w:eastAsia="宋体" w:hAnsi="Times New Roman" w:hint="eastAsia"/>
          <w:sz w:val="18"/>
          <w:szCs w:val="18"/>
        </w:rPr>
        <w:t>账</w:t>
      </w:r>
      <w:proofErr w:type="gramEnd"/>
      <w:r w:rsidRPr="00F614F9">
        <w:rPr>
          <w:rFonts w:ascii="Times New Roman" w:eastAsia="宋体" w:hAnsi="Times New Roman" w:hint="eastAsia"/>
          <w:sz w:val="18"/>
          <w:szCs w:val="18"/>
        </w:rPr>
        <w:t>龄组合：</w:t>
      </w:r>
    </w:p>
    <w:tbl>
      <w:tblPr>
        <w:tblW w:w="9570" w:type="dxa"/>
        <w:tblCellMar>
          <w:top w:w="15" w:type="dxa"/>
          <w:left w:w="15" w:type="dxa"/>
          <w:bottom w:w="15" w:type="dxa"/>
          <w:right w:w="15" w:type="dxa"/>
        </w:tblCellMar>
        <w:tblLook w:val="04A0" w:firstRow="1" w:lastRow="0" w:firstColumn="1" w:lastColumn="0" w:noHBand="0" w:noVBand="1"/>
      </w:tblPr>
      <w:tblGrid>
        <w:gridCol w:w="4976"/>
        <w:gridCol w:w="4594"/>
      </w:tblGrid>
      <w:tr w:rsidR="00872599" w:rsidRPr="00F614F9" w14:paraId="6BB7674D" w14:textId="77777777">
        <w:trPr>
          <w:divId w:val="1572348816"/>
          <w:trHeight w:val="340"/>
        </w:trPr>
        <w:tc>
          <w:tcPr>
            <w:tcW w:w="2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DFFA5B"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账龄</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945CC3"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预期信用损失率（</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w:t>
            </w:r>
          </w:p>
        </w:tc>
      </w:tr>
      <w:tr w:rsidR="00872599" w:rsidRPr="00F614F9" w14:paraId="5828A58D" w14:textId="77777777">
        <w:trPr>
          <w:divId w:val="1572348816"/>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02D33B"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1-3</w:t>
            </w:r>
            <w:r w:rsidRPr="00F614F9">
              <w:rPr>
                <w:rFonts w:ascii="Times New Roman" w:eastAsia="宋体" w:hAnsi="Times New Roman" w:hint="eastAsia"/>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hideMark/>
          </w:tcPr>
          <w:p w14:paraId="656E6BC1" w14:textId="77777777" w:rsidR="00872599" w:rsidRPr="00F614F9" w:rsidRDefault="00000000" w:rsidP="00BE4446">
            <w:pPr>
              <w:jc w:val="center"/>
              <w:rPr>
                <w:rFonts w:ascii="Times New Roman" w:eastAsia="宋体" w:hAnsi="Times New Roman"/>
                <w:sz w:val="18"/>
                <w:szCs w:val="18"/>
              </w:rPr>
            </w:pPr>
            <w:r w:rsidRPr="00F614F9">
              <w:rPr>
                <w:rFonts w:ascii="Times New Roman" w:eastAsia="宋体" w:hAnsi="Times New Roman" w:hint="eastAsia"/>
                <w:sz w:val="18"/>
                <w:szCs w:val="18"/>
              </w:rPr>
              <w:t>1.23</w:t>
            </w:r>
          </w:p>
        </w:tc>
      </w:tr>
      <w:tr w:rsidR="00872599" w:rsidRPr="00F614F9" w14:paraId="4F5595FD" w14:textId="77777777">
        <w:trPr>
          <w:divId w:val="1572348816"/>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63F548"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4-6</w:t>
            </w:r>
            <w:r w:rsidRPr="00F614F9">
              <w:rPr>
                <w:rFonts w:ascii="Times New Roman" w:eastAsia="宋体" w:hAnsi="Times New Roman" w:hint="eastAsia"/>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hideMark/>
          </w:tcPr>
          <w:p w14:paraId="57C58393" w14:textId="77777777" w:rsidR="00872599" w:rsidRPr="00F614F9" w:rsidRDefault="00000000" w:rsidP="00BE4446">
            <w:pPr>
              <w:jc w:val="center"/>
              <w:rPr>
                <w:rFonts w:ascii="Times New Roman" w:eastAsia="宋体" w:hAnsi="Times New Roman"/>
                <w:sz w:val="18"/>
                <w:szCs w:val="18"/>
              </w:rPr>
            </w:pPr>
            <w:r w:rsidRPr="00F614F9">
              <w:rPr>
                <w:rFonts w:ascii="Times New Roman" w:eastAsia="宋体" w:hAnsi="Times New Roman" w:hint="eastAsia"/>
                <w:sz w:val="18"/>
                <w:szCs w:val="18"/>
              </w:rPr>
              <w:t>1.23</w:t>
            </w:r>
          </w:p>
        </w:tc>
      </w:tr>
      <w:tr w:rsidR="00872599" w:rsidRPr="00F614F9" w14:paraId="493B654F" w14:textId="77777777">
        <w:trPr>
          <w:divId w:val="1572348816"/>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67E0DB"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7-9</w:t>
            </w:r>
            <w:r w:rsidRPr="00F614F9">
              <w:rPr>
                <w:rFonts w:ascii="Times New Roman" w:eastAsia="宋体" w:hAnsi="Times New Roman" w:hint="eastAsia"/>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hideMark/>
          </w:tcPr>
          <w:p w14:paraId="2929F226" w14:textId="77777777" w:rsidR="00872599" w:rsidRPr="00F614F9" w:rsidRDefault="00000000" w:rsidP="00BE4446">
            <w:pPr>
              <w:jc w:val="center"/>
              <w:rPr>
                <w:rFonts w:ascii="Times New Roman" w:eastAsia="宋体" w:hAnsi="Times New Roman"/>
                <w:sz w:val="18"/>
                <w:szCs w:val="18"/>
              </w:rPr>
            </w:pPr>
            <w:r w:rsidRPr="00F614F9">
              <w:rPr>
                <w:rFonts w:ascii="Times New Roman" w:eastAsia="宋体" w:hAnsi="Times New Roman" w:hint="eastAsia"/>
                <w:sz w:val="18"/>
                <w:szCs w:val="18"/>
              </w:rPr>
              <w:t>1.23</w:t>
            </w:r>
          </w:p>
        </w:tc>
      </w:tr>
      <w:tr w:rsidR="00872599" w:rsidRPr="00F614F9" w14:paraId="1C42239F" w14:textId="77777777">
        <w:trPr>
          <w:divId w:val="1572348816"/>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AA68CF"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10-12</w:t>
            </w:r>
            <w:r w:rsidRPr="00F614F9">
              <w:rPr>
                <w:rFonts w:ascii="Times New Roman" w:eastAsia="宋体" w:hAnsi="Times New Roman" w:hint="eastAsia"/>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839042" w14:textId="77777777" w:rsidR="00872599" w:rsidRPr="00F614F9" w:rsidRDefault="00000000" w:rsidP="00BE4446">
            <w:pPr>
              <w:jc w:val="center"/>
              <w:rPr>
                <w:rFonts w:ascii="Times New Roman" w:eastAsia="宋体" w:hAnsi="Times New Roman"/>
                <w:sz w:val="18"/>
                <w:szCs w:val="18"/>
              </w:rPr>
            </w:pPr>
            <w:r w:rsidRPr="00F614F9">
              <w:rPr>
                <w:rFonts w:ascii="Times New Roman" w:eastAsia="宋体" w:hAnsi="Times New Roman" w:hint="eastAsia"/>
                <w:sz w:val="18"/>
                <w:szCs w:val="18"/>
              </w:rPr>
              <w:t>1.23</w:t>
            </w:r>
          </w:p>
        </w:tc>
      </w:tr>
      <w:tr w:rsidR="00872599" w:rsidRPr="00F614F9" w14:paraId="6D44F3AF" w14:textId="77777777">
        <w:trPr>
          <w:divId w:val="1572348816"/>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5D56F7"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1-2</w:t>
            </w:r>
            <w:r w:rsidRPr="00F614F9">
              <w:rPr>
                <w:rFonts w:ascii="Times New Roman" w:eastAsia="宋体" w:hAnsi="Times New Roman" w:hint="eastAsia"/>
                <w:sz w:val="18"/>
                <w:szCs w:val="18"/>
              </w:rPr>
              <w:t>年</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DE1129" w14:textId="77777777" w:rsidR="00872599" w:rsidRPr="00F614F9" w:rsidRDefault="00000000" w:rsidP="00BE4446">
            <w:pPr>
              <w:jc w:val="center"/>
              <w:rPr>
                <w:rFonts w:ascii="Times New Roman" w:eastAsia="宋体" w:hAnsi="Times New Roman"/>
                <w:sz w:val="18"/>
                <w:szCs w:val="18"/>
              </w:rPr>
            </w:pPr>
            <w:r w:rsidRPr="00F614F9">
              <w:rPr>
                <w:rFonts w:ascii="Times New Roman" w:eastAsia="宋体" w:hAnsi="Times New Roman" w:hint="eastAsia"/>
                <w:sz w:val="18"/>
                <w:szCs w:val="18"/>
              </w:rPr>
              <w:t>22.91</w:t>
            </w:r>
          </w:p>
        </w:tc>
      </w:tr>
      <w:tr w:rsidR="00872599" w:rsidRPr="00F614F9" w14:paraId="3BB15E58" w14:textId="77777777">
        <w:trPr>
          <w:divId w:val="1572348816"/>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457DB5"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2-3</w:t>
            </w:r>
            <w:r w:rsidRPr="00F614F9">
              <w:rPr>
                <w:rFonts w:ascii="Times New Roman" w:eastAsia="宋体" w:hAnsi="Times New Roman" w:hint="eastAsia"/>
                <w:sz w:val="18"/>
                <w:szCs w:val="18"/>
              </w:rPr>
              <w:t>年</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F4496B" w14:textId="77777777" w:rsidR="00872599" w:rsidRPr="00F614F9" w:rsidRDefault="00000000" w:rsidP="00BE4446">
            <w:pPr>
              <w:jc w:val="center"/>
              <w:rPr>
                <w:rFonts w:ascii="Times New Roman" w:eastAsia="宋体" w:hAnsi="Times New Roman"/>
                <w:sz w:val="18"/>
                <w:szCs w:val="18"/>
              </w:rPr>
            </w:pPr>
            <w:r w:rsidRPr="00F614F9">
              <w:rPr>
                <w:rFonts w:ascii="Times New Roman" w:eastAsia="宋体" w:hAnsi="Times New Roman" w:hint="eastAsia"/>
                <w:sz w:val="18"/>
                <w:szCs w:val="18"/>
              </w:rPr>
              <w:t>79.83</w:t>
            </w:r>
          </w:p>
        </w:tc>
      </w:tr>
      <w:tr w:rsidR="00872599" w:rsidRPr="00F614F9" w14:paraId="006948D0" w14:textId="77777777">
        <w:trPr>
          <w:divId w:val="1572348816"/>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7D32F5" w14:textId="77777777" w:rsidR="00872599" w:rsidRPr="00F614F9" w:rsidRDefault="00000000" w:rsidP="009E2AA2">
            <w:pPr>
              <w:rPr>
                <w:rFonts w:ascii="Times New Roman" w:eastAsia="宋体" w:hAnsi="Times New Roman"/>
                <w:sz w:val="18"/>
                <w:szCs w:val="18"/>
              </w:rPr>
            </w:pPr>
            <w:r w:rsidRPr="00F614F9">
              <w:rPr>
                <w:rFonts w:ascii="Times New Roman" w:eastAsia="宋体" w:hAnsi="Times New Roman" w:hint="eastAsia"/>
                <w:sz w:val="18"/>
                <w:szCs w:val="18"/>
              </w:rPr>
              <w:t>3</w:t>
            </w:r>
            <w:r w:rsidRPr="00F614F9">
              <w:rPr>
                <w:rFonts w:ascii="Times New Roman" w:eastAsia="宋体" w:hAnsi="Times New Roman" w:hint="eastAsia"/>
                <w:sz w:val="18"/>
                <w:szCs w:val="18"/>
              </w:rPr>
              <w:t>年以上</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18A470" w14:textId="77777777" w:rsidR="00872599" w:rsidRPr="00F614F9" w:rsidRDefault="00000000" w:rsidP="00BE4446">
            <w:pPr>
              <w:jc w:val="center"/>
              <w:rPr>
                <w:rFonts w:ascii="Times New Roman" w:eastAsia="宋体" w:hAnsi="Times New Roman"/>
                <w:sz w:val="18"/>
                <w:szCs w:val="18"/>
              </w:rPr>
            </w:pPr>
            <w:r w:rsidRPr="00F614F9">
              <w:rPr>
                <w:rFonts w:ascii="Times New Roman" w:eastAsia="宋体" w:hAnsi="Times New Roman" w:hint="eastAsia"/>
                <w:sz w:val="18"/>
                <w:szCs w:val="18"/>
              </w:rPr>
              <w:t>100.00</w:t>
            </w:r>
          </w:p>
        </w:tc>
      </w:tr>
    </w:tbl>
    <w:p w14:paraId="621B0B28" w14:textId="77777777" w:rsidR="00872599" w:rsidRPr="00F614F9" w:rsidRDefault="00872599">
      <w:pPr>
        <w:divId w:val="1572348816"/>
        <w:rPr>
          <w:rFonts w:ascii="Times New Roman" w:hAnsi="Times New Roman"/>
        </w:rPr>
      </w:pPr>
    </w:p>
    <w:p w14:paraId="4287F532" w14:textId="77777777" w:rsidR="001D26E7" w:rsidRPr="00F614F9" w:rsidRDefault="00000000">
      <w:pPr>
        <w:pStyle w:val="3"/>
        <w:spacing w:line="280" w:lineRule="exact"/>
        <w:jc w:val="left"/>
        <w:rPr>
          <w:rFonts w:ascii="Times New Roman" w:hAnsi="Times New Roman" w:cs="宋体"/>
          <w:b/>
          <w:bCs/>
        </w:rPr>
      </w:pPr>
      <w:bookmarkStart w:id="267" w:name="_Toc989082"/>
      <w:r w:rsidRPr="00F614F9">
        <w:rPr>
          <w:rFonts w:ascii="Times New Roman" w:hAnsi="Times New Roman" w:cs="宋体"/>
          <w:b/>
          <w:bCs/>
        </w:rPr>
        <w:t>16</w:t>
      </w:r>
      <w:r w:rsidRPr="00F614F9">
        <w:rPr>
          <w:rFonts w:ascii="Times New Roman" w:hAnsi="Times New Roman" w:cs="宋体"/>
          <w:b/>
          <w:bCs/>
        </w:rPr>
        <w:t>、合同资产</w:t>
      </w:r>
      <w:bookmarkEnd w:id="267"/>
    </w:p>
    <w:p w14:paraId="74D64418" w14:textId="77777777" w:rsidR="00872599" w:rsidRPr="00F614F9" w:rsidRDefault="00000000" w:rsidP="009D128E">
      <w:pPr>
        <w:pStyle w:val="a3"/>
        <w:spacing w:before="0" w:beforeAutospacing="0" w:after="0" w:afterAutospacing="0" w:line="276" w:lineRule="auto"/>
        <w:ind w:firstLine="360"/>
        <w:divId w:val="3021610"/>
        <w:rPr>
          <w:rFonts w:ascii="Times New Roman" w:hAnsi="Times New Roman" w:cs="Times New Roman"/>
          <w:sz w:val="21"/>
          <w:szCs w:val="21"/>
        </w:rPr>
      </w:pPr>
      <w:r w:rsidRPr="00F614F9">
        <w:rPr>
          <w:rFonts w:ascii="Times New Roman" w:hAnsi="Times New Roman" w:cs="Times New Roman" w:hint="eastAsia"/>
          <w:sz w:val="18"/>
          <w:szCs w:val="18"/>
        </w:rPr>
        <w:t>本集团将客户尚未支付合同对价，但本集团已经依据合同履行了履约义务，且不属于无条件（即仅取决于时间流逝）向客户收款的权利，在资产负债表中列示为合同资产。同一合同下的合同资产和合同负债以净额列示，不同合同下的合同资产和合同负债不予</w:t>
      </w:r>
      <w:proofErr w:type="gramStart"/>
      <w:r w:rsidRPr="00F614F9">
        <w:rPr>
          <w:rFonts w:ascii="Times New Roman" w:hAnsi="Times New Roman" w:cs="Times New Roman" w:hint="eastAsia"/>
          <w:sz w:val="18"/>
          <w:szCs w:val="18"/>
        </w:rPr>
        <w:t>抵销</w:t>
      </w:r>
      <w:proofErr w:type="gramEnd"/>
      <w:r w:rsidRPr="00F614F9">
        <w:rPr>
          <w:rFonts w:ascii="Times New Roman" w:hAnsi="Times New Roman" w:cs="Times New Roman" w:hint="eastAsia"/>
          <w:sz w:val="18"/>
          <w:szCs w:val="18"/>
        </w:rPr>
        <w:t>。</w:t>
      </w:r>
    </w:p>
    <w:p w14:paraId="5AFF511E" w14:textId="77777777" w:rsidR="00872599" w:rsidRPr="00F614F9" w:rsidRDefault="00000000" w:rsidP="009D128E">
      <w:pPr>
        <w:pStyle w:val="a3"/>
        <w:spacing w:before="0" w:beforeAutospacing="0" w:after="0" w:afterAutospacing="0" w:line="276" w:lineRule="auto"/>
        <w:ind w:firstLine="360"/>
        <w:jc w:val="both"/>
        <w:divId w:val="18045316"/>
        <w:rPr>
          <w:rFonts w:ascii="Times New Roman" w:hAnsi="Times New Roman" w:cs="Times New Roman"/>
          <w:sz w:val="21"/>
          <w:szCs w:val="21"/>
        </w:rPr>
      </w:pPr>
      <w:r w:rsidRPr="00F614F9">
        <w:rPr>
          <w:rFonts w:ascii="Times New Roman" w:hAnsi="Times New Roman" w:cs="Times New Roman" w:hint="eastAsia"/>
          <w:sz w:val="18"/>
          <w:szCs w:val="18"/>
        </w:rPr>
        <w:lastRenderedPageBreak/>
        <w:t>合同资产预期信用损失的确定方法和会计处理方法参见附注五、</w:t>
      </w:r>
      <w:r w:rsidRPr="00F614F9">
        <w:rPr>
          <w:rFonts w:ascii="Times New Roman" w:hAnsi="Times New Roman" w:cs="Times New Roman" w:hint="eastAsia"/>
          <w:sz w:val="18"/>
          <w:szCs w:val="18"/>
        </w:rPr>
        <w:t>11</w:t>
      </w:r>
      <w:r w:rsidRPr="00F614F9">
        <w:rPr>
          <w:rFonts w:ascii="Times New Roman" w:hAnsi="Times New Roman" w:cs="Times New Roman" w:hint="eastAsia"/>
          <w:sz w:val="18"/>
          <w:szCs w:val="18"/>
        </w:rPr>
        <w:t>、金融工具。</w:t>
      </w:r>
    </w:p>
    <w:p w14:paraId="0FD7C43E" w14:textId="77777777" w:rsidR="001D26E7" w:rsidRPr="00F614F9" w:rsidRDefault="00000000">
      <w:pPr>
        <w:pStyle w:val="3"/>
        <w:spacing w:line="280" w:lineRule="exact"/>
        <w:jc w:val="left"/>
        <w:rPr>
          <w:rFonts w:ascii="Times New Roman" w:hAnsi="Times New Roman" w:cs="宋体"/>
          <w:b/>
          <w:bCs/>
        </w:rPr>
      </w:pPr>
      <w:bookmarkStart w:id="268" w:name="_Toc989083"/>
      <w:r w:rsidRPr="00F614F9">
        <w:rPr>
          <w:rFonts w:ascii="Times New Roman" w:hAnsi="Times New Roman" w:cs="宋体"/>
          <w:b/>
          <w:bCs/>
        </w:rPr>
        <w:t>17</w:t>
      </w:r>
      <w:r w:rsidRPr="00F614F9">
        <w:rPr>
          <w:rFonts w:ascii="Times New Roman" w:hAnsi="Times New Roman" w:cs="宋体"/>
          <w:b/>
          <w:bCs/>
        </w:rPr>
        <w:t>、存货</w:t>
      </w:r>
      <w:bookmarkEnd w:id="268"/>
    </w:p>
    <w:p w14:paraId="639037EB"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存货的分类</w:t>
      </w:r>
    </w:p>
    <w:p w14:paraId="2EBE1175"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存货主要包括原材料、库存商品、在产品、消耗性生物资产、低值易耗品和包装物等，摊销期限不超过一年或一个营业周期的合同履约成本也列报为存货。</w:t>
      </w:r>
    </w:p>
    <w:p w14:paraId="4CB07C3C"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存货取得和发出的计价方法</w:t>
      </w:r>
    </w:p>
    <w:p w14:paraId="299AF59F"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存货在取得时按实际成本计价，存货成本包括采购成本、加工成本和其他成本。领用和发出时按加权平均法计价。</w:t>
      </w:r>
    </w:p>
    <w:p w14:paraId="38CD96D9"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存货可变现净值的确认和跌价准备的计提方法</w:t>
      </w:r>
    </w:p>
    <w:p w14:paraId="4220E49D"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可变现净值是指在日常活动中，存货的估计售价减去至完工时估计将要发生的成本、估计的销售费用以及相关税费后的金额。在确定存货的可变现净值时，以取得的确凿证据为基础，同时考虑持有存货的目的以及资产负债表日后事项的影响。</w:t>
      </w:r>
    </w:p>
    <w:p w14:paraId="02EF3674"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在资产负债表日，存货按照成本与可变现净值孰低计量。当其可变现净值低于成本时，提取存货跌价准备。存货跌价准备通常按单个存货项目的成本高于其可变现净值的差额提取。对于数量繁多、单价较低的存货，按存货类别计提存货跌价准备；对在同一地区生产和销售的产品系列相关、具有相同或类似最终用途或目的，且难以与其他项目分开计量的存货，可合并计提存货跌价准备。</w:t>
      </w:r>
    </w:p>
    <w:p w14:paraId="2E08A455"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计提存货跌价准备后，如果</w:t>
      </w:r>
      <w:proofErr w:type="gramStart"/>
      <w:r w:rsidRPr="00F614F9">
        <w:rPr>
          <w:rFonts w:ascii="Times New Roman" w:eastAsia="宋体" w:hAnsi="Times New Roman" w:hint="eastAsia"/>
          <w:sz w:val="18"/>
          <w:szCs w:val="18"/>
        </w:rPr>
        <w:t>以前减记</w:t>
      </w:r>
      <w:proofErr w:type="gramEnd"/>
      <w:r w:rsidRPr="00F614F9">
        <w:rPr>
          <w:rFonts w:ascii="Times New Roman" w:eastAsia="宋体" w:hAnsi="Times New Roman" w:hint="eastAsia"/>
          <w:sz w:val="18"/>
          <w:szCs w:val="18"/>
        </w:rPr>
        <w:t>存货价值的影响因素已经消失，导致存货的可变现净值高于其账面价值的，在原已计提的存货跌价准备金额内予以转回，转回的金额计入当期损益。</w:t>
      </w:r>
    </w:p>
    <w:p w14:paraId="1C952075"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存货的盘存制度为永续盘存制。</w:t>
      </w:r>
    </w:p>
    <w:p w14:paraId="200AEF3D"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低值易耗品和包装物的摊销方法</w:t>
      </w:r>
    </w:p>
    <w:p w14:paraId="5E88BC9E"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低值易耗品于领用时按一次摊销法摊销；包装物于领用时按一次摊销法摊销。</w:t>
      </w:r>
    </w:p>
    <w:p w14:paraId="3EB8E1D9" w14:textId="77777777" w:rsidR="001D26E7" w:rsidRPr="00F614F9" w:rsidRDefault="00000000">
      <w:pPr>
        <w:pStyle w:val="3"/>
        <w:spacing w:line="280" w:lineRule="exact"/>
        <w:jc w:val="left"/>
        <w:rPr>
          <w:rFonts w:ascii="Times New Roman" w:hAnsi="Times New Roman" w:cs="宋体"/>
          <w:b/>
          <w:bCs/>
        </w:rPr>
      </w:pPr>
      <w:bookmarkStart w:id="269" w:name="_Toc989084"/>
      <w:r w:rsidRPr="00F614F9">
        <w:rPr>
          <w:rFonts w:ascii="Times New Roman" w:hAnsi="Times New Roman" w:cs="宋体"/>
          <w:b/>
          <w:bCs/>
        </w:rPr>
        <w:t>18</w:t>
      </w:r>
      <w:r w:rsidRPr="00F614F9">
        <w:rPr>
          <w:rFonts w:ascii="Times New Roman" w:hAnsi="Times New Roman" w:cs="宋体"/>
          <w:b/>
          <w:bCs/>
        </w:rPr>
        <w:t>、持有待售资产</w:t>
      </w:r>
      <w:bookmarkEnd w:id="269"/>
    </w:p>
    <w:p w14:paraId="55BD239D" w14:textId="77777777" w:rsidR="00872599" w:rsidRPr="00F614F9" w:rsidRDefault="00000000" w:rsidP="007C0164">
      <w:pPr>
        <w:pStyle w:val="a3"/>
        <w:spacing w:before="0" w:beforeAutospacing="0" w:after="0" w:afterAutospacing="0" w:line="276" w:lineRule="auto"/>
        <w:ind w:firstLine="360"/>
        <w:divId w:val="1432581222"/>
        <w:rPr>
          <w:rFonts w:ascii="Times New Roman" w:hAnsi="Times New Roman" w:cs="Times New Roman"/>
          <w:sz w:val="21"/>
          <w:szCs w:val="21"/>
        </w:rPr>
      </w:pPr>
      <w:r w:rsidRPr="00F614F9">
        <w:rPr>
          <w:rFonts w:ascii="Times New Roman" w:hAnsi="Times New Roman" w:cs="Times New Roman" w:hint="eastAsia"/>
          <w:sz w:val="18"/>
          <w:szCs w:val="18"/>
        </w:rPr>
        <w:t>本集团若主要通过出售（包括具有商业实质的非货币性资产交换，下同）而非持续使用一项非流动资产或</w:t>
      </w:r>
      <w:proofErr w:type="gramStart"/>
      <w:r w:rsidRPr="00F614F9">
        <w:rPr>
          <w:rFonts w:ascii="Times New Roman" w:hAnsi="Times New Roman" w:cs="Times New Roman" w:hint="eastAsia"/>
          <w:sz w:val="18"/>
          <w:szCs w:val="18"/>
        </w:rPr>
        <w:t>处置组</w:t>
      </w:r>
      <w:proofErr w:type="gramEnd"/>
      <w:r w:rsidRPr="00F614F9">
        <w:rPr>
          <w:rFonts w:ascii="Times New Roman" w:hAnsi="Times New Roman" w:cs="Times New Roman" w:hint="eastAsia"/>
          <w:sz w:val="18"/>
          <w:szCs w:val="18"/>
        </w:rPr>
        <w:t>收回其账面价值的，则将其划分为持有待售类别。具体标准为同时满足以下条件：某项非流动资产或</w:t>
      </w:r>
      <w:proofErr w:type="gramStart"/>
      <w:r w:rsidRPr="00F614F9">
        <w:rPr>
          <w:rFonts w:ascii="Times New Roman" w:hAnsi="Times New Roman" w:cs="Times New Roman" w:hint="eastAsia"/>
          <w:sz w:val="18"/>
          <w:szCs w:val="18"/>
        </w:rPr>
        <w:t>处置组</w:t>
      </w:r>
      <w:proofErr w:type="gramEnd"/>
      <w:r w:rsidRPr="00F614F9">
        <w:rPr>
          <w:rFonts w:ascii="Times New Roman" w:hAnsi="Times New Roman" w:cs="Times New Roman" w:hint="eastAsia"/>
          <w:sz w:val="18"/>
          <w:szCs w:val="18"/>
        </w:rPr>
        <w:t>根据类似交易中出售此类资产或</w:t>
      </w:r>
      <w:proofErr w:type="gramStart"/>
      <w:r w:rsidRPr="00F614F9">
        <w:rPr>
          <w:rFonts w:ascii="Times New Roman" w:hAnsi="Times New Roman" w:cs="Times New Roman" w:hint="eastAsia"/>
          <w:sz w:val="18"/>
          <w:szCs w:val="18"/>
        </w:rPr>
        <w:t>处置组</w:t>
      </w:r>
      <w:proofErr w:type="gramEnd"/>
      <w:r w:rsidRPr="00F614F9">
        <w:rPr>
          <w:rFonts w:ascii="Times New Roman" w:hAnsi="Times New Roman" w:cs="Times New Roman" w:hint="eastAsia"/>
          <w:sz w:val="18"/>
          <w:szCs w:val="18"/>
        </w:rPr>
        <w:t>的惯例，在当前状况下即可立即出售；本集团已经就出售计划</w:t>
      </w:r>
      <w:proofErr w:type="gramStart"/>
      <w:r w:rsidRPr="00F614F9">
        <w:rPr>
          <w:rFonts w:ascii="Times New Roman" w:hAnsi="Times New Roman" w:cs="Times New Roman" w:hint="eastAsia"/>
          <w:sz w:val="18"/>
          <w:szCs w:val="18"/>
        </w:rPr>
        <w:t>作出</w:t>
      </w:r>
      <w:proofErr w:type="gramEnd"/>
      <w:r w:rsidRPr="00F614F9">
        <w:rPr>
          <w:rFonts w:ascii="Times New Roman" w:hAnsi="Times New Roman" w:cs="Times New Roman" w:hint="eastAsia"/>
          <w:sz w:val="18"/>
          <w:szCs w:val="18"/>
        </w:rPr>
        <w:t>决议且获得确定的购买承诺；预计出售将在一年内完成。其中，</w:t>
      </w:r>
      <w:proofErr w:type="gramStart"/>
      <w:r w:rsidRPr="00F614F9">
        <w:rPr>
          <w:rFonts w:ascii="Times New Roman" w:hAnsi="Times New Roman" w:cs="Times New Roman" w:hint="eastAsia"/>
          <w:sz w:val="18"/>
          <w:szCs w:val="18"/>
        </w:rPr>
        <w:t>处置组</w:t>
      </w:r>
      <w:proofErr w:type="gramEnd"/>
      <w:r w:rsidRPr="00F614F9">
        <w:rPr>
          <w:rFonts w:ascii="Times New Roman" w:hAnsi="Times New Roman" w:cs="Times New Roman" w:hint="eastAsia"/>
          <w:sz w:val="18"/>
          <w:szCs w:val="18"/>
        </w:rPr>
        <w:t>是指在一项交易中作为整体通过出售或其他方式一并处置的一组资产，以及在该交易中转让的与这些资产直接相关的负债。</w:t>
      </w:r>
      <w:proofErr w:type="gramStart"/>
      <w:r w:rsidRPr="00F614F9">
        <w:rPr>
          <w:rFonts w:ascii="Times New Roman" w:hAnsi="Times New Roman" w:cs="Times New Roman" w:hint="eastAsia"/>
          <w:sz w:val="18"/>
          <w:szCs w:val="18"/>
        </w:rPr>
        <w:t>处置组所属</w:t>
      </w:r>
      <w:proofErr w:type="gramEnd"/>
      <w:r w:rsidRPr="00F614F9">
        <w:rPr>
          <w:rFonts w:ascii="Times New Roman" w:hAnsi="Times New Roman" w:cs="Times New Roman" w:hint="eastAsia"/>
          <w:sz w:val="18"/>
          <w:szCs w:val="18"/>
        </w:rPr>
        <w:t>的资产组或资产组组合按照《企业会计准则第</w:t>
      </w:r>
      <w:r w:rsidRPr="00F614F9">
        <w:rPr>
          <w:rFonts w:ascii="Times New Roman" w:hAnsi="Times New Roman" w:cs="Times New Roman" w:hint="eastAsia"/>
          <w:sz w:val="18"/>
          <w:szCs w:val="18"/>
        </w:rPr>
        <w:t>8</w:t>
      </w:r>
      <w:r w:rsidRPr="00F614F9">
        <w:rPr>
          <w:rFonts w:ascii="Times New Roman" w:hAnsi="Times New Roman" w:cs="Times New Roman" w:hint="eastAsia"/>
          <w:sz w:val="18"/>
          <w:szCs w:val="18"/>
        </w:rPr>
        <w:t>号——资产减值》分摊了企业合并中取得的商誉的，该</w:t>
      </w:r>
      <w:proofErr w:type="gramStart"/>
      <w:r w:rsidRPr="00F614F9">
        <w:rPr>
          <w:rFonts w:ascii="Times New Roman" w:hAnsi="Times New Roman" w:cs="Times New Roman" w:hint="eastAsia"/>
          <w:sz w:val="18"/>
          <w:szCs w:val="18"/>
        </w:rPr>
        <w:t>处置组</w:t>
      </w:r>
      <w:proofErr w:type="gramEnd"/>
      <w:r w:rsidRPr="00F614F9">
        <w:rPr>
          <w:rFonts w:ascii="Times New Roman" w:hAnsi="Times New Roman" w:cs="Times New Roman" w:hint="eastAsia"/>
          <w:sz w:val="18"/>
          <w:szCs w:val="18"/>
        </w:rPr>
        <w:t>应当包含分摊至</w:t>
      </w:r>
      <w:proofErr w:type="gramStart"/>
      <w:r w:rsidRPr="00F614F9">
        <w:rPr>
          <w:rFonts w:ascii="Times New Roman" w:hAnsi="Times New Roman" w:cs="Times New Roman" w:hint="eastAsia"/>
          <w:sz w:val="18"/>
          <w:szCs w:val="18"/>
        </w:rPr>
        <w:t>处置组</w:t>
      </w:r>
      <w:proofErr w:type="gramEnd"/>
      <w:r w:rsidRPr="00F614F9">
        <w:rPr>
          <w:rFonts w:ascii="Times New Roman" w:hAnsi="Times New Roman" w:cs="Times New Roman" w:hint="eastAsia"/>
          <w:sz w:val="18"/>
          <w:szCs w:val="18"/>
        </w:rPr>
        <w:t>的商誉。</w:t>
      </w:r>
    </w:p>
    <w:p w14:paraId="540C1972" w14:textId="77777777" w:rsidR="00872599" w:rsidRPr="00F614F9" w:rsidRDefault="00000000" w:rsidP="007C0164">
      <w:pPr>
        <w:pStyle w:val="a3"/>
        <w:spacing w:before="0" w:beforeAutospacing="0" w:after="0" w:afterAutospacing="0" w:line="276" w:lineRule="auto"/>
        <w:ind w:firstLine="360"/>
        <w:divId w:val="1432581222"/>
        <w:rPr>
          <w:rFonts w:ascii="Times New Roman" w:hAnsi="Times New Roman" w:cs="Times New Roman"/>
          <w:sz w:val="21"/>
          <w:szCs w:val="21"/>
        </w:rPr>
      </w:pPr>
      <w:r w:rsidRPr="00F614F9">
        <w:rPr>
          <w:rFonts w:ascii="Times New Roman" w:hAnsi="Times New Roman" w:cs="Times New Roman" w:hint="eastAsia"/>
          <w:sz w:val="18"/>
          <w:szCs w:val="18"/>
        </w:rPr>
        <w:t>本集团初始计量或在资产负债表日重新计量划分为持有待售的非流动资产和</w:t>
      </w:r>
      <w:proofErr w:type="gramStart"/>
      <w:r w:rsidRPr="00F614F9">
        <w:rPr>
          <w:rFonts w:ascii="Times New Roman" w:hAnsi="Times New Roman" w:cs="Times New Roman" w:hint="eastAsia"/>
          <w:sz w:val="18"/>
          <w:szCs w:val="18"/>
        </w:rPr>
        <w:t>处置组</w:t>
      </w:r>
      <w:proofErr w:type="gramEnd"/>
      <w:r w:rsidRPr="00F614F9">
        <w:rPr>
          <w:rFonts w:ascii="Times New Roman" w:hAnsi="Times New Roman" w:cs="Times New Roman" w:hint="eastAsia"/>
          <w:sz w:val="18"/>
          <w:szCs w:val="18"/>
        </w:rPr>
        <w:t>时，其账面价值高于公允价值减去出售费用后的净额的，将账面价值</w:t>
      </w:r>
      <w:proofErr w:type="gramStart"/>
      <w:r w:rsidRPr="00F614F9">
        <w:rPr>
          <w:rFonts w:ascii="Times New Roman" w:hAnsi="Times New Roman" w:cs="Times New Roman" w:hint="eastAsia"/>
          <w:sz w:val="18"/>
          <w:szCs w:val="18"/>
        </w:rPr>
        <w:t>减记至</w:t>
      </w:r>
      <w:proofErr w:type="gramEnd"/>
      <w:r w:rsidRPr="00F614F9">
        <w:rPr>
          <w:rFonts w:ascii="Times New Roman" w:hAnsi="Times New Roman" w:cs="Times New Roman" w:hint="eastAsia"/>
          <w:sz w:val="18"/>
          <w:szCs w:val="18"/>
        </w:rPr>
        <w:t>公允价值减去出售费用后的净额，</w:t>
      </w:r>
      <w:proofErr w:type="gramStart"/>
      <w:r w:rsidRPr="00F614F9">
        <w:rPr>
          <w:rFonts w:ascii="Times New Roman" w:hAnsi="Times New Roman" w:cs="Times New Roman" w:hint="eastAsia"/>
          <w:sz w:val="18"/>
          <w:szCs w:val="18"/>
        </w:rPr>
        <w:t>减记的</w:t>
      </w:r>
      <w:proofErr w:type="gramEnd"/>
      <w:r w:rsidRPr="00F614F9">
        <w:rPr>
          <w:rFonts w:ascii="Times New Roman" w:hAnsi="Times New Roman" w:cs="Times New Roman" w:hint="eastAsia"/>
          <w:sz w:val="18"/>
          <w:szCs w:val="18"/>
        </w:rPr>
        <w:t>金额确认为资产减值损失，计入当期损益，同时计提持有待售资产减值准备。对于处置组，所确认的资产减值损失先抵减处置组中商誉的账面价值，再按比例抵减该处置组内适用《企业会计准则第</w:t>
      </w:r>
      <w:r w:rsidRPr="00F614F9">
        <w:rPr>
          <w:rFonts w:ascii="Times New Roman" w:hAnsi="Times New Roman" w:cs="Times New Roman" w:hint="eastAsia"/>
          <w:sz w:val="18"/>
          <w:szCs w:val="18"/>
        </w:rPr>
        <w:t>42</w:t>
      </w:r>
      <w:r w:rsidRPr="00F614F9">
        <w:rPr>
          <w:rFonts w:ascii="Times New Roman" w:hAnsi="Times New Roman" w:cs="Times New Roman" w:hint="eastAsia"/>
          <w:sz w:val="18"/>
          <w:szCs w:val="18"/>
        </w:rPr>
        <w:t>号——持有待售的非流动资产、处置组和终止经营》（以下简称“持有待售准则”）的计量规定的各项非流动资产的账面价值。后续资产负债表日持有待售的</w:t>
      </w:r>
      <w:proofErr w:type="gramStart"/>
      <w:r w:rsidRPr="00F614F9">
        <w:rPr>
          <w:rFonts w:ascii="Times New Roman" w:hAnsi="Times New Roman" w:cs="Times New Roman" w:hint="eastAsia"/>
          <w:sz w:val="18"/>
          <w:szCs w:val="18"/>
        </w:rPr>
        <w:t>处置组</w:t>
      </w:r>
      <w:proofErr w:type="gramEnd"/>
      <w:r w:rsidRPr="00F614F9">
        <w:rPr>
          <w:rFonts w:ascii="Times New Roman" w:hAnsi="Times New Roman" w:cs="Times New Roman" w:hint="eastAsia"/>
          <w:sz w:val="18"/>
          <w:szCs w:val="18"/>
        </w:rPr>
        <w:t>公允价值减去出售费用后的净额增加的，</w:t>
      </w:r>
      <w:proofErr w:type="gramStart"/>
      <w:r w:rsidRPr="00F614F9">
        <w:rPr>
          <w:rFonts w:ascii="Times New Roman" w:hAnsi="Times New Roman" w:cs="Times New Roman" w:hint="eastAsia"/>
          <w:sz w:val="18"/>
          <w:szCs w:val="18"/>
        </w:rPr>
        <w:t>以前减记</w:t>
      </w:r>
      <w:proofErr w:type="gramEnd"/>
      <w:r w:rsidRPr="00F614F9">
        <w:rPr>
          <w:rFonts w:ascii="Times New Roman" w:hAnsi="Times New Roman" w:cs="Times New Roman" w:hint="eastAsia"/>
          <w:sz w:val="18"/>
          <w:szCs w:val="18"/>
        </w:rPr>
        <w:t>的金额应当予以恢复，并在划分为持有待售类别后适用持有待售准则计量规定的非流动资产确认的资产减值损失金额内转回，转回金额计入当期损益，并根据处置组中除商誉外适用持有待售准则计量规定的各项非流动资产账面价值所占比重按比例增加其账面价值；已抵减的商誉账面价值，以及适用持有待售准则计量规定的非流动资产在划分为持有待售类别前确认的资产减值损失不得转回。</w:t>
      </w:r>
    </w:p>
    <w:p w14:paraId="6F391B54" w14:textId="77777777" w:rsidR="00872599" w:rsidRPr="00F614F9" w:rsidRDefault="00000000" w:rsidP="007C0164">
      <w:pPr>
        <w:pStyle w:val="a3"/>
        <w:spacing w:before="0" w:beforeAutospacing="0" w:after="0" w:afterAutospacing="0" w:line="276" w:lineRule="auto"/>
        <w:ind w:firstLine="360"/>
        <w:divId w:val="1432581222"/>
        <w:rPr>
          <w:rFonts w:ascii="Times New Roman" w:hAnsi="Times New Roman" w:cs="Times New Roman"/>
          <w:sz w:val="21"/>
          <w:szCs w:val="21"/>
        </w:rPr>
      </w:pPr>
      <w:r w:rsidRPr="00F614F9">
        <w:rPr>
          <w:rFonts w:ascii="Times New Roman" w:hAnsi="Times New Roman" w:cs="Times New Roman" w:hint="eastAsia"/>
          <w:sz w:val="18"/>
          <w:szCs w:val="18"/>
        </w:rPr>
        <w:lastRenderedPageBreak/>
        <w:t>持有待售的非流动资产或处置组中的非流动资产不计提折旧或摊销，持有待售的处置组中负债的利息和其他费用继续予以确认。</w:t>
      </w:r>
    </w:p>
    <w:p w14:paraId="7CDA5B73" w14:textId="77777777" w:rsidR="00872599" w:rsidRPr="00F614F9" w:rsidRDefault="00000000" w:rsidP="007C0164">
      <w:pPr>
        <w:pStyle w:val="a3"/>
        <w:spacing w:before="0" w:beforeAutospacing="0" w:after="0" w:afterAutospacing="0" w:line="276" w:lineRule="auto"/>
        <w:ind w:firstLine="360"/>
        <w:divId w:val="1432581222"/>
        <w:rPr>
          <w:rFonts w:ascii="Times New Roman" w:hAnsi="Times New Roman" w:cs="Times New Roman"/>
          <w:sz w:val="21"/>
          <w:szCs w:val="21"/>
        </w:rPr>
      </w:pPr>
      <w:r w:rsidRPr="00F614F9">
        <w:rPr>
          <w:rFonts w:ascii="Times New Roman" w:hAnsi="Times New Roman" w:cs="Times New Roman" w:hint="eastAsia"/>
          <w:sz w:val="18"/>
          <w:szCs w:val="18"/>
        </w:rPr>
        <w:t>非流动资产或</w:t>
      </w:r>
      <w:proofErr w:type="gramStart"/>
      <w:r w:rsidRPr="00F614F9">
        <w:rPr>
          <w:rFonts w:ascii="Times New Roman" w:hAnsi="Times New Roman" w:cs="Times New Roman" w:hint="eastAsia"/>
          <w:sz w:val="18"/>
          <w:szCs w:val="18"/>
        </w:rPr>
        <w:t>处置组不再</w:t>
      </w:r>
      <w:proofErr w:type="gramEnd"/>
      <w:r w:rsidRPr="00F614F9">
        <w:rPr>
          <w:rFonts w:ascii="Times New Roman" w:hAnsi="Times New Roman" w:cs="Times New Roman" w:hint="eastAsia"/>
          <w:sz w:val="18"/>
          <w:szCs w:val="18"/>
        </w:rPr>
        <w:t>满足持有待售类别的划分条件时，本集团不再将其继续划分为持有待售类别或将非流动资产从持有待售的处置组中移除，并按照以下两者孰低计量：（</w:t>
      </w:r>
      <w:r w:rsidRPr="00F614F9">
        <w:rPr>
          <w:rFonts w:ascii="Times New Roman" w:hAnsi="Times New Roman" w:cs="Times New Roman" w:hint="eastAsia"/>
          <w:sz w:val="18"/>
          <w:szCs w:val="18"/>
        </w:rPr>
        <w:t>1</w:t>
      </w:r>
      <w:r w:rsidRPr="00F614F9">
        <w:rPr>
          <w:rFonts w:ascii="Times New Roman" w:hAnsi="Times New Roman" w:cs="Times New Roman" w:hint="eastAsia"/>
          <w:sz w:val="18"/>
          <w:szCs w:val="18"/>
        </w:rPr>
        <w:t>）划分为持有待售类别前的账面价值，按照假定不划分为持有待售类别情况下本应确认的折旧、摊销或减值等进行调整后的金额；（</w:t>
      </w:r>
      <w:r w:rsidRPr="00F614F9">
        <w:rPr>
          <w:rFonts w:ascii="Times New Roman" w:hAnsi="Times New Roman" w:cs="Times New Roman" w:hint="eastAsia"/>
          <w:sz w:val="18"/>
          <w:szCs w:val="18"/>
        </w:rPr>
        <w:t>2</w:t>
      </w:r>
      <w:r w:rsidRPr="00F614F9">
        <w:rPr>
          <w:rFonts w:ascii="Times New Roman" w:hAnsi="Times New Roman" w:cs="Times New Roman" w:hint="eastAsia"/>
          <w:sz w:val="18"/>
          <w:szCs w:val="18"/>
        </w:rPr>
        <w:t>）可收回金额。</w:t>
      </w:r>
    </w:p>
    <w:p w14:paraId="5FF34762" w14:textId="77777777" w:rsidR="001D26E7" w:rsidRPr="00F614F9" w:rsidRDefault="00000000">
      <w:pPr>
        <w:pStyle w:val="3"/>
        <w:spacing w:line="280" w:lineRule="exact"/>
        <w:jc w:val="left"/>
        <w:rPr>
          <w:rFonts w:ascii="Times New Roman" w:hAnsi="Times New Roman" w:cs="宋体"/>
          <w:b/>
          <w:bCs/>
        </w:rPr>
      </w:pPr>
      <w:bookmarkStart w:id="270" w:name="_Toc989085"/>
      <w:r w:rsidRPr="00F614F9">
        <w:rPr>
          <w:rFonts w:ascii="Times New Roman" w:hAnsi="Times New Roman" w:cs="宋体"/>
          <w:b/>
          <w:bCs/>
        </w:rPr>
        <w:t>19</w:t>
      </w:r>
      <w:r w:rsidRPr="00F614F9">
        <w:rPr>
          <w:rFonts w:ascii="Times New Roman" w:hAnsi="Times New Roman" w:cs="宋体"/>
          <w:b/>
          <w:bCs/>
        </w:rPr>
        <w:t>、债权投资</w:t>
      </w:r>
      <w:bookmarkEnd w:id="270"/>
    </w:p>
    <w:p w14:paraId="13065724" w14:textId="77777777" w:rsidR="00872599" w:rsidRPr="00F614F9" w:rsidRDefault="00000000">
      <w:pPr>
        <w:pStyle w:val="a3"/>
        <w:divId w:val="617415118"/>
        <w:rPr>
          <w:rFonts w:ascii="Times New Roman" w:hAnsi="Times New Roman"/>
          <w:sz w:val="18"/>
          <w:szCs w:val="18"/>
        </w:rPr>
      </w:pPr>
      <w:r w:rsidRPr="00F614F9">
        <w:rPr>
          <w:rFonts w:ascii="Times New Roman" w:hAnsi="Times New Roman" w:hint="eastAsia"/>
          <w:sz w:val="18"/>
          <w:szCs w:val="18"/>
        </w:rPr>
        <w:t>无</w:t>
      </w:r>
    </w:p>
    <w:p w14:paraId="7549C010" w14:textId="77777777" w:rsidR="001D26E7" w:rsidRPr="00F614F9" w:rsidRDefault="00000000">
      <w:pPr>
        <w:pStyle w:val="3"/>
        <w:spacing w:line="280" w:lineRule="exact"/>
        <w:jc w:val="left"/>
        <w:rPr>
          <w:rFonts w:ascii="Times New Roman" w:hAnsi="Times New Roman" w:cs="宋体"/>
          <w:b/>
          <w:bCs/>
        </w:rPr>
      </w:pPr>
      <w:bookmarkStart w:id="271" w:name="_Toc989086"/>
      <w:r w:rsidRPr="00F614F9">
        <w:rPr>
          <w:rFonts w:ascii="Times New Roman" w:hAnsi="Times New Roman" w:cs="宋体"/>
          <w:b/>
          <w:bCs/>
        </w:rPr>
        <w:t>20</w:t>
      </w:r>
      <w:r w:rsidRPr="00F614F9">
        <w:rPr>
          <w:rFonts w:ascii="Times New Roman" w:hAnsi="Times New Roman" w:cs="宋体"/>
          <w:b/>
          <w:bCs/>
        </w:rPr>
        <w:t>、其他债权投资</w:t>
      </w:r>
      <w:bookmarkEnd w:id="271"/>
    </w:p>
    <w:p w14:paraId="295A2AA9" w14:textId="77777777" w:rsidR="00872599" w:rsidRPr="00F614F9" w:rsidRDefault="00000000">
      <w:pPr>
        <w:pStyle w:val="a3"/>
        <w:divId w:val="736322913"/>
        <w:rPr>
          <w:rFonts w:ascii="Times New Roman" w:hAnsi="Times New Roman"/>
          <w:sz w:val="18"/>
          <w:szCs w:val="18"/>
        </w:rPr>
      </w:pPr>
      <w:r w:rsidRPr="00F614F9">
        <w:rPr>
          <w:rFonts w:ascii="Times New Roman" w:hAnsi="Times New Roman" w:hint="eastAsia"/>
          <w:sz w:val="18"/>
          <w:szCs w:val="18"/>
        </w:rPr>
        <w:t>无</w:t>
      </w:r>
    </w:p>
    <w:p w14:paraId="03237130" w14:textId="77777777" w:rsidR="001D26E7" w:rsidRPr="00F614F9" w:rsidRDefault="00000000">
      <w:pPr>
        <w:pStyle w:val="3"/>
        <w:spacing w:line="280" w:lineRule="exact"/>
        <w:jc w:val="left"/>
        <w:rPr>
          <w:rFonts w:ascii="Times New Roman" w:hAnsi="Times New Roman" w:cs="宋体"/>
          <w:b/>
          <w:bCs/>
        </w:rPr>
      </w:pPr>
      <w:bookmarkStart w:id="272" w:name="_Toc989087"/>
      <w:r w:rsidRPr="00F614F9">
        <w:rPr>
          <w:rFonts w:ascii="Times New Roman" w:hAnsi="Times New Roman" w:cs="宋体"/>
          <w:b/>
          <w:bCs/>
        </w:rPr>
        <w:t>21</w:t>
      </w:r>
      <w:r w:rsidRPr="00F614F9">
        <w:rPr>
          <w:rFonts w:ascii="Times New Roman" w:hAnsi="Times New Roman" w:cs="宋体"/>
          <w:b/>
          <w:bCs/>
        </w:rPr>
        <w:t>、长期应收款</w:t>
      </w:r>
      <w:bookmarkEnd w:id="272"/>
    </w:p>
    <w:p w14:paraId="01B9DF1C" w14:textId="77777777" w:rsidR="00872599" w:rsidRPr="00F614F9" w:rsidRDefault="00000000">
      <w:pPr>
        <w:pStyle w:val="a3"/>
        <w:divId w:val="1460999541"/>
        <w:rPr>
          <w:rFonts w:ascii="Times New Roman" w:hAnsi="Times New Roman"/>
          <w:sz w:val="18"/>
          <w:szCs w:val="18"/>
        </w:rPr>
      </w:pPr>
      <w:r w:rsidRPr="00F614F9">
        <w:rPr>
          <w:rFonts w:ascii="Times New Roman" w:hAnsi="Times New Roman" w:hint="eastAsia"/>
          <w:sz w:val="18"/>
          <w:szCs w:val="18"/>
        </w:rPr>
        <w:t>无</w:t>
      </w:r>
    </w:p>
    <w:p w14:paraId="52B0F024" w14:textId="77777777" w:rsidR="001D26E7" w:rsidRPr="00F614F9" w:rsidRDefault="00000000">
      <w:pPr>
        <w:pStyle w:val="3"/>
        <w:spacing w:line="280" w:lineRule="exact"/>
        <w:jc w:val="left"/>
        <w:rPr>
          <w:rFonts w:ascii="Times New Roman" w:hAnsi="Times New Roman" w:cs="宋体"/>
          <w:b/>
          <w:bCs/>
        </w:rPr>
      </w:pPr>
      <w:bookmarkStart w:id="273" w:name="_Toc989088"/>
      <w:r w:rsidRPr="00F614F9">
        <w:rPr>
          <w:rFonts w:ascii="Times New Roman" w:hAnsi="Times New Roman" w:cs="宋体"/>
          <w:b/>
          <w:bCs/>
        </w:rPr>
        <w:t>22</w:t>
      </w:r>
      <w:r w:rsidRPr="00F614F9">
        <w:rPr>
          <w:rFonts w:ascii="Times New Roman" w:hAnsi="Times New Roman" w:cs="宋体"/>
          <w:b/>
          <w:bCs/>
        </w:rPr>
        <w:t>、长期股权投资</w:t>
      </w:r>
      <w:bookmarkEnd w:id="273"/>
    </w:p>
    <w:p w14:paraId="68F9840A"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部分所指的长期股权投资是指本集团对被投资单位具有控制、共同控制或重大影响的长期股权投资。本集团对被投资单位不具有控制、共同控制或重大影响的长期股权投资，作为以公允价值计量且其变动计入当期损益的金融资产核算，其中如果属于</w:t>
      </w:r>
      <w:proofErr w:type="gramStart"/>
      <w:r w:rsidRPr="00F614F9">
        <w:rPr>
          <w:rFonts w:ascii="Times New Roman" w:eastAsia="宋体" w:hAnsi="Times New Roman" w:hint="eastAsia"/>
          <w:sz w:val="18"/>
          <w:szCs w:val="18"/>
        </w:rPr>
        <w:t>非交易</w:t>
      </w:r>
      <w:proofErr w:type="gramEnd"/>
      <w:r w:rsidRPr="00F614F9">
        <w:rPr>
          <w:rFonts w:ascii="Times New Roman" w:eastAsia="宋体" w:hAnsi="Times New Roman" w:hint="eastAsia"/>
          <w:sz w:val="18"/>
          <w:szCs w:val="18"/>
        </w:rPr>
        <w:t>性的，本集团在初始确认时可选择将其指定为以公允价值计量且其变动计入其他综合收益的金融资产核算，其会计政策详见附注五、</w:t>
      </w:r>
      <w:r w:rsidRPr="00F614F9">
        <w:rPr>
          <w:rFonts w:ascii="Times New Roman" w:eastAsia="宋体" w:hAnsi="Times New Roman" w:hint="eastAsia"/>
          <w:sz w:val="18"/>
          <w:szCs w:val="18"/>
        </w:rPr>
        <w:t>11</w:t>
      </w:r>
      <w:r w:rsidRPr="00F614F9">
        <w:rPr>
          <w:rFonts w:ascii="Times New Roman" w:eastAsia="宋体" w:hAnsi="Times New Roman" w:hint="eastAsia"/>
          <w:sz w:val="18"/>
          <w:szCs w:val="18"/>
        </w:rPr>
        <w:t>“金融工具”。</w:t>
      </w:r>
    </w:p>
    <w:p w14:paraId="474B6C91"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共同控制，是指本集团按照相关约定对某项安排所共有的控制，并且该安排的相关活动必须经过分享控制权的参与方一致同意后才能决策。重大影响，是指本集团对被投资单位的财务和经营政策有参与决策的权力，但并不能够控制或者与其他方一起共同控制这些政策的制定。</w:t>
      </w:r>
    </w:p>
    <w:p w14:paraId="3390D6F6"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投资成本的确定</w:t>
      </w:r>
    </w:p>
    <w:p w14:paraId="56935E80"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对于同</w:t>
      </w:r>
      <w:proofErr w:type="gramStart"/>
      <w:r w:rsidRPr="00F614F9">
        <w:rPr>
          <w:rFonts w:ascii="Times New Roman" w:eastAsia="宋体" w:hAnsi="Times New Roman" w:hint="eastAsia"/>
          <w:sz w:val="18"/>
          <w:szCs w:val="18"/>
        </w:rPr>
        <w:t>一控制</w:t>
      </w:r>
      <w:proofErr w:type="gramEnd"/>
      <w:r w:rsidRPr="00F614F9">
        <w:rPr>
          <w:rFonts w:ascii="Times New Roman" w:eastAsia="宋体" w:hAnsi="Times New Roman" w:hint="eastAsia"/>
          <w:sz w:val="18"/>
          <w:szCs w:val="18"/>
        </w:rPr>
        <w:t>下的企业合并取得的长期股权投资，在</w:t>
      </w:r>
      <w:proofErr w:type="gramStart"/>
      <w:r w:rsidRPr="00F614F9">
        <w:rPr>
          <w:rFonts w:ascii="Times New Roman" w:eastAsia="宋体" w:hAnsi="Times New Roman" w:hint="eastAsia"/>
          <w:sz w:val="18"/>
          <w:szCs w:val="18"/>
        </w:rPr>
        <w:t>合并日按照</w:t>
      </w:r>
      <w:proofErr w:type="gramEnd"/>
      <w:r w:rsidRPr="00F614F9">
        <w:rPr>
          <w:rFonts w:ascii="Times New Roman" w:eastAsia="宋体" w:hAnsi="Times New Roman" w:hint="eastAsia"/>
          <w:sz w:val="18"/>
          <w:szCs w:val="18"/>
        </w:rPr>
        <w:t>被合并方股东权益</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所有者权益在最终控制方合并财务报表中的账面价值的份额作为长期股权投资的初始投资成本。长期股权投资初始投资成本与支付的现金、转让的非现金资产以及所承担债务账面价值之间的差额，调整资本公积；资本公</w:t>
      </w:r>
      <w:proofErr w:type="gramStart"/>
      <w:r w:rsidRPr="00F614F9">
        <w:rPr>
          <w:rFonts w:ascii="Times New Roman" w:eastAsia="宋体" w:hAnsi="Times New Roman" w:hint="eastAsia"/>
          <w:sz w:val="18"/>
          <w:szCs w:val="18"/>
        </w:rPr>
        <w:t>积不足</w:t>
      </w:r>
      <w:proofErr w:type="gramEnd"/>
      <w:r w:rsidRPr="00F614F9">
        <w:rPr>
          <w:rFonts w:ascii="Times New Roman" w:eastAsia="宋体" w:hAnsi="Times New Roman" w:hint="eastAsia"/>
          <w:sz w:val="18"/>
          <w:szCs w:val="18"/>
        </w:rPr>
        <w:t>冲减的，调整留存收益。以发行权益</w:t>
      </w:r>
      <w:proofErr w:type="gramStart"/>
      <w:r w:rsidRPr="00F614F9">
        <w:rPr>
          <w:rFonts w:ascii="Times New Roman" w:eastAsia="宋体" w:hAnsi="Times New Roman" w:hint="eastAsia"/>
          <w:sz w:val="18"/>
          <w:szCs w:val="18"/>
        </w:rPr>
        <w:t>性证券</w:t>
      </w:r>
      <w:proofErr w:type="gramEnd"/>
      <w:r w:rsidRPr="00F614F9">
        <w:rPr>
          <w:rFonts w:ascii="Times New Roman" w:eastAsia="宋体" w:hAnsi="Times New Roman" w:hint="eastAsia"/>
          <w:sz w:val="18"/>
          <w:szCs w:val="18"/>
        </w:rPr>
        <w:t>作为合并对价的，在</w:t>
      </w:r>
      <w:proofErr w:type="gramStart"/>
      <w:r w:rsidRPr="00F614F9">
        <w:rPr>
          <w:rFonts w:ascii="Times New Roman" w:eastAsia="宋体" w:hAnsi="Times New Roman" w:hint="eastAsia"/>
          <w:sz w:val="18"/>
          <w:szCs w:val="18"/>
        </w:rPr>
        <w:t>合并日按照</w:t>
      </w:r>
      <w:proofErr w:type="gramEnd"/>
      <w:r w:rsidRPr="00F614F9">
        <w:rPr>
          <w:rFonts w:ascii="Times New Roman" w:eastAsia="宋体" w:hAnsi="Times New Roman" w:hint="eastAsia"/>
          <w:sz w:val="18"/>
          <w:szCs w:val="18"/>
        </w:rPr>
        <w:t>被合并方股东权益</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所有者权益在最终控制方合并财务报表中的账面价值的份额作为长期股权投资的初始投资成本，按照发行股份的面值总额作为股本，长期股权投资初始投资成本与所发行股份面值总额之间的差额，调整资本公积；资本公</w:t>
      </w:r>
      <w:proofErr w:type="gramStart"/>
      <w:r w:rsidRPr="00F614F9">
        <w:rPr>
          <w:rFonts w:ascii="Times New Roman" w:eastAsia="宋体" w:hAnsi="Times New Roman" w:hint="eastAsia"/>
          <w:sz w:val="18"/>
          <w:szCs w:val="18"/>
        </w:rPr>
        <w:t>积不足</w:t>
      </w:r>
      <w:proofErr w:type="gramEnd"/>
      <w:r w:rsidRPr="00F614F9">
        <w:rPr>
          <w:rFonts w:ascii="Times New Roman" w:eastAsia="宋体" w:hAnsi="Times New Roman" w:hint="eastAsia"/>
          <w:sz w:val="18"/>
          <w:szCs w:val="18"/>
        </w:rPr>
        <w:t>冲减的，调整留存收益。通过多次交易分步取得同</w:t>
      </w:r>
      <w:proofErr w:type="gramStart"/>
      <w:r w:rsidRPr="00F614F9">
        <w:rPr>
          <w:rFonts w:ascii="Times New Roman" w:eastAsia="宋体" w:hAnsi="Times New Roman" w:hint="eastAsia"/>
          <w:sz w:val="18"/>
          <w:szCs w:val="18"/>
        </w:rPr>
        <w:t>一控制</w:t>
      </w:r>
      <w:proofErr w:type="gramEnd"/>
      <w:r w:rsidRPr="00F614F9">
        <w:rPr>
          <w:rFonts w:ascii="Times New Roman" w:eastAsia="宋体" w:hAnsi="Times New Roman" w:hint="eastAsia"/>
          <w:sz w:val="18"/>
          <w:szCs w:val="18"/>
        </w:rPr>
        <w:t>下被合并方的股权，最终形成同</w:t>
      </w:r>
      <w:proofErr w:type="gramStart"/>
      <w:r w:rsidRPr="00F614F9">
        <w:rPr>
          <w:rFonts w:ascii="Times New Roman" w:eastAsia="宋体" w:hAnsi="Times New Roman" w:hint="eastAsia"/>
          <w:sz w:val="18"/>
          <w:szCs w:val="18"/>
        </w:rPr>
        <w:t>一控制</w:t>
      </w:r>
      <w:proofErr w:type="gramEnd"/>
      <w:r w:rsidRPr="00F614F9">
        <w:rPr>
          <w:rFonts w:ascii="Times New Roman" w:eastAsia="宋体" w:hAnsi="Times New Roman" w:hint="eastAsia"/>
          <w:sz w:val="18"/>
          <w:szCs w:val="18"/>
        </w:rPr>
        <w:t>下企业合并的，应分别是否属于“一揽子交易”进行处理：属于“一揽子交易”的，将各项交易作为一项取得控制权的交易进行会计处理。不属于“一揽子交易”的，在</w:t>
      </w:r>
      <w:proofErr w:type="gramStart"/>
      <w:r w:rsidRPr="00F614F9">
        <w:rPr>
          <w:rFonts w:ascii="Times New Roman" w:eastAsia="宋体" w:hAnsi="Times New Roman" w:hint="eastAsia"/>
          <w:sz w:val="18"/>
          <w:szCs w:val="18"/>
        </w:rPr>
        <w:t>合并日</w:t>
      </w:r>
      <w:proofErr w:type="gramEnd"/>
      <w:r w:rsidRPr="00F614F9">
        <w:rPr>
          <w:rFonts w:ascii="Times New Roman" w:eastAsia="宋体" w:hAnsi="Times New Roman" w:hint="eastAsia"/>
          <w:sz w:val="18"/>
          <w:szCs w:val="18"/>
        </w:rPr>
        <w:t>按照应享有被合并方股东权益</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所有者权益在最终控制方合并财务报表中的账面价值的份额作为长期股权投资的初始投资成本，长期股权投资初始投资成本与达到合并前的长期股权投资账面价值加上</w:t>
      </w:r>
      <w:proofErr w:type="gramStart"/>
      <w:r w:rsidRPr="00F614F9">
        <w:rPr>
          <w:rFonts w:ascii="Times New Roman" w:eastAsia="宋体" w:hAnsi="Times New Roman" w:hint="eastAsia"/>
          <w:sz w:val="18"/>
          <w:szCs w:val="18"/>
        </w:rPr>
        <w:t>合并日</w:t>
      </w:r>
      <w:proofErr w:type="gramEnd"/>
      <w:r w:rsidRPr="00F614F9">
        <w:rPr>
          <w:rFonts w:ascii="Times New Roman" w:eastAsia="宋体" w:hAnsi="Times New Roman" w:hint="eastAsia"/>
          <w:sz w:val="18"/>
          <w:szCs w:val="18"/>
        </w:rPr>
        <w:t>进一步取得股份新支付对价的账面价值之和的差额，调整资本公积；资本公</w:t>
      </w:r>
      <w:proofErr w:type="gramStart"/>
      <w:r w:rsidRPr="00F614F9">
        <w:rPr>
          <w:rFonts w:ascii="Times New Roman" w:eastAsia="宋体" w:hAnsi="Times New Roman" w:hint="eastAsia"/>
          <w:sz w:val="18"/>
          <w:szCs w:val="18"/>
        </w:rPr>
        <w:t>积不足</w:t>
      </w:r>
      <w:proofErr w:type="gramEnd"/>
      <w:r w:rsidRPr="00F614F9">
        <w:rPr>
          <w:rFonts w:ascii="Times New Roman" w:eastAsia="宋体" w:hAnsi="Times New Roman" w:hint="eastAsia"/>
          <w:sz w:val="18"/>
          <w:szCs w:val="18"/>
        </w:rPr>
        <w:t>冲减的，调整留存收益。</w:t>
      </w:r>
      <w:proofErr w:type="gramStart"/>
      <w:r w:rsidRPr="00F614F9">
        <w:rPr>
          <w:rFonts w:ascii="Times New Roman" w:eastAsia="宋体" w:hAnsi="Times New Roman" w:hint="eastAsia"/>
          <w:sz w:val="18"/>
          <w:szCs w:val="18"/>
        </w:rPr>
        <w:t>合并日</w:t>
      </w:r>
      <w:proofErr w:type="gramEnd"/>
      <w:r w:rsidRPr="00F614F9">
        <w:rPr>
          <w:rFonts w:ascii="Times New Roman" w:eastAsia="宋体" w:hAnsi="Times New Roman" w:hint="eastAsia"/>
          <w:sz w:val="18"/>
          <w:szCs w:val="18"/>
        </w:rPr>
        <w:t>之前持有的股权投资因采用权益法核算或作为以公允价值计量且其变动计入其他综合收益的金融资产而确认的其他综合收益，暂不进行会计处理。</w:t>
      </w:r>
    </w:p>
    <w:p w14:paraId="6E9D4B1C"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对于非同</w:t>
      </w:r>
      <w:proofErr w:type="gramStart"/>
      <w:r w:rsidRPr="00F614F9">
        <w:rPr>
          <w:rFonts w:ascii="Times New Roman" w:eastAsia="宋体" w:hAnsi="Times New Roman" w:hint="eastAsia"/>
          <w:sz w:val="18"/>
          <w:szCs w:val="18"/>
        </w:rPr>
        <w:t>一控制</w:t>
      </w:r>
      <w:proofErr w:type="gramEnd"/>
      <w:r w:rsidRPr="00F614F9">
        <w:rPr>
          <w:rFonts w:ascii="Times New Roman" w:eastAsia="宋体" w:hAnsi="Times New Roman" w:hint="eastAsia"/>
          <w:sz w:val="18"/>
          <w:szCs w:val="18"/>
        </w:rPr>
        <w:t>下的企业合并取得的长期股权投资，在购买</w:t>
      </w:r>
      <w:proofErr w:type="gramStart"/>
      <w:r w:rsidRPr="00F614F9">
        <w:rPr>
          <w:rFonts w:ascii="Times New Roman" w:eastAsia="宋体" w:hAnsi="Times New Roman" w:hint="eastAsia"/>
          <w:sz w:val="18"/>
          <w:szCs w:val="18"/>
        </w:rPr>
        <w:t>日按照</w:t>
      </w:r>
      <w:proofErr w:type="gramEnd"/>
      <w:r w:rsidRPr="00F614F9">
        <w:rPr>
          <w:rFonts w:ascii="Times New Roman" w:eastAsia="宋体" w:hAnsi="Times New Roman" w:hint="eastAsia"/>
          <w:sz w:val="18"/>
          <w:szCs w:val="18"/>
        </w:rPr>
        <w:t>合并成本作为长期股权投资的初始投资成本，合并</w:t>
      </w:r>
      <w:r w:rsidRPr="00F614F9">
        <w:rPr>
          <w:rFonts w:ascii="Times New Roman" w:eastAsia="宋体" w:hAnsi="Times New Roman" w:hint="eastAsia"/>
          <w:sz w:val="18"/>
          <w:szCs w:val="18"/>
        </w:rPr>
        <w:lastRenderedPageBreak/>
        <w:t>成本包括购买方付出的资产、发生或承担的负债、发行的权益</w:t>
      </w:r>
      <w:proofErr w:type="gramStart"/>
      <w:r w:rsidRPr="00F614F9">
        <w:rPr>
          <w:rFonts w:ascii="Times New Roman" w:eastAsia="宋体" w:hAnsi="Times New Roman" w:hint="eastAsia"/>
          <w:sz w:val="18"/>
          <w:szCs w:val="18"/>
        </w:rPr>
        <w:t>性证券</w:t>
      </w:r>
      <w:proofErr w:type="gramEnd"/>
      <w:r w:rsidRPr="00F614F9">
        <w:rPr>
          <w:rFonts w:ascii="Times New Roman" w:eastAsia="宋体" w:hAnsi="Times New Roman" w:hint="eastAsia"/>
          <w:sz w:val="18"/>
          <w:szCs w:val="18"/>
        </w:rPr>
        <w:t>的公允价值之</w:t>
      </w:r>
      <w:proofErr w:type="gramStart"/>
      <w:r w:rsidRPr="00F614F9">
        <w:rPr>
          <w:rFonts w:ascii="Times New Roman" w:eastAsia="宋体" w:hAnsi="Times New Roman" w:hint="eastAsia"/>
          <w:sz w:val="18"/>
          <w:szCs w:val="18"/>
        </w:rPr>
        <w:t>和</w:t>
      </w:r>
      <w:proofErr w:type="gramEnd"/>
      <w:r w:rsidRPr="00F614F9">
        <w:rPr>
          <w:rFonts w:ascii="Times New Roman" w:eastAsia="宋体" w:hAnsi="Times New Roman" w:hint="eastAsia"/>
          <w:sz w:val="18"/>
          <w:szCs w:val="18"/>
        </w:rPr>
        <w:t>。通过多次交易分步取得被购买方的股权，最终形成非同</w:t>
      </w:r>
      <w:proofErr w:type="gramStart"/>
      <w:r w:rsidRPr="00F614F9">
        <w:rPr>
          <w:rFonts w:ascii="Times New Roman" w:eastAsia="宋体" w:hAnsi="Times New Roman" w:hint="eastAsia"/>
          <w:sz w:val="18"/>
          <w:szCs w:val="18"/>
        </w:rPr>
        <w:t>一控制</w:t>
      </w:r>
      <w:proofErr w:type="gramEnd"/>
      <w:r w:rsidRPr="00F614F9">
        <w:rPr>
          <w:rFonts w:ascii="Times New Roman" w:eastAsia="宋体" w:hAnsi="Times New Roman" w:hint="eastAsia"/>
          <w:sz w:val="18"/>
          <w:szCs w:val="18"/>
        </w:rPr>
        <w:t>下的企业合并的，应分别是否属于“一揽子交易”进行处理：属于“一揽子交易”的，将各项交易作为一项取得控制权的交易进行会计处理。不属于“一揽子交易”的，按照原持有被购买方的股权投资账面价值加上新增投资成本之和，作为改按成本法核算的长期股权投资的初始投资成本。原持有的股权采用权益法核算的，相关其他综合收益暂不进行会计处理。</w:t>
      </w:r>
    </w:p>
    <w:p w14:paraId="23575F9E"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合并方或购买方为企业合并发生的审计、法律服务、评估咨询等中介费用以及其他相关管理费用，于发生时计入当期损益。</w:t>
      </w:r>
    </w:p>
    <w:p w14:paraId="69FC0058"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除企业合并形成的长期股权投资外的其他股权投资，按成本进行初始计量，</w:t>
      </w:r>
      <w:proofErr w:type="gramStart"/>
      <w:r w:rsidRPr="00F614F9">
        <w:rPr>
          <w:rFonts w:ascii="Times New Roman" w:eastAsia="宋体" w:hAnsi="Times New Roman" w:hint="eastAsia"/>
          <w:sz w:val="18"/>
          <w:szCs w:val="18"/>
        </w:rPr>
        <w:t>该成本视长期</w:t>
      </w:r>
      <w:proofErr w:type="gramEnd"/>
      <w:r w:rsidRPr="00F614F9">
        <w:rPr>
          <w:rFonts w:ascii="Times New Roman" w:eastAsia="宋体" w:hAnsi="Times New Roman" w:hint="eastAsia"/>
          <w:sz w:val="18"/>
          <w:szCs w:val="18"/>
        </w:rPr>
        <w:t>股权投资取得方式的不同，分别按照本集团实际支付的现金购买价款、本集团发行的权益</w:t>
      </w:r>
      <w:proofErr w:type="gramStart"/>
      <w:r w:rsidRPr="00F614F9">
        <w:rPr>
          <w:rFonts w:ascii="Times New Roman" w:eastAsia="宋体" w:hAnsi="Times New Roman" w:hint="eastAsia"/>
          <w:sz w:val="18"/>
          <w:szCs w:val="18"/>
        </w:rPr>
        <w:t>性证券</w:t>
      </w:r>
      <w:proofErr w:type="gramEnd"/>
      <w:r w:rsidRPr="00F614F9">
        <w:rPr>
          <w:rFonts w:ascii="Times New Roman" w:eastAsia="宋体" w:hAnsi="Times New Roman" w:hint="eastAsia"/>
          <w:sz w:val="18"/>
          <w:szCs w:val="18"/>
        </w:rPr>
        <w:t>的公允价值、投资合同或协议约定的价值、非货币性资产交换交易中换出资产的公允价值或原账面价值、该项长期股权投资自身的公允价值等方式确定。与取得长期股权投资直接相关的费用、税金及其他必要支出也计入投资成本。对于因追加投资能够对被投资单位实施重大影响或实施共同控制但不构成控制的，长期股权投资成本为按照《企业会计准则第</w:t>
      </w:r>
      <w:r w:rsidRPr="00F614F9">
        <w:rPr>
          <w:rFonts w:ascii="Times New Roman" w:eastAsia="宋体" w:hAnsi="Times New Roman" w:hint="eastAsia"/>
          <w:sz w:val="18"/>
          <w:szCs w:val="18"/>
        </w:rPr>
        <w:t>22</w:t>
      </w:r>
      <w:r w:rsidRPr="00F614F9">
        <w:rPr>
          <w:rFonts w:ascii="Times New Roman" w:eastAsia="宋体" w:hAnsi="Times New Roman" w:hint="eastAsia"/>
          <w:sz w:val="18"/>
          <w:szCs w:val="18"/>
        </w:rPr>
        <w:t>号——金融工具确认和计量》确定的原持有股权投资的公允价值加上新增投资成本之</w:t>
      </w:r>
      <w:proofErr w:type="gramStart"/>
      <w:r w:rsidRPr="00F614F9">
        <w:rPr>
          <w:rFonts w:ascii="Times New Roman" w:eastAsia="宋体" w:hAnsi="Times New Roman" w:hint="eastAsia"/>
          <w:sz w:val="18"/>
          <w:szCs w:val="18"/>
        </w:rPr>
        <w:t>和</w:t>
      </w:r>
      <w:proofErr w:type="gramEnd"/>
      <w:r w:rsidRPr="00F614F9">
        <w:rPr>
          <w:rFonts w:ascii="Times New Roman" w:eastAsia="宋体" w:hAnsi="Times New Roman" w:hint="eastAsia"/>
          <w:sz w:val="18"/>
          <w:szCs w:val="18"/>
        </w:rPr>
        <w:t>。</w:t>
      </w:r>
    </w:p>
    <w:p w14:paraId="03A628E8"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后续计量及损益确认方法</w:t>
      </w:r>
    </w:p>
    <w:p w14:paraId="187C0634"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对被投资单位具有共同控制（构成共同经营者除外）或重大影响的长期股权投资，采用权益法核算。此外，公司财务报表采用成本法核算能够对被投资单位实施控制的长期股权投资。</w:t>
      </w:r>
    </w:p>
    <w:p w14:paraId="6906BC06"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①成本法核算的长期股权投资</w:t>
      </w:r>
    </w:p>
    <w:p w14:paraId="426828CB"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采用成本法核算时，长期股权投资按初始投资成本计价，追加或收回投资调整长期股权投资的成本。除取得投资时实际支付的价款或者对价中包含的已宣告但尚未发放的现金股利或者利润外，当期投资收益按照享有被投资单位宣告发放的现金股利或利润确认。</w:t>
      </w:r>
    </w:p>
    <w:p w14:paraId="30F1BBD4"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②权益法核算的长期股权投资</w:t>
      </w:r>
    </w:p>
    <w:p w14:paraId="44BF83D0"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14:paraId="0230AD90"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集团不一致的，按照本集团的会计政策及会计期间对被投资单位的财务报表进行调整，并据以确认投资收益和其他综合收益。对于本集团与联营企业及合营企业之间发生的交易，投出或出售的资产不构成业务的，未实现内部交易损益按照享有的比例计算归属于本集团的部分予以</w:t>
      </w:r>
      <w:proofErr w:type="gramStart"/>
      <w:r w:rsidRPr="00F614F9">
        <w:rPr>
          <w:rFonts w:ascii="Times New Roman" w:eastAsia="宋体" w:hAnsi="Times New Roman" w:hint="eastAsia"/>
          <w:sz w:val="18"/>
          <w:szCs w:val="18"/>
        </w:rPr>
        <w:t>抵销</w:t>
      </w:r>
      <w:proofErr w:type="gramEnd"/>
      <w:r w:rsidRPr="00F614F9">
        <w:rPr>
          <w:rFonts w:ascii="Times New Roman" w:eastAsia="宋体" w:hAnsi="Times New Roman" w:hint="eastAsia"/>
          <w:sz w:val="18"/>
          <w:szCs w:val="18"/>
        </w:rPr>
        <w:t>，在此基础上确认投资损益。但本集团与被投资单位发生的未实现内部交易损失，属于所转让资产减值损失的，不予以</w:t>
      </w:r>
      <w:proofErr w:type="gramStart"/>
      <w:r w:rsidRPr="00F614F9">
        <w:rPr>
          <w:rFonts w:ascii="Times New Roman" w:eastAsia="宋体" w:hAnsi="Times New Roman" w:hint="eastAsia"/>
          <w:sz w:val="18"/>
          <w:szCs w:val="18"/>
        </w:rPr>
        <w:t>抵销</w:t>
      </w:r>
      <w:proofErr w:type="gramEnd"/>
      <w:r w:rsidRPr="00F614F9">
        <w:rPr>
          <w:rFonts w:ascii="Times New Roman" w:eastAsia="宋体" w:hAnsi="Times New Roman" w:hint="eastAsia"/>
          <w:sz w:val="18"/>
          <w:szCs w:val="18"/>
        </w:rPr>
        <w:t>。本集团向合营企业或联营企业投出的资产构成业务的，投资方因此取得长期股权投资但未取得控制权的，以投出业务的公允价值作为新增长期股权投资的初始投资成本，初始投资成本与投出业务的账面价值之差，全额计入当期损益。本集团向合营企业或联营企业出售的资产构成业务的，取得的对价与业务的账面价值之差，全额计入当期损益。本集团自联营企业及合营企业购入的资产构成业务的，按《企业会计准则第</w:t>
      </w:r>
      <w:r w:rsidRPr="00F614F9">
        <w:rPr>
          <w:rFonts w:ascii="Times New Roman" w:eastAsia="宋体" w:hAnsi="Times New Roman" w:hint="eastAsia"/>
          <w:sz w:val="18"/>
          <w:szCs w:val="18"/>
        </w:rPr>
        <w:t>20</w:t>
      </w:r>
      <w:r w:rsidRPr="00F614F9">
        <w:rPr>
          <w:rFonts w:ascii="Times New Roman" w:eastAsia="宋体" w:hAnsi="Times New Roman" w:hint="eastAsia"/>
          <w:sz w:val="18"/>
          <w:szCs w:val="18"/>
        </w:rPr>
        <w:t>号——企业合并》的规定进行会计处理，全额确认与交易相关的利得或损失。</w:t>
      </w:r>
    </w:p>
    <w:p w14:paraId="207F2F7A"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在确认应分担被投资单位发生的净亏损时，以长期股权投资的账面价值和其他实质上构成对被投资单位净投资的长期权益</w:t>
      </w:r>
      <w:proofErr w:type="gramStart"/>
      <w:r w:rsidRPr="00F614F9">
        <w:rPr>
          <w:rFonts w:ascii="Times New Roman" w:eastAsia="宋体" w:hAnsi="Times New Roman" w:hint="eastAsia"/>
          <w:sz w:val="18"/>
          <w:szCs w:val="18"/>
        </w:rPr>
        <w:t>减记至</w:t>
      </w:r>
      <w:proofErr w:type="gramEnd"/>
      <w:r w:rsidRPr="00F614F9">
        <w:rPr>
          <w:rFonts w:ascii="Times New Roman" w:eastAsia="宋体" w:hAnsi="Times New Roman" w:hint="eastAsia"/>
          <w:sz w:val="18"/>
          <w:szCs w:val="18"/>
        </w:rPr>
        <w:t>零为限。此外，如本集团对被投资单位负有承担额外损失的义务，则按预计承担的义务确认预计负债，计入当</w:t>
      </w:r>
      <w:r w:rsidRPr="00F614F9">
        <w:rPr>
          <w:rFonts w:ascii="Times New Roman" w:eastAsia="宋体" w:hAnsi="Times New Roman" w:hint="eastAsia"/>
          <w:sz w:val="18"/>
          <w:szCs w:val="18"/>
        </w:rPr>
        <w:lastRenderedPageBreak/>
        <w:t>期投资损失。被投资单位以后期间实现净利润的，本集团在收益分享额弥补未确认的亏损分担额后，恢复确认收益分享额。</w:t>
      </w:r>
    </w:p>
    <w:p w14:paraId="4A4D1DB5"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③收购少数股权</w:t>
      </w:r>
    </w:p>
    <w:p w14:paraId="0B79970D"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在编制合并财务报表时，因购买少数股权新增的长期股权投资与按照新增持股比例计算应享有子公司自购买日（或合并日）开始持续计算的净资产份额之间的差额，调整资本公积，资本公</w:t>
      </w:r>
      <w:proofErr w:type="gramStart"/>
      <w:r w:rsidRPr="00F614F9">
        <w:rPr>
          <w:rFonts w:ascii="Times New Roman" w:eastAsia="宋体" w:hAnsi="Times New Roman" w:hint="eastAsia"/>
          <w:sz w:val="18"/>
          <w:szCs w:val="18"/>
        </w:rPr>
        <w:t>积不足</w:t>
      </w:r>
      <w:proofErr w:type="gramEnd"/>
      <w:r w:rsidRPr="00F614F9">
        <w:rPr>
          <w:rFonts w:ascii="Times New Roman" w:eastAsia="宋体" w:hAnsi="Times New Roman" w:hint="eastAsia"/>
          <w:sz w:val="18"/>
          <w:szCs w:val="18"/>
        </w:rPr>
        <w:t>冲减的，调整留存收益。</w:t>
      </w:r>
    </w:p>
    <w:p w14:paraId="52A48F95"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④处置长期股权投资</w:t>
      </w:r>
    </w:p>
    <w:p w14:paraId="0E253A5F"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在合并财务报表中，母公司在不丧失控制权的情况下部分处置对子公司的长期股权投资，处置价款与处置长期股权投资相对应享有子公司净资产的差额计入股东权益；母公司部分处置对子公司的长期股权投资导致丧失对子公司控制权的，按本附注五、</w:t>
      </w:r>
      <w:r w:rsidRPr="00F614F9">
        <w:rPr>
          <w:rFonts w:ascii="Times New Roman" w:eastAsia="宋体" w:hAnsi="Times New Roman" w:hint="eastAsia"/>
          <w:sz w:val="18"/>
          <w:szCs w:val="18"/>
        </w:rPr>
        <w:t>7</w:t>
      </w:r>
      <w:r w:rsidRPr="00F614F9">
        <w:rPr>
          <w:rFonts w:ascii="Times New Roman" w:eastAsia="宋体" w:hAnsi="Times New Roman" w:hint="eastAsia"/>
          <w:sz w:val="18"/>
          <w:szCs w:val="18"/>
        </w:rPr>
        <w:t>、“控制的判断标准和合并财务报表编制的方法”（</w:t>
      </w: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）中所述的相关会计政策处理。</w:t>
      </w:r>
    </w:p>
    <w:p w14:paraId="453D0FED"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其他情形下的长期股权投资处置，对于处置的股权，其账面价值与实际取得价款的差额，计入当期损益。</w:t>
      </w:r>
    </w:p>
    <w:p w14:paraId="5298C087"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采用权益法核算的长期股权投资，处置后的剩余股权仍采用权益法核算的，在处置时将原计入股东权益的其他综合收益部分按相应的比例采用与被投资单位直接处置相关资产或负债相同的基础进行会计处理。因被投资方除净损益、其他综合收益和利润分配以外的其他所有者权益变动而确认的所有者权益，按比例结转入当期损益。</w:t>
      </w:r>
    </w:p>
    <w:p w14:paraId="491ED52E"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采用成本法核算的长期股权投资，处置后剩余股权仍采用成本法核算的，其在取得对被投资单位的控制之前因采用权益法核算或金融工具确认和计量准则核算而确认的其他综合收益，采用与被投资单位直接处置相关资产或负债相同的基础进行会计处理，并按比例结转当期损益；因采用权益法核算而确认的被投资单位净资产中除净损益、其他综合收益和利润分配以外的其他所有者权益</w:t>
      </w:r>
      <w:proofErr w:type="gramStart"/>
      <w:r w:rsidRPr="00F614F9">
        <w:rPr>
          <w:rFonts w:ascii="Times New Roman" w:eastAsia="宋体" w:hAnsi="Times New Roman" w:hint="eastAsia"/>
          <w:sz w:val="18"/>
          <w:szCs w:val="18"/>
        </w:rPr>
        <w:t>变动按</w:t>
      </w:r>
      <w:proofErr w:type="gramEnd"/>
      <w:r w:rsidRPr="00F614F9">
        <w:rPr>
          <w:rFonts w:ascii="Times New Roman" w:eastAsia="宋体" w:hAnsi="Times New Roman" w:hint="eastAsia"/>
          <w:sz w:val="18"/>
          <w:szCs w:val="18"/>
        </w:rPr>
        <w:t>比例结转当期损益。</w:t>
      </w:r>
    </w:p>
    <w:p w14:paraId="3EE53342"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集团因处置部分股权投资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金融工具确认和计量准则的有关规定进行会计处理，其在丧失控制之日的公允价值与账面价值之间的差额计入当期损益。对于本集团取得对被投资单位的控制之前，因采用权益法核算或金融工具确认和计量准则核算而确认的其他综合收益，在丧失对被投资单位控制时采用与被投资单位直接处置相关资产或负债相同的基础进行会计处理，因采用权益法核算而确认的被投资单位净资产中除净损益、其他综合收益和利润分配以外的其他所有者权益变动在丧失对被投资单位控制时结转入当期损益。其中，处置后的剩余股权采用权益法核算的，其他综合收益和其他所有者权益按比例结转；处置后的剩余股权改按金融工具确认和计量准则进行会计处理的，其他综合收益和其他所有者权益全部结转。</w:t>
      </w:r>
    </w:p>
    <w:p w14:paraId="79EC33E1"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集团因处置部分股权投资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时全部转入当期投资收益。</w:t>
      </w:r>
    </w:p>
    <w:p w14:paraId="758F34D3"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集团通过多次交易分步处置对子公司股权投资直至丧失控制权，如果上述交易属于一揽子交易的，将各项交易作为一项处置子公司股权投资并丧失控制权的交易进行会计处理，在丧失控制权之前每一次处置价款与所处置的股权对应的长期股权投资账面价值之间的差额，先确认为其他综合收益，到丧失控制权时再一并转入丧失控制权的当期损益。</w:t>
      </w:r>
    </w:p>
    <w:p w14:paraId="11EA66AF" w14:textId="77777777" w:rsidR="001D26E7" w:rsidRPr="00F614F9" w:rsidRDefault="00000000">
      <w:pPr>
        <w:pStyle w:val="3"/>
        <w:spacing w:line="280" w:lineRule="exact"/>
        <w:jc w:val="left"/>
        <w:rPr>
          <w:rFonts w:ascii="Times New Roman" w:hAnsi="Times New Roman" w:cs="宋体"/>
          <w:b/>
          <w:bCs/>
        </w:rPr>
      </w:pPr>
      <w:bookmarkStart w:id="274" w:name="_Toc989089"/>
      <w:r w:rsidRPr="00F614F9">
        <w:rPr>
          <w:rFonts w:ascii="Times New Roman" w:hAnsi="Times New Roman" w:cs="宋体"/>
          <w:b/>
          <w:bCs/>
        </w:rPr>
        <w:t>23</w:t>
      </w:r>
      <w:r w:rsidRPr="00F614F9">
        <w:rPr>
          <w:rFonts w:ascii="Times New Roman" w:hAnsi="Times New Roman" w:cs="宋体"/>
          <w:b/>
          <w:bCs/>
        </w:rPr>
        <w:t>、投资性房地产</w:t>
      </w:r>
      <w:bookmarkEnd w:id="274"/>
    </w:p>
    <w:p w14:paraId="68720DEE"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投资性房地产计量模式</w:t>
      </w:r>
    </w:p>
    <w:p w14:paraId="7A8D52CD"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不适用</w:t>
      </w:r>
    </w:p>
    <w:p w14:paraId="1AAE7F88" w14:textId="77777777" w:rsidR="001D26E7" w:rsidRPr="00F614F9" w:rsidRDefault="00000000">
      <w:pPr>
        <w:pStyle w:val="3"/>
        <w:spacing w:line="280" w:lineRule="exact"/>
        <w:jc w:val="left"/>
        <w:rPr>
          <w:rFonts w:ascii="Times New Roman" w:hAnsi="Times New Roman" w:cs="宋体"/>
          <w:b/>
          <w:bCs/>
        </w:rPr>
      </w:pPr>
      <w:bookmarkStart w:id="275" w:name="_Toc989090"/>
      <w:r w:rsidRPr="00F614F9">
        <w:rPr>
          <w:rFonts w:ascii="Times New Roman" w:hAnsi="Times New Roman" w:cs="宋体"/>
          <w:b/>
          <w:bCs/>
        </w:rPr>
        <w:lastRenderedPageBreak/>
        <w:t>24</w:t>
      </w:r>
      <w:r w:rsidRPr="00F614F9">
        <w:rPr>
          <w:rFonts w:ascii="Times New Roman" w:hAnsi="Times New Roman" w:cs="宋体"/>
          <w:b/>
          <w:bCs/>
        </w:rPr>
        <w:t>、固定资产</w:t>
      </w:r>
      <w:bookmarkEnd w:id="275"/>
    </w:p>
    <w:p w14:paraId="335F3E07"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276" w:name="_Toc989091"/>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确认条件</w:t>
      </w:r>
      <w:bookmarkEnd w:id="276"/>
    </w:p>
    <w:p w14:paraId="67DB602B" w14:textId="77777777" w:rsidR="00872599" w:rsidRPr="00F614F9" w:rsidRDefault="00000000" w:rsidP="007C0164">
      <w:pPr>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固定资产是指为生产商品、提供劳务、出租或经营管理而持有的，使用寿命超过一个会计年度的有形资产。固定资产仅在与其有关的经济利益很可能流入本集团，且其成本能够可靠地计量时才予以确认。固定资产按成本并考虑预计弃置费用因素的影响进行初始计量。</w:t>
      </w:r>
    </w:p>
    <w:p w14:paraId="6605325A"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277" w:name="_Toc989092"/>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折旧方法</w:t>
      </w:r>
      <w:bookmarkEnd w:id="277"/>
    </w:p>
    <w:p w14:paraId="706993A3" w14:textId="77777777" w:rsidR="001D26E7" w:rsidRPr="00F614F9" w:rsidRDefault="001D26E7">
      <w:pPr>
        <w:spacing w:line="0" w:lineRule="atLeast"/>
        <w:rPr>
          <w:rFonts w:ascii="Times New Roman" w:hAnsi="Times New Roman"/>
        </w:rPr>
      </w:pP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1D26E7" w:rsidRPr="00F614F9" w14:paraId="7209246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D51D87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类别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7EA17A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折旧方法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A9989D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折旧年限</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F4A4E8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残值率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0B3852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年折旧率</w:t>
            </w:r>
          </w:p>
        </w:tc>
      </w:tr>
      <w:tr w:rsidR="001D26E7" w:rsidRPr="00F614F9" w14:paraId="4421C7F5"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3C581F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房屋及建筑物</w:t>
            </w:r>
          </w:p>
        </w:tc>
        <w:tc>
          <w:tcPr>
            <w:tcW w:w="1928" w:type="dxa"/>
            <w:tcBorders>
              <w:top w:val="single" w:sz="2" w:space="0" w:color="auto"/>
              <w:left w:val="single" w:sz="2" w:space="0" w:color="auto"/>
              <w:bottom w:val="single" w:sz="2" w:space="0" w:color="auto"/>
              <w:right w:val="single" w:sz="2" w:space="0" w:color="auto"/>
            </w:tcBorders>
            <w:vAlign w:val="center"/>
          </w:tcPr>
          <w:p w14:paraId="2B16D93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2696C9BA" w14:textId="77777777" w:rsidR="001D26E7" w:rsidRPr="00F614F9" w:rsidRDefault="00000000" w:rsidP="00BE4446">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20-40</w:t>
            </w:r>
          </w:p>
        </w:tc>
        <w:tc>
          <w:tcPr>
            <w:tcW w:w="1928" w:type="dxa"/>
            <w:tcBorders>
              <w:top w:val="single" w:sz="2" w:space="0" w:color="auto"/>
              <w:left w:val="single" w:sz="2" w:space="0" w:color="auto"/>
              <w:bottom w:val="single" w:sz="2" w:space="0" w:color="auto"/>
              <w:right w:val="single" w:sz="2" w:space="0" w:color="auto"/>
            </w:tcBorders>
            <w:vAlign w:val="center"/>
          </w:tcPr>
          <w:p w14:paraId="01C59C65" w14:textId="77777777" w:rsidR="001D26E7" w:rsidRPr="00F614F9" w:rsidRDefault="00000000" w:rsidP="00BE4446">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14:paraId="150D8E89" w14:textId="77777777" w:rsidR="001D26E7" w:rsidRPr="00F614F9" w:rsidRDefault="00000000" w:rsidP="00BE4446">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2.38-4.75</w:t>
            </w:r>
          </w:p>
        </w:tc>
      </w:tr>
      <w:tr w:rsidR="001D26E7" w:rsidRPr="00F614F9" w14:paraId="6B73D085"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F00D69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机器设备</w:t>
            </w:r>
          </w:p>
        </w:tc>
        <w:tc>
          <w:tcPr>
            <w:tcW w:w="1928" w:type="dxa"/>
            <w:tcBorders>
              <w:top w:val="single" w:sz="2" w:space="0" w:color="auto"/>
              <w:left w:val="single" w:sz="2" w:space="0" w:color="auto"/>
              <w:bottom w:val="single" w:sz="2" w:space="0" w:color="auto"/>
              <w:right w:val="single" w:sz="2" w:space="0" w:color="auto"/>
            </w:tcBorders>
            <w:vAlign w:val="center"/>
          </w:tcPr>
          <w:p w14:paraId="3E35883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26B6AD1F" w14:textId="77777777" w:rsidR="001D26E7" w:rsidRPr="00F614F9" w:rsidRDefault="00000000" w:rsidP="00BE4446">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8-14</w:t>
            </w:r>
          </w:p>
        </w:tc>
        <w:tc>
          <w:tcPr>
            <w:tcW w:w="1928" w:type="dxa"/>
            <w:tcBorders>
              <w:top w:val="single" w:sz="2" w:space="0" w:color="auto"/>
              <w:left w:val="single" w:sz="2" w:space="0" w:color="auto"/>
              <w:bottom w:val="single" w:sz="2" w:space="0" w:color="auto"/>
              <w:right w:val="single" w:sz="2" w:space="0" w:color="auto"/>
            </w:tcBorders>
            <w:vAlign w:val="center"/>
          </w:tcPr>
          <w:p w14:paraId="491C58A0" w14:textId="77777777" w:rsidR="001D26E7" w:rsidRPr="00F614F9" w:rsidRDefault="00000000" w:rsidP="00BE4446">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0-5</w:t>
            </w:r>
          </w:p>
        </w:tc>
        <w:tc>
          <w:tcPr>
            <w:tcW w:w="1928" w:type="dxa"/>
            <w:tcBorders>
              <w:top w:val="single" w:sz="2" w:space="0" w:color="auto"/>
              <w:left w:val="single" w:sz="2" w:space="0" w:color="auto"/>
              <w:bottom w:val="single" w:sz="2" w:space="0" w:color="auto"/>
              <w:right w:val="single" w:sz="2" w:space="0" w:color="auto"/>
            </w:tcBorders>
            <w:vAlign w:val="center"/>
          </w:tcPr>
          <w:p w14:paraId="5F80CE36" w14:textId="77777777" w:rsidR="001D26E7" w:rsidRPr="00F614F9" w:rsidRDefault="00000000" w:rsidP="00BE4446">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6.79-12.50</w:t>
            </w:r>
          </w:p>
        </w:tc>
      </w:tr>
      <w:tr w:rsidR="001D26E7" w:rsidRPr="00F614F9" w14:paraId="4B693CBB"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513758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运输工具</w:t>
            </w:r>
          </w:p>
        </w:tc>
        <w:tc>
          <w:tcPr>
            <w:tcW w:w="1928" w:type="dxa"/>
            <w:tcBorders>
              <w:top w:val="single" w:sz="2" w:space="0" w:color="auto"/>
              <w:left w:val="single" w:sz="2" w:space="0" w:color="auto"/>
              <w:bottom w:val="single" w:sz="2" w:space="0" w:color="auto"/>
              <w:right w:val="single" w:sz="2" w:space="0" w:color="auto"/>
            </w:tcBorders>
            <w:vAlign w:val="center"/>
          </w:tcPr>
          <w:p w14:paraId="6690959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53C7514A" w14:textId="77777777" w:rsidR="001D26E7" w:rsidRPr="00F614F9" w:rsidRDefault="00000000" w:rsidP="00BE4446">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4-5</w:t>
            </w:r>
          </w:p>
        </w:tc>
        <w:tc>
          <w:tcPr>
            <w:tcW w:w="1928" w:type="dxa"/>
            <w:tcBorders>
              <w:top w:val="single" w:sz="2" w:space="0" w:color="auto"/>
              <w:left w:val="single" w:sz="2" w:space="0" w:color="auto"/>
              <w:bottom w:val="single" w:sz="2" w:space="0" w:color="auto"/>
              <w:right w:val="single" w:sz="2" w:space="0" w:color="auto"/>
            </w:tcBorders>
            <w:vAlign w:val="center"/>
          </w:tcPr>
          <w:p w14:paraId="20866DC2" w14:textId="77777777" w:rsidR="001D26E7" w:rsidRPr="00F614F9" w:rsidRDefault="00000000" w:rsidP="00BE4446">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0-5</w:t>
            </w:r>
          </w:p>
        </w:tc>
        <w:tc>
          <w:tcPr>
            <w:tcW w:w="1928" w:type="dxa"/>
            <w:tcBorders>
              <w:top w:val="single" w:sz="2" w:space="0" w:color="auto"/>
              <w:left w:val="single" w:sz="2" w:space="0" w:color="auto"/>
              <w:bottom w:val="single" w:sz="2" w:space="0" w:color="auto"/>
              <w:right w:val="single" w:sz="2" w:space="0" w:color="auto"/>
            </w:tcBorders>
            <w:vAlign w:val="center"/>
          </w:tcPr>
          <w:p w14:paraId="602D7834" w14:textId="77777777" w:rsidR="001D26E7" w:rsidRPr="00F614F9" w:rsidRDefault="00000000" w:rsidP="00BE4446">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19.00-25.00</w:t>
            </w:r>
          </w:p>
        </w:tc>
      </w:tr>
      <w:tr w:rsidR="001D26E7" w:rsidRPr="00F614F9" w14:paraId="1B98E683"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F4BA39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电子设备</w:t>
            </w:r>
          </w:p>
        </w:tc>
        <w:tc>
          <w:tcPr>
            <w:tcW w:w="1928" w:type="dxa"/>
            <w:tcBorders>
              <w:top w:val="single" w:sz="2" w:space="0" w:color="auto"/>
              <w:left w:val="single" w:sz="2" w:space="0" w:color="auto"/>
              <w:bottom w:val="single" w:sz="2" w:space="0" w:color="auto"/>
              <w:right w:val="single" w:sz="2" w:space="0" w:color="auto"/>
            </w:tcBorders>
            <w:vAlign w:val="center"/>
          </w:tcPr>
          <w:p w14:paraId="33D04AB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58CE8340" w14:textId="77777777" w:rsidR="001D26E7" w:rsidRPr="00F614F9" w:rsidRDefault="00000000" w:rsidP="00BE4446">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3-5</w:t>
            </w:r>
          </w:p>
        </w:tc>
        <w:tc>
          <w:tcPr>
            <w:tcW w:w="1928" w:type="dxa"/>
            <w:tcBorders>
              <w:top w:val="single" w:sz="2" w:space="0" w:color="auto"/>
              <w:left w:val="single" w:sz="2" w:space="0" w:color="auto"/>
              <w:bottom w:val="single" w:sz="2" w:space="0" w:color="auto"/>
              <w:right w:val="single" w:sz="2" w:space="0" w:color="auto"/>
            </w:tcBorders>
            <w:vAlign w:val="center"/>
          </w:tcPr>
          <w:p w14:paraId="058E205F" w14:textId="77777777" w:rsidR="001D26E7" w:rsidRPr="00F614F9" w:rsidRDefault="00000000" w:rsidP="00BE4446">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0-5</w:t>
            </w:r>
          </w:p>
        </w:tc>
        <w:tc>
          <w:tcPr>
            <w:tcW w:w="1928" w:type="dxa"/>
            <w:tcBorders>
              <w:top w:val="single" w:sz="2" w:space="0" w:color="auto"/>
              <w:left w:val="single" w:sz="2" w:space="0" w:color="auto"/>
              <w:bottom w:val="single" w:sz="2" w:space="0" w:color="auto"/>
              <w:right w:val="single" w:sz="2" w:space="0" w:color="auto"/>
            </w:tcBorders>
            <w:vAlign w:val="center"/>
          </w:tcPr>
          <w:p w14:paraId="387C8220" w14:textId="77777777" w:rsidR="001D26E7" w:rsidRPr="00F614F9" w:rsidRDefault="00000000" w:rsidP="00BE4446">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19.00-33.33</w:t>
            </w:r>
          </w:p>
        </w:tc>
      </w:tr>
      <w:tr w:rsidR="001D26E7" w:rsidRPr="00F614F9" w14:paraId="31C31963"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3CFDDB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1928" w:type="dxa"/>
            <w:tcBorders>
              <w:top w:val="single" w:sz="2" w:space="0" w:color="auto"/>
              <w:left w:val="single" w:sz="2" w:space="0" w:color="auto"/>
              <w:bottom w:val="single" w:sz="2" w:space="0" w:color="auto"/>
              <w:right w:val="single" w:sz="2" w:space="0" w:color="auto"/>
            </w:tcBorders>
            <w:vAlign w:val="center"/>
          </w:tcPr>
          <w:p w14:paraId="687ABE0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47D903FC" w14:textId="77777777" w:rsidR="001D26E7" w:rsidRPr="00F614F9" w:rsidRDefault="00000000" w:rsidP="00BE4446">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4-8</w:t>
            </w:r>
          </w:p>
        </w:tc>
        <w:tc>
          <w:tcPr>
            <w:tcW w:w="1928" w:type="dxa"/>
            <w:tcBorders>
              <w:top w:val="single" w:sz="2" w:space="0" w:color="auto"/>
              <w:left w:val="single" w:sz="2" w:space="0" w:color="auto"/>
              <w:bottom w:val="single" w:sz="2" w:space="0" w:color="auto"/>
              <w:right w:val="single" w:sz="2" w:space="0" w:color="auto"/>
            </w:tcBorders>
            <w:vAlign w:val="center"/>
          </w:tcPr>
          <w:p w14:paraId="6B7AB489" w14:textId="77777777" w:rsidR="001D26E7" w:rsidRPr="00F614F9" w:rsidRDefault="00000000" w:rsidP="00BE4446">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0-5</w:t>
            </w:r>
          </w:p>
        </w:tc>
        <w:tc>
          <w:tcPr>
            <w:tcW w:w="1928" w:type="dxa"/>
            <w:tcBorders>
              <w:top w:val="single" w:sz="2" w:space="0" w:color="auto"/>
              <w:left w:val="single" w:sz="2" w:space="0" w:color="auto"/>
              <w:bottom w:val="single" w:sz="2" w:space="0" w:color="auto"/>
              <w:right w:val="single" w:sz="2" w:space="0" w:color="auto"/>
            </w:tcBorders>
            <w:vAlign w:val="center"/>
          </w:tcPr>
          <w:p w14:paraId="5D6CCB60" w14:textId="77777777" w:rsidR="001D26E7" w:rsidRPr="00F614F9" w:rsidRDefault="00000000" w:rsidP="00BE4446">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11.88-25.00</w:t>
            </w:r>
          </w:p>
        </w:tc>
      </w:tr>
    </w:tbl>
    <w:p w14:paraId="24B1B9F1" w14:textId="77777777" w:rsidR="00872599" w:rsidRPr="00F614F9" w:rsidRDefault="00000000" w:rsidP="007C0164">
      <w:pPr>
        <w:pStyle w:val="a3"/>
        <w:spacing w:before="0" w:beforeAutospacing="0" w:after="0" w:afterAutospacing="0" w:line="276" w:lineRule="auto"/>
        <w:ind w:firstLine="360"/>
        <w:divId w:val="1091387792"/>
        <w:rPr>
          <w:rFonts w:ascii="Times New Roman" w:hAnsi="Times New Roman" w:cs="Times New Roman"/>
          <w:sz w:val="21"/>
          <w:szCs w:val="21"/>
        </w:rPr>
      </w:pPr>
      <w:r w:rsidRPr="00F614F9">
        <w:rPr>
          <w:rFonts w:ascii="Times New Roman" w:hAnsi="Times New Roman" w:cs="Times New Roman" w:hint="eastAsia"/>
          <w:sz w:val="18"/>
          <w:szCs w:val="18"/>
        </w:rPr>
        <w:t>预计净残值是指假定固定资产预计使用寿命已满并处于使用寿命终了时的预期状态，本集团目前从该项资产处置中获得的扣除预计处置费用后的金额。</w:t>
      </w:r>
    </w:p>
    <w:p w14:paraId="51371742" w14:textId="77777777" w:rsidR="00872599" w:rsidRPr="00F614F9" w:rsidRDefault="00000000" w:rsidP="007C0164">
      <w:pPr>
        <w:pStyle w:val="a3"/>
        <w:spacing w:before="0" w:beforeAutospacing="0" w:after="0" w:afterAutospacing="0" w:line="276" w:lineRule="auto"/>
        <w:ind w:firstLine="360"/>
        <w:divId w:val="1091387792"/>
        <w:rPr>
          <w:rFonts w:ascii="Times New Roman" w:hAnsi="Times New Roman" w:cs="Times New Roman"/>
          <w:sz w:val="21"/>
          <w:szCs w:val="21"/>
        </w:rPr>
      </w:pPr>
      <w:r w:rsidRPr="00F614F9">
        <w:rPr>
          <w:rFonts w:ascii="Times New Roman" w:hAnsi="Times New Roman" w:cs="Times New Roman" w:hint="eastAsia"/>
          <w:sz w:val="18"/>
          <w:szCs w:val="18"/>
        </w:rPr>
        <w:t>固定资产的减值测试方法和减值准备计提方法详见附注五、</w:t>
      </w:r>
      <w:r w:rsidRPr="00F614F9">
        <w:rPr>
          <w:rFonts w:ascii="Times New Roman" w:hAnsi="Times New Roman" w:cs="Times New Roman" w:hint="eastAsia"/>
          <w:sz w:val="18"/>
          <w:szCs w:val="18"/>
        </w:rPr>
        <w:t>30</w:t>
      </w:r>
      <w:r w:rsidRPr="00F614F9">
        <w:rPr>
          <w:rFonts w:ascii="Times New Roman" w:hAnsi="Times New Roman" w:cs="Times New Roman" w:hint="eastAsia"/>
          <w:sz w:val="18"/>
          <w:szCs w:val="18"/>
        </w:rPr>
        <w:t>“长期资产减值”。</w:t>
      </w:r>
    </w:p>
    <w:p w14:paraId="49842E78" w14:textId="77777777" w:rsidR="00872599" w:rsidRPr="00F614F9" w:rsidRDefault="00000000" w:rsidP="007C0164">
      <w:pPr>
        <w:pStyle w:val="a3"/>
        <w:spacing w:before="0" w:beforeAutospacing="0" w:after="0" w:afterAutospacing="0" w:line="276" w:lineRule="auto"/>
        <w:ind w:firstLine="360"/>
        <w:divId w:val="1091387792"/>
        <w:rPr>
          <w:rFonts w:ascii="Times New Roman" w:hAnsi="Times New Roman" w:cs="Times New Roman"/>
          <w:sz w:val="21"/>
          <w:szCs w:val="21"/>
        </w:rPr>
      </w:pPr>
      <w:r w:rsidRPr="00F614F9">
        <w:rPr>
          <w:rFonts w:ascii="Times New Roman" w:hAnsi="Times New Roman" w:cs="Times New Roman" w:hint="eastAsia"/>
          <w:sz w:val="18"/>
          <w:szCs w:val="18"/>
        </w:rPr>
        <w:t>与固定资产有关的后续支出，如果与该固定资产有关的经济利益很可能流入且其成本能可靠地计量，则计入固定资产成本，并终止确认被替换部分的账面价值。除此以外的其他后续支出，在发生时计入当期损益。</w:t>
      </w:r>
    </w:p>
    <w:p w14:paraId="6EF79638" w14:textId="77777777" w:rsidR="00872599" w:rsidRPr="00F614F9" w:rsidRDefault="00000000" w:rsidP="007C0164">
      <w:pPr>
        <w:pStyle w:val="a3"/>
        <w:spacing w:before="0" w:beforeAutospacing="0" w:after="0" w:afterAutospacing="0" w:line="276" w:lineRule="auto"/>
        <w:ind w:firstLine="360"/>
        <w:divId w:val="1091387792"/>
        <w:rPr>
          <w:rFonts w:ascii="Times New Roman" w:hAnsi="Times New Roman" w:cs="Times New Roman"/>
          <w:sz w:val="21"/>
          <w:szCs w:val="21"/>
        </w:rPr>
      </w:pPr>
      <w:r w:rsidRPr="00F614F9">
        <w:rPr>
          <w:rFonts w:ascii="Times New Roman" w:hAnsi="Times New Roman" w:cs="Times New Roman" w:hint="eastAsia"/>
          <w:sz w:val="18"/>
          <w:szCs w:val="18"/>
        </w:rPr>
        <w:t>当固定资产处于处置状态或预期通过使用或处置不能产生经济利益时，终止确认该固定资产。固定资产出售、转让、报废或毁损的处置收入扣除其账面价值和相关税费后的差额计入当期损益。</w:t>
      </w:r>
    </w:p>
    <w:p w14:paraId="2B4AE060" w14:textId="77777777" w:rsidR="00872599" w:rsidRPr="00F614F9" w:rsidRDefault="00000000" w:rsidP="007C0164">
      <w:pPr>
        <w:pStyle w:val="a3"/>
        <w:spacing w:before="0" w:beforeAutospacing="0" w:after="0" w:afterAutospacing="0" w:line="276" w:lineRule="auto"/>
        <w:ind w:firstLine="360"/>
        <w:divId w:val="1091387792"/>
        <w:rPr>
          <w:rFonts w:ascii="Times New Roman" w:hAnsi="Times New Roman" w:cs="Times New Roman"/>
          <w:sz w:val="21"/>
          <w:szCs w:val="21"/>
        </w:rPr>
      </w:pPr>
      <w:r w:rsidRPr="00F614F9">
        <w:rPr>
          <w:rFonts w:ascii="Times New Roman" w:hAnsi="Times New Roman" w:cs="Times New Roman" w:hint="eastAsia"/>
          <w:sz w:val="18"/>
          <w:szCs w:val="18"/>
        </w:rPr>
        <w:t>本集团至少于年度终了对固定资产的使用寿命、预计净残值和折旧方法进行复核，如发生改变则作为会计估计变更处理。</w:t>
      </w:r>
    </w:p>
    <w:p w14:paraId="728E8A6E" w14:textId="77777777" w:rsidR="001D26E7" w:rsidRPr="00F614F9" w:rsidRDefault="00000000">
      <w:pPr>
        <w:pStyle w:val="3"/>
        <w:spacing w:line="280" w:lineRule="exact"/>
        <w:jc w:val="left"/>
        <w:rPr>
          <w:rFonts w:ascii="Times New Roman" w:hAnsi="Times New Roman" w:cs="宋体"/>
          <w:b/>
          <w:bCs/>
        </w:rPr>
      </w:pPr>
      <w:bookmarkStart w:id="278" w:name="_Toc989093"/>
      <w:r w:rsidRPr="00F614F9">
        <w:rPr>
          <w:rFonts w:ascii="Times New Roman" w:hAnsi="Times New Roman" w:cs="宋体"/>
          <w:b/>
          <w:bCs/>
        </w:rPr>
        <w:t>25</w:t>
      </w:r>
      <w:r w:rsidRPr="00F614F9">
        <w:rPr>
          <w:rFonts w:ascii="Times New Roman" w:hAnsi="Times New Roman" w:cs="宋体"/>
          <w:b/>
          <w:bCs/>
        </w:rPr>
        <w:t>、在建工程</w:t>
      </w:r>
      <w:bookmarkEnd w:id="278"/>
    </w:p>
    <w:p w14:paraId="616189B5" w14:textId="77777777" w:rsidR="00872599" w:rsidRPr="00F614F9" w:rsidRDefault="00000000" w:rsidP="007C0164">
      <w:pPr>
        <w:pStyle w:val="a3"/>
        <w:spacing w:before="0" w:beforeAutospacing="0" w:after="0" w:afterAutospacing="0" w:line="276" w:lineRule="auto"/>
        <w:ind w:firstLine="360"/>
        <w:divId w:val="652417258"/>
        <w:rPr>
          <w:rFonts w:ascii="Times New Roman" w:hAnsi="Times New Roman" w:cs="Times New Roman"/>
          <w:sz w:val="21"/>
          <w:szCs w:val="21"/>
        </w:rPr>
      </w:pPr>
      <w:r w:rsidRPr="00F614F9">
        <w:rPr>
          <w:rFonts w:ascii="Times New Roman" w:hAnsi="Times New Roman" w:cs="Times New Roman" w:hint="eastAsia"/>
          <w:sz w:val="18"/>
          <w:szCs w:val="18"/>
        </w:rPr>
        <w:t>在建工程成本按实际工程支出确定，包括在建期间发生的各项工程支出、工程达到预定可使用状态前的资本化的借款费用以及其他相关费用等。在建工程在达到预定可使用状态后结转为固定资产。</w:t>
      </w:r>
    </w:p>
    <w:p w14:paraId="75ECC662" w14:textId="77777777" w:rsidR="00872599" w:rsidRPr="00F614F9" w:rsidRDefault="00000000" w:rsidP="007C0164">
      <w:pPr>
        <w:pStyle w:val="a3"/>
        <w:spacing w:before="0" w:beforeAutospacing="0" w:after="0" w:afterAutospacing="0" w:line="276" w:lineRule="auto"/>
        <w:ind w:left="420"/>
        <w:jc w:val="both"/>
        <w:divId w:val="652417258"/>
        <w:rPr>
          <w:rFonts w:ascii="Times New Roman" w:hAnsi="Times New Roman" w:cs="Times New Roman"/>
          <w:sz w:val="21"/>
          <w:szCs w:val="21"/>
        </w:rPr>
      </w:pPr>
      <w:r w:rsidRPr="00F614F9">
        <w:rPr>
          <w:rFonts w:ascii="Times New Roman" w:hAnsi="Times New Roman" w:cs="Times New Roman" w:hint="eastAsia"/>
          <w:sz w:val="18"/>
          <w:szCs w:val="18"/>
        </w:rPr>
        <w:t>在建工程的减值测试方法和减值准备计提方法详见附注五、</w:t>
      </w:r>
      <w:r w:rsidRPr="00F614F9">
        <w:rPr>
          <w:rFonts w:ascii="Times New Roman" w:hAnsi="Times New Roman" w:cs="Times New Roman" w:hint="eastAsia"/>
          <w:sz w:val="18"/>
          <w:szCs w:val="18"/>
        </w:rPr>
        <w:t>30</w:t>
      </w:r>
      <w:r w:rsidRPr="00F614F9">
        <w:rPr>
          <w:rFonts w:ascii="Times New Roman" w:hAnsi="Times New Roman" w:cs="Times New Roman" w:hint="eastAsia"/>
          <w:sz w:val="18"/>
          <w:szCs w:val="18"/>
        </w:rPr>
        <w:t>“长期资产减值”。</w:t>
      </w:r>
    </w:p>
    <w:p w14:paraId="17839172" w14:textId="77777777" w:rsidR="001D26E7" w:rsidRPr="00F614F9" w:rsidRDefault="00000000">
      <w:pPr>
        <w:pStyle w:val="3"/>
        <w:spacing w:line="280" w:lineRule="exact"/>
        <w:jc w:val="left"/>
        <w:rPr>
          <w:rFonts w:ascii="Times New Roman" w:hAnsi="Times New Roman" w:cs="宋体"/>
          <w:b/>
          <w:bCs/>
        </w:rPr>
      </w:pPr>
      <w:bookmarkStart w:id="279" w:name="_Toc989094"/>
      <w:r w:rsidRPr="00F614F9">
        <w:rPr>
          <w:rFonts w:ascii="Times New Roman" w:hAnsi="Times New Roman" w:cs="宋体"/>
          <w:b/>
          <w:bCs/>
        </w:rPr>
        <w:t>26</w:t>
      </w:r>
      <w:r w:rsidRPr="00F614F9">
        <w:rPr>
          <w:rFonts w:ascii="Times New Roman" w:hAnsi="Times New Roman" w:cs="宋体"/>
          <w:b/>
          <w:bCs/>
        </w:rPr>
        <w:t>、借款费用</w:t>
      </w:r>
      <w:bookmarkEnd w:id="279"/>
    </w:p>
    <w:p w14:paraId="2D6F6EFF" w14:textId="77777777" w:rsidR="00872599" w:rsidRPr="00F614F9" w:rsidRDefault="00000000" w:rsidP="007C0164">
      <w:pPr>
        <w:pStyle w:val="a3"/>
        <w:spacing w:before="0" w:beforeAutospacing="0" w:after="0" w:afterAutospacing="0" w:line="276" w:lineRule="auto"/>
        <w:ind w:firstLine="360"/>
        <w:divId w:val="1737127354"/>
        <w:rPr>
          <w:rFonts w:ascii="Times New Roman" w:hAnsi="Times New Roman" w:cs="Times New Roman"/>
          <w:sz w:val="21"/>
          <w:szCs w:val="21"/>
        </w:rPr>
      </w:pPr>
      <w:r w:rsidRPr="00F614F9">
        <w:rPr>
          <w:rFonts w:ascii="Times New Roman" w:hAnsi="Times New Roman" w:cs="Times New Roman" w:hint="eastAsia"/>
          <w:sz w:val="18"/>
          <w:szCs w:val="18"/>
        </w:rPr>
        <w:t>借款费用包括借款利息、折价或溢价的摊销、辅助费用以及因外币借款而发生的汇兑差额等。可直接归属于符合资本化条件的资产的购建或者生产的借款费用，在资产支出已经发生、借款费用已经发生、为使资产达到预定可使用或可销售状态所必要的购建或生产活动已经开始时，开始资本化；购建或者生产的符合资本化条件的资产达到预定可使用状态或者可销售状态时，停止资本化。其余借款费用在发生当期确认为费用。</w:t>
      </w:r>
    </w:p>
    <w:p w14:paraId="27020966" w14:textId="77777777" w:rsidR="00872599" w:rsidRPr="00F614F9" w:rsidRDefault="00000000" w:rsidP="007C0164">
      <w:pPr>
        <w:pStyle w:val="a3"/>
        <w:spacing w:before="0" w:beforeAutospacing="0" w:after="0" w:afterAutospacing="0" w:line="276" w:lineRule="auto"/>
        <w:ind w:firstLine="360"/>
        <w:divId w:val="1737127354"/>
        <w:rPr>
          <w:rFonts w:ascii="Times New Roman" w:hAnsi="Times New Roman" w:cs="Times New Roman"/>
          <w:sz w:val="21"/>
          <w:szCs w:val="21"/>
        </w:rPr>
      </w:pPr>
      <w:r w:rsidRPr="00F614F9">
        <w:rPr>
          <w:rFonts w:ascii="Times New Roman" w:hAnsi="Times New Roman" w:cs="Times New Roman" w:hint="eastAsia"/>
          <w:sz w:val="18"/>
          <w:szCs w:val="18"/>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14:paraId="142F62F4" w14:textId="77777777" w:rsidR="00872599" w:rsidRPr="00F614F9" w:rsidRDefault="00000000" w:rsidP="007C0164">
      <w:pPr>
        <w:pStyle w:val="a3"/>
        <w:spacing w:before="0" w:beforeAutospacing="0" w:after="0" w:afterAutospacing="0" w:line="276" w:lineRule="auto"/>
        <w:ind w:firstLine="360"/>
        <w:divId w:val="1737127354"/>
        <w:rPr>
          <w:rFonts w:ascii="Times New Roman" w:hAnsi="Times New Roman" w:cs="Times New Roman"/>
          <w:sz w:val="21"/>
          <w:szCs w:val="21"/>
        </w:rPr>
      </w:pPr>
      <w:r w:rsidRPr="00F614F9">
        <w:rPr>
          <w:rFonts w:ascii="Times New Roman" w:hAnsi="Times New Roman" w:cs="Times New Roman" w:hint="eastAsia"/>
          <w:sz w:val="18"/>
          <w:szCs w:val="18"/>
        </w:rPr>
        <w:t>资本</w:t>
      </w:r>
      <w:proofErr w:type="gramStart"/>
      <w:r w:rsidRPr="00F614F9">
        <w:rPr>
          <w:rFonts w:ascii="Times New Roman" w:hAnsi="Times New Roman" w:cs="Times New Roman" w:hint="eastAsia"/>
          <w:sz w:val="18"/>
          <w:szCs w:val="18"/>
        </w:rPr>
        <w:t>化期间</w:t>
      </w:r>
      <w:proofErr w:type="gramEnd"/>
      <w:r w:rsidRPr="00F614F9">
        <w:rPr>
          <w:rFonts w:ascii="Times New Roman" w:hAnsi="Times New Roman" w:cs="Times New Roman" w:hint="eastAsia"/>
          <w:sz w:val="18"/>
          <w:szCs w:val="18"/>
        </w:rPr>
        <w:t>内，外币专门借款的汇兑差额全部予以资本化；外币一般借款的汇兑差额计入当期损益。</w:t>
      </w:r>
    </w:p>
    <w:p w14:paraId="78F3D665" w14:textId="77777777" w:rsidR="00872599" w:rsidRPr="00F614F9" w:rsidRDefault="00000000" w:rsidP="007C0164">
      <w:pPr>
        <w:pStyle w:val="a3"/>
        <w:spacing w:before="0" w:beforeAutospacing="0" w:after="0" w:afterAutospacing="0" w:line="276" w:lineRule="auto"/>
        <w:ind w:firstLine="360"/>
        <w:divId w:val="1737127354"/>
        <w:rPr>
          <w:rFonts w:ascii="Times New Roman" w:hAnsi="Times New Roman" w:cs="Times New Roman"/>
          <w:sz w:val="21"/>
          <w:szCs w:val="21"/>
        </w:rPr>
      </w:pPr>
      <w:r w:rsidRPr="00F614F9">
        <w:rPr>
          <w:rFonts w:ascii="Times New Roman" w:hAnsi="Times New Roman" w:cs="Times New Roman" w:hint="eastAsia"/>
          <w:sz w:val="18"/>
          <w:szCs w:val="18"/>
        </w:rPr>
        <w:lastRenderedPageBreak/>
        <w:t>符合资本化条件的资产指需要经过相当长时间的购建或者生产活动才能达到预定可使用或可销售状态的固定资产、投资性房地产和存货等资产。</w:t>
      </w:r>
    </w:p>
    <w:p w14:paraId="3D74E3E4" w14:textId="77777777" w:rsidR="00872599" w:rsidRPr="00F614F9" w:rsidRDefault="00000000" w:rsidP="007C0164">
      <w:pPr>
        <w:pStyle w:val="a3"/>
        <w:spacing w:before="0" w:beforeAutospacing="0" w:after="0" w:afterAutospacing="0" w:line="276" w:lineRule="auto"/>
        <w:ind w:firstLine="360"/>
        <w:jc w:val="both"/>
        <w:divId w:val="1737127354"/>
        <w:rPr>
          <w:rFonts w:ascii="Times New Roman" w:hAnsi="Times New Roman" w:cs="Times New Roman"/>
          <w:sz w:val="21"/>
          <w:szCs w:val="21"/>
        </w:rPr>
      </w:pPr>
      <w:r w:rsidRPr="00F614F9">
        <w:rPr>
          <w:rFonts w:ascii="Times New Roman" w:hAnsi="Times New Roman" w:cs="Times New Roman" w:hint="eastAsia"/>
          <w:sz w:val="18"/>
          <w:szCs w:val="18"/>
        </w:rPr>
        <w:t>如果符合资本化条件的资产在购建或生产过程中发生非正常中断、并且中断时间连续超过</w:t>
      </w:r>
      <w:r w:rsidRPr="00F614F9">
        <w:rPr>
          <w:rFonts w:ascii="Times New Roman" w:hAnsi="Times New Roman" w:cs="Times New Roman" w:hint="eastAsia"/>
          <w:sz w:val="18"/>
          <w:szCs w:val="18"/>
        </w:rPr>
        <w:t>3</w:t>
      </w:r>
      <w:r w:rsidRPr="00F614F9">
        <w:rPr>
          <w:rFonts w:ascii="Times New Roman" w:hAnsi="Times New Roman" w:cs="Times New Roman" w:hint="eastAsia"/>
          <w:sz w:val="18"/>
          <w:szCs w:val="18"/>
        </w:rPr>
        <w:t>个月的，暂停借款费用的资本化，直至资产的购建或生产活动重新开始。</w:t>
      </w:r>
    </w:p>
    <w:p w14:paraId="48577DC4" w14:textId="77777777" w:rsidR="001D26E7" w:rsidRPr="00F614F9" w:rsidRDefault="00000000">
      <w:pPr>
        <w:pStyle w:val="3"/>
        <w:spacing w:line="280" w:lineRule="exact"/>
        <w:jc w:val="left"/>
        <w:rPr>
          <w:rFonts w:ascii="Times New Roman" w:hAnsi="Times New Roman" w:cs="宋体"/>
          <w:b/>
          <w:bCs/>
        </w:rPr>
      </w:pPr>
      <w:bookmarkStart w:id="280" w:name="_Toc989095"/>
      <w:r w:rsidRPr="00F614F9">
        <w:rPr>
          <w:rFonts w:ascii="Times New Roman" w:hAnsi="Times New Roman" w:cs="宋体"/>
          <w:b/>
          <w:bCs/>
        </w:rPr>
        <w:t>27</w:t>
      </w:r>
      <w:r w:rsidRPr="00F614F9">
        <w:rPr>
          <w:rFonts w:ascii="Times New Roman" w:hAnsi="Times New Roman" w:cs="宋体"/>
          <w:b/>
          <w:bCs/>
        </w:rPr>
        <w:t>、生物资产</w:t>
      </w:r>
      <w:bookmarkEnd w:id="280"/>
    </w:p>
    <w:p w14:paraId="5F809D2C" w14:textId="77777777" w:rsidR="00872599" w:rsidRPr="00F614F9" w:rsidRDefault="00000000" w:rsidP="007C0164">
      <w:pPr>
        <w:pStyle w:val="a3"/>
        <w:spacing w:before="0" w:beforeAutospacing="0" w:after="0" w:afterAutospacing="0" w:line="276" w:lineRule="auto"/>
        <w:ind w:firstLine="360"/>
        <w:jc w:val="both"/>
        <w:divId w:val="1542128554"/>
        <w:rPr>
          <w:rFonts w:ascii="Times New Roman" w:hAnsi="Times New Roman" w:cs="Times New Roman"/>
          <w:sz w:val="21"/>
          <w:szCs w:val="21"/>
        </w:rPr>
      </w:pPr>
      <w:r w:rsidRPr="00F614F9">
        <w:rPr>
          <w:rFonts w:ascii="Times New Roman" w:hAnsi="Times New Roman" w:cs="Times New Roman" w:hint="eastAsia"/>
          <w:sz w:val="18"/>
          <w:szCs w:val="18"/>
        </w:rPr>
        <w:t>（</w:t>
      </w:r>
      <w:r w:rsidRPr="00F614F9">
        <w:rPr>
          <w:rFonts w:ascii="Times New Roman" w:hAnsi="Times New Roman" w:cs="Times New Roman" w:hint="eastAsia"/>
          <w:sz w:val="18"/>
          <w:szCs w:val="18"/>
        </w:rPr>
        <w:t>1</w:t>
      </w:r>
      <w:r w:rsidRPr="00F614F9">
        <w:rPr>
          <w:rFonts w:ascii="Times New Roman" w:hAnsi="Times New Roman" w:cs="Times New Roman" w:hint="eastAsia"/>
          <w:sz w:val="18"/>
          <w:szCs w:val="18"/>
        </w:rPr>
        <w:t>）消耗性生物资产</w:t>
      </w:r>
    </w:p>
    <w:p w14:paraId="641A7A12" w14:textId="77777777" w:rsidR="00872599" w:rsidRPr="00F614F9" w:rsidRDefault="00000000" w:rsidP="007C0164">
      <w:pPr>
        <w:pStyle w:val="a3"/>
        <w:spacing w:before="0" w:beforeAutospacing="0" w:after="0" w:afterAutospacing="0" w:line="276" w:lineRule="auto"/>
        <w:ind w:firstLine="360"/>
        <w:jc w:val="both"/>
        <w:divId w:val="1542128554"/>
        <w:rPr>
          <w:rFonts w:ascii="Times New Roman" w:hAnsi="Times New Roman" w:cs="Times New Roman"/>
          <w:sz w:val="21"/>
          <w:szCs w:val="21"/>
        </w:rPr>
      </w:pPr>
      <w:r w:rsidRPr="00F614F9">
        <w:rPr>
          <w:rFonts w:ascii="Times New Roman" w:hAnsi="Times New Roman" w:cs="Times New Roman" w:hint="eastAsia"/>
          <w:sz w:val="18"/>
          <w:szCs w:val="18"/>
        </w:rPr>
        <w:t>消耗性生物资产是指为出售而持有的、或在将来收获为农产品的生物资产，包括生长中的大田作物、蔬菜、用材林以及存栏待售的牲畜等。消耗性生物资产按照成本进行初始计量。自行栽培、营造、繁殖或养殖的消耗性生物资产的成本，为该资产在出售或入库前发生的可直接归属于该资产的必要支出，包括符合资本化条件的借款费用。消耗性生物资产在入库后发生的管护、饲养费用等后续支出，计入当期损益。</w:t>
      </w:r>
    </w:p>
    <w:p w14:paraId="66CA039E" w14:textId="77777777" w:rsidR="00872599" w:rsidRPr="00F614F9" w:rsidRDefault="00000000" w:rsidP="007C0164">
      <w:pPr>
        <w:pStyle w:val="a3"/>
        <w:spacing w:before="0" w:beforeAutospacing="0" w:after="0" w:afterAutospacing="0" w:line="276" w:lineRule="auto"/>
        <w:ind w:firstLine="360"/>
        <w:jc w:val="both"/>
        <w:divId w:val="1542128554"/>
        <w:rPr>
          <w:rFonts w:ascii="Times New Roman" w:hAnsi="Times New Roman" w:cs="Times New Roman"/>
          <w:sz w:val="21"/>
          <w:szCs w:val="21"/>
        </w:rPr>
      </w:pPr>
      <w:r w:rsidRPr="00F614F9">
        <w:rPr>
          <w:rFonts w:ascii="Times New Roman" w:hAnsi="Times New Roman" w:cs="Times New Roman" w:hint="eastAsia"/>
          <w:sz w:val="18"/>
          <w:szCs w:val="18"/>
        </w:rPr>
        <w:t>消耗性生物资产在收获或出售时，采用加权平均法按账面价值结转成本。</w:t>
      </w:r>
    </w:p>
    <w:p w14:paraId="6EF9A0A2" w14:textId="77777777" w:rsidR="00872599" w:rsidRPr="00F614F9" w:rsidRDefault="00000000" w:rsidP="007C0164">
      <w:pPr>
        <w:pStyle w:val="a3"/>
        <w:spacing w:before="0" w:beforeAutospacing="0" w:after="0" w:afterAutospacing="0" w:line="276" w:lineRule="auto"/>
        <w:ind w:firstLine="360"/>
        <w:jc w:val="both"/>
        <w:divId w:val="1542128554"/>
        <w:rPr>
          <w:rFonts w:ascii="Times New Roman" w:hAnsi="Times New Roman" w:cs="Times New Roman"/>
          <w:sz w:val="21"/>
          <w:szCs w:val="21"/>
        </w:rPr>
      </w:pPr>
      <w:r w:rsidRPr="00F614F9">
        <w:rPr>
          <w:rFonts w:ascii="Times New Roman" w:hAnsi="Times New Roman" w:cs="Times New Roman" w:hint="eastAsia"/>
          <w:sz w:val="18"/>
          <w:szCs w:val="18"/>
        </w:rPr>
        <w:t>资产负债表日，消耗性生物资产按照成本与可变现净值孰低计量，并采用与确认存货跌价准备一致的方法计算确认消耗性生物资产的跌价准备。如果减值的影响因素已经消失的，</w:t>
      </w:r>
      <w:proofErr w:type="gramStart"/>
      <w:r w:rsidRPr="00F614F9">
        <w:rPr>
          <w:rFonts w:ascii="Times New Roman" w:hAnsi="Times New Roman" w:cs="Times New Roman" w:hint="eastAsia"/>
          <w:sz w:val="18"/>
          <w:szCs w:val="18"/>
        </w:rPr>
        <w:t>减记的</w:t>
      </w:r>
      <w:proofErr w:type="gramEnd"/>
      <w:r w:rsidRPr="00F614F9">
        <w:rPr>
          <w:rFonts w:ascii="Times New Roman" w:hAnsi="Times New Roman" w:cs="Times New Roman" w:hint="eastAsia"/>
          <w:sz w:val="18"/>
          <w:szCs w:val="18"/>
        </w:rPr>
        <w:t>金额应当予以恢复，并在原已计提的跌价准备金额内转回，转回金额计入当期损益。</w:t>
      </w:r>
    </w:p>
    <w:p w14:paraId="799457B1" w14:textId="77777777" w:rsidR="00872599" w:rsidRPr="00F614F9" w:rsidRDefault="00000000" w:rsidP="007C0164">
      <w:pPr>
        <w:pStyle w:val="a3"/>
        <w:spacing w:before="0" w:beforeAutospacing="0" w:after="0" w:afterAutospacing="0" w:line="276" w:lineRule="auto"/>
        <w:ind w:firstLine="360"/>
        <w:jc w:val="both"/>
        <w:divId w:val="1542128554"/>
        <w:rPr>
          <w:rFonts w:ascii="Times New Roman" w:hAnsi="Times New Roman" w:cs="Times New Roman"/>
          <w:sz w:val="21"/>
          <w:szCs w:val="21"/>
        </w:rPr>
      </w:pPr>
      <w:r w:rsidRPr="00F614F9">
        <w:rPr>
          <w:rFonts w:ascii="Times New Roman" w:hAnsi="Times New Roman" w:cs="Times New Roman" w:hint="eastAsia"/>
          <w:sz w:val="18"/>
          <w:szCs w:val="18"/>
        </w:rPr>
        <w:t>如果消耗性生物资产改变用途，作为生产性生物资产，改变用途后的成本按改变用途时的账面价值确定。如果消耗性生物资产改变用途，作为公益性生物资产，则按照《企业会计准则第</w:t>
      </w:r>
      <w:r w:rsidRPr="00F614F9">
        <w:rPr>
          <w:rFonts w:ascii="Times New Roman" w:hAnsi="Times New Roman" w:cs="Times New Roman" w:hint="eastAsia"/>
          <w:sz w:val="18"/>
          <w:szCs w:val="18"/>
        </w:rPr>
        <w:t>8</w:t>
      </w:r>
      <w:r w:rsidRPr="00F614F9">
        <w:rPr>
          <w:rFonts w:ascii="Times New Roman" w:hAnsi="Times New Roman" w:cs="Times New Roman" w:hint="eastAsia"/>
          <w:sz w:val="18"/>
          <w:szCs w:val="18"/>
        </w:rPr>
        <w:t>号——资产减值》规定考虑是否发生减值，发生减值时先计提减值准备，再按计提减值准备后的账面价值确定。</w:t>
      </w:r>
    </w:p>
    <w:p w14:paraId="4AF5106B" w14:textId="77777777" w:rsidR="00872599" w:rsidRPr="00F614F9" w:rsidRDefault="00000000" w:rsidP="007C0164">
      <w:pPr>
        <w:pStyle w:val="a3"/>
        <w:spacing w:before="0" w:beforeAutospacing="0" w:after="0" w:afterAutospacing="0" w:line="276" w:lineRule="auto"/>
        <w:ind w:firstLine="360"/>
        <w:jc w:val="both"/>
        <w:divId w:val="1542128554"/>
        <w:rPr>
          <w:rFonts w:ascii="Times New Roman" w:hAnsi="Times New Roman" w:cs="Times New Roman"/>
          <w:sz w:val="21"/>
          <w:szCs w:val="21"/>
        </w:rPr>
      </w:pPr>
      <w:r w:rsidRPr="00F614F9">
        <w:rPr>
          <w:rFonts w:ascii="Times New Roman" w:hAnsi="Times New Roman" w:cs="Times New Roman" w:hint="eastAsia"/>
          <w:sz w:val="18"/>
          <w:szCs w:val="18"/>
        </w:rPr>
        <w:t>（</w:t>
      </w:r>
      <w:r w:rsidRPr="00F614F9">
        <w:rPr>
          <w:rFonts w:ascii="Times New Roman" w:hAnsi="Times New Roman" w:cs="Times New Roman" w:hint="eastAsia"/>
          <w:sz w:val="18"/>
          <w:szCs w:val="18"/>
        </w:rPr>
        <w:t>2</w:t>
      </w:r>
      <w:r w:rsidRPr="00F614F9">
        <w:rPr>
          <w:rFonts w:ascii="Times New Roman" w:hAnsi="Times New Roman" w:cs="Times New Roman" w:hint="eastAsia"/>
          <w:sz w:val="18"/>
          <w:szCs w:val="18"/>
        </w:rPr>
        <w:t>）生产性生物资产</w:t>
      </w:r>
    </w:p>
    <w:p w14:paraId="3683C119" w14:textId="77777777" w:rsidR="00872599" w:rsidRPr="00F614F9" w:rsidRDefault="00000000" w:rsidP="007C0164">
      <w:pPr>
        <w:pStyle w:val="a3"/>
        <w:spacing w:before="0" w:beforeAutospacing="0" w:after="0" w:afterAutospacing="0" w:line="276" w:lineRule="auto"/>
        <w:ind w:firstLine="360"/>
        <w:jc w:val="both"/>
        <w:divId w:val="1542128554"/>
        <w:rPr>
          <w:rFonts w:ascii="Times New Roman" w:hAnsi="Times New Roman" w:cs="Times New Roman"/>
          <w:sz w:val="21"/>
          <w:szCs w:val="21"/>
        </w:rPr>
      </w:pPr>
      <w:r w:rsidRPr="00F614F9">
        <w:rPr>
          <w:rFonts w:ascii="Times New Roman" w:hAnsi="Times New Roman" w:cs="Times New Roman" w:hint="eastAsia"/>
          <w:sz w:val="18"/>
          <w:szCs w:val="18"/>
        </w:rPr>
        <w:t>生产性生物资产是指为产出农产品、提供劳务或出租等目的而持有的生物资产，包括经济林、薪炭林、</w:t>
      </w:r>
      <w:proofErr w:type="gramStart"/>
      <w:r w:rsidRPr="00F614F9">
        <w:rPr>
          <w:rFonts w:ascii="Times New Roman" w:hAnsi="Times New Roman" w:cs="Times New Roman" w:hint="eastAsia"/>
          <w:sz w:val="18"/>
          <w:szCs w:val="18"/>
        </w:rPr>
        <w:t>产畜和</w:t>
      </w:r>
      <w:proofErr w:type="gramEnd"/>
      <w:r w:rsidRPr="00F614F9">
        <w:rPr>
          <w:rFonts w:ascii="Times New Roman" w:hAnsi="Times New Roman" w:cs="Times New Roman" w:hint="eastAsia"/>
          <w:sz w:val="18"/>
          <w:szCs w:val="18"/>
        </w:rPr>
        <w:t>役畜等。生产性生物资产按照成本进行初始计量。自行营造或繁殖的生产性生物资产的成本，为该资产在达到预定生产经营目的前发生的可直接归属于该资产的必要支出，包括符合资本化条件的借款费用。</w:t>
      </w:r>
    </w:p>
    <w:p w14:paraId="7793A8F5" w14:textId="77777777" w:rsidR="00872599" w:rsidRPr="00F614F9" w:rsidRDefault="00000000" w:rsidP="007C0164">
      <w:pPr>
        <w:pStyle w:val="a3"/>
        <w:spacing w:before="0" w:beforeAutospacing="0" w:after="0" w:afterAutospacing="0" w:line="276" w:lineRule="auto"/>
        <w:ind w:firstLine="360"/>
        <w:jc w:val="both"/>
        <w:divId w:val="1542128554"/>
        <w:rPr>
          <w:rFonts w:ascii="Times New Roman" w:hAnsi="Times New Roman" w:cs="Times New Roman"/>
          <w:sz w:val="21"/>
          <w:szCs w:val="21"/>
        </w:rPr>
      </w:pPr>
      <w:r w:rsidRPr="00F614F9">
        <w:rPr>
          <w:rFonts w:ascii="Times New Roman" w:hAnsi="Times New Roman" w:cs="Times New Roman" w:hint="eastAsia"/>
          <w:sz w:val="18"/>
          <w:szCs w:val="18"/>
        </w:rPr>
        <w:t>生产性生物资产在达到预定生产经营目的后采用年限平均法在使用寿命内计提折旧。各类生产性生物资产的使用寿命、预计净残值率和年折旧率列示如下：</w:t>
      </w:r>
    </w:p>
    <w:tbl>
      <w:tblPr>
        <w:tblW w:w="9553" w:type="dxa"/>
        <w:tblCellMar>
          <w:top w:w="15" w:type="dxa"/>
          <w:left w:w="15" w:type="dxa"/>
          <w:bottom w:w="15" w:type="dxa"/>
          <w:right w:w="15" w:type="dxa"/>
        </w:tblCellMar>
        <w:tblLook w:val="04A0" w:firstRow="1" w:lastRow="0" w:firstColumn="1" w:lastColumn="0" w:noHBand="0" w:noVBand="1"/>
      </w:tblPr>
      <w:tblGrid>
        <w:gridCol w:w="2984"/>
        <w:gridCol w:w="2191"/>
        <w:gridCol w:w="2190"/>
        <w:gridCol w:w="2188"/>
      </w:tblGrid>
      <w:tr w:rsidR="00872599" w:rsidRPr="00F614F9" w14:paraId="219433C5" w14:textId="77777777" w:rsidTr="007C0164">
        <w:trPr>
          <w:divId w:val="1542128554"/>
          <w:trHeight w:val="346"/>
        </w:trPr>
        <w:tc>
          <w:tcPr>
            <w:tcW w:w="15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C5A6C7" w14:textId="77777777" w:rsidR="00872599" w:rsidRPr="00F614F9" w:rsidRDefault="00000000" w:rsidP="007C0164">
            <w:pPr>
              <w:rPr>
                <w:rFonts w:ascii="Times New Roman" w:eastAsia="宋体" w:hAnsi="Times New Roman"/>
                <w:sz w:val="18"/>
                <w:szCs w:val="18"/>
              </w:rPr>
            </w:pPr>
            <w:r w:rsidRPr="00F614F9">
              <w:rPr>
                <w:rFonts w:ascii="Times New Roman" w:eastAsia="宋体" w:hAnsi="Times New Roman" w:hint="eastAsia"/>
                <w:sz w:val="18"/>
                <w:szCs w:val="18"/>
              </w:rPr>
              <w:t>类别</w:t>
            </w:r>
          </w:p>
        </w:tc>
        <w:tc>
          <w:tcPr>
            <w:tcW w:w="11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9C102A" w14:textId="77777777" w:rsidR="00872599" w:rsidRPr="00F614F9" w:rsidRDefault="00000000" w:rsidP="007C0164">
            <w:pPr>
              <w:rPr>
                <w:rFonts w:ascii="Times New Roman" w:eastAsia="宋体" w:hAnsi="Times New Roman"/>
                <w:sz w:val="18"/>
                <w:szCs w:val="18"/>
              </w:rPr>
            </w:pPr>
            <w:r w:rsidRPr="00F614F9">
              <w:rPr>
                <w:rFonts w:ascii="Times New Roman" w:eastAsia="宋体" w:hAnsi="Times New Roman" w:hint="eastAsia"/>
                <w:sz w:val="18"/>
                <w:szCs w:val="18"/>
              </w:rPr>
              <w:t>使用年限（年）</w:t>
            </w:r>
          </w:p>
        </w:tc>
        <w:tc>
          <w:tcPr>
            <w:tcW w:w="114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24D613" w14:textId="77777777" w:rsidR="00872599" w:rsidRPr="00F614F9" w:rsidRDefault="00000000" w:rsidP="007C0164">
            <w:pPr>
              <w:rPr>
                <w:rFonts w:ascii="Times New Roman" w:eastAsia="宋体" w:hAnsi="Times New Roman"/>
                <w:sz w:val="18"/>
                <w:szCs w:val="18"/>
              </w:rPr>
            </w:pPr>
            <w:r w:rsidRPr="00F614F9">
              <w:rPr>
                <w:rFonts w:ascii="Times New Roman" w:eastAsia="宋体" w:hAnsi="Times New Roman" w:hint="eastAsia"/>
                <w:sz w:val="18"/>
                <w:szCs w:val="18"/>
              </w:rPr>
              <w:t>残值率（</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w:t>
            </w:r>
          </w:p>
        </w:tc>
        <w:tc>
          <w:tcPr>
            <w:tcW w:w="114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35874B" w14:textId="77777777" w:rsidR="00872599" w:rsidRPr="00F614F9" w:rsidRDefault="00000000" w:rsidP="007C0164">
            <w:pPr>
              <w:rPr>
                <w:rFonts w:ascii="Times New Roman" w:eastAsia="宋体" w:hAnsi="Times New Roman"/>
                <w:sz w:val="18"/>
                <w:szCs w:val="18"/>
              </w:rPr>
            </w:pPr>
            <w:r w:rsidRPr="00F614F9">
              <w:rPr>
                <w:rFonts w:ascii="Times New Roman" w:eastAsia="宋体" w:hAnsi="Times New Roman" w:hint="eastAsia"/>
                <w:sz w:val="18"/>
                <w:szCs w:val="18"/>
              </w:rPr>
              <w:t>年折旧率（</w:t>
            </w:r>
            <w:r w:rsidRPr="00F614F9">
              <w:rPr>
                <w:rFonts w:ascii="Times New Roman" w:eastAsia="宋体" w:hAnsi="Times New Roman" w:hint="eastAsia"/>
                <w:sz w:val="18"/>
                <w:szCs w:val="18"/>
              </w:rPr>
              <w:t>%</w:t>
            </w:r>
            <w:r w:rsidRPr="00F614F9">
              <w:rPr>
                <w:rFonts w:ascii="Times New Roman" w:eastAsia="宋体" w:hAnsi="Times New Roman" w:hint="eastAsia"/>
                <w:sz w:val="18"/>
                <w:szCs w:val="18"/>
              </w:rPr>
              <w:t>）</w:t>
            </w:r>
          </w:p>
        </w:tc>
      </w:tr>
      <w:tr w:rsidR="00872599" w:rsidRPr="00F614F9" w14:paraId="426230A9" w14:textId="77777777" w:rsidTr="007C0164">
        <w:trPr>
          <w:divId w:val="1542128554"/>
          <w:trHeight w:val="346"/>
        </w:trPr>
        <w:tc>
          <w:tcPr>
            <w:tcW w:w="15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92D938" w14:textId="77777777" w:rsidR="00872599" w:rsidRPr="00F614F9" w:rsidRDefault="00000000" w:rsidP="007C0164">
            <w:pPr>
              <w:rPr>
                <w:rFonts w:ascii="Times New Roman" w:eastAsia="宋体" w:hAnsi="Times New Roman"/>
                <w:sz w:val="18"/>
                <w:szCs w:val="18"/>
              </w:rPr>
            </w:pPr>
            <w:r w:rsidRPr="00F614F9">
              <w:rPr>
                <w:rFonts w:ascii="Times New Roman" w:eastAsia="宋体" w:hAnsi="Times New Roman" w:hint="eastAsia"/>
                <w:sz w:val="18"/>
                <w:szCs w:val="18"/>
              </w:rPr>
              <w:t>种猪</w:t>
            </w:r>
          </w:p>
        </w:tc>
        <w:tc>
          <w:tcPr>
            <w:tcW w:w="11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0C38" w14:textId="77777777" w:rsidR="00872599" w:rsidRPr="00F614F9" w:rsidRDefault="00000000" w:rsidP="007C0164">
            <w:pPr>
              <w:rPr>
                <w:rFonts w:ascii="Times New Roman" w:eastAsia="宋体" w:hAnsi="Times New Roman"/>
                <w:sz w:val="18"/>
                <w:szCs w:val="18"/>
              </w:rPr>
            </w:pPr>
            <w:r w:rsidRPr="00F614F9">
              <w:rPr>
                <w:rFonts w:ascii="Times New Roman" w:eastAsia="宋体" w:hAnsi="Times New Roman" w:hint="eastAsia"/>
                <w:sz w:val="18"/>
                <w:szCs w:val="18"/>
              </w:rPr>
              <w:t>3</w:t>
            </w:r>
          </w:p>
        </w:tc>
        <w:tc>
          <w:tcPr>
            <w:tcW w:w="1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56FC6" w14:textId="77777777" w:rsidR="00872599" w:rsidRPr="00F614F9" w:rsidRDefault="00000000" w:rsidP="007C0164">
            <w:pPr>
              <w:rPr>
                <w:rFonts w:ascii="Times New Roman" w:eastAsia="宋体" w:hAnsi="Times New Roman"/>
                <w:sz w:val="18"/>
                <w:szCs w:val="18"/>
              </w:rPr>
            </w:pPr>
            <w:r w:rsidRPr="00F614F9">
              <w:rPr>
                <w:rFonts w:ascii="Times New Roman" w:eastAsia="宋体" w:hAnsi="Times New Roman" w:hint="eastAsia"/>
                <w:sz w:val="18"/>
                <w:szCs w:val="18"/>
              </w:rPr>
              <w:t>0</w:t>
            </w:r>
          </w:p>
        </w:tc>
        <w:tc>
          <w:tcPr>
            <w:tcW w:w="11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4DD7F2" w14:textId="77777777" w:rsidR="00872599" w:rsidRPr="00F614F9" w:rsidRDefault="00000000" w:rsidP="007C0164">
            <w:pPr>
              <w:rPr>
                <w:rFonts w:ascii="Times New Roman" w:eastAsia="宋体" w:hAnsi="Times New Roman"/>
                <w:sz w:val="18"/>
                <w:szCs w:val="18"/>
              </w:rPr>
            </w:pPr>
            <w:r w:rsidRPr="00F614F9">
              <w:rPr>
                <w:rFonts w:ascii="Times New Roman" w:eastAsia="宋体" w:hAnsi="Times New Roman" w:hint="eastAsia"/>
                <w:sz w:val="18"/>
                <w:szCs w:val="18"/>
              </w:rPr>
              <w:t>33.33</w:t>
            </w:r>
          </w:p>
        </w:tc>
      </w:tr>
    </w:tbl>
    <w:p w14:paraId="4BF1A3C0" w14:textId="77777777" w:rsidR="00872599" w:rsidRPr="00F614F9" w:rsidRDefault="00000000" w:rsidP="007C0164">
      <w:pPr>
        <w:pStyle w:val="a3"/>
        <w:spacing w:before="0" w:beforeAutospacing="0" w:after="0" w:afterAutospacing="0" w:line="276" w:lineRule="auto"/>
        <w:ind w:firstLine="360"/>
        <w:jc w:val="both"/>
        <w:divId w:val="1542128554"/>
        <w:rPr>
          <w:rFonts w:ascii="Times New Roman" w:hAnsi="Times New Roman" w:cs="Times New Roman"/>
          <w:sz w:val="21"/>
          <w:szCs w:val="21"/>
        </w:rPr>
      </w:pPr>
      <w:r w:rsidRPr="00F614F9">
        <w:rPr>
          <w:rFonts w:ascii="Times New Roman" w:hAnsi="Times New Roman" w:cs="Times New Roman" w:hint="eastAsia"/>
          <w:sz w:val="18"/>
          <w:szCs w:val="18"/>
        </w:rPr>
        <w:t>本集团至少于年度终了对生产性生物资产的使用寿命、预计净残值和折旧方法进行复核，如发生改变则作为会计估计变更处理。</w:t>
      </w:r>
    </w:p>
    <w:p w14:paraId="1023ED38" w14:textId="77777777" w:rsidR="00872599" w:rsidRPr="00F614F9" w:rsidRDefault="00000000" w:rsidP="007C0164">
      <w:pPr>
        <w:pStyle w:val="a3"/>
        <w:spacing w:before="0" w:beforeAutospacing="0" w:after="0" w:afterAutospacing="0" w:line="276" w:lineRule="auto"/>
        <w:ind w:firstLine="360"/>
        <w:jc w:val="both"/>
        <w:divId w:val="1542128554"/>
        <w:rPr>
          <w:rFonts w:ascii="Times New Roman" w:hAnsi="Times New Roman" w:cs="Times New Roman"/>
          <w:sz w:val="21"/>
          <w:szCs w:val="21"/>
        </w:rPr>
      </w:pPr>
      <w:r w:rsidRPr="00F614F9">
        <w:rPr>
          <w:rFonts w:ascii="Times New Roman" w:hAnsi="Times New Roman" w:cs="Times New Roman" w:hint="eastAsia"/>
          <w:sz w:val="18"/>
          <w:szCs w:val="18"/>
        </w:rPr>
        <w:t>生产性生物资产出售、盘亏、死亡或毁损的处置收入扣除其账面价值和相关税费后的差额计入当期损益。</w:t>
      </w:r>
    </w:p>
    <w:p w14:paraId="4D504978" w14:textId="77777777" w:rsidR="00872599" w:rsidRPr="00F614F9" w:rsidRDefault="00000000" w:rsidP="007C0164">
      <w:pPr>
        <w:pStyle w:val="a3"/>
        <w:spacing w:before="0" w:beforeAutospacing="0" w:after="0" w:afterAutospacing="0" w:line="276" w:lineRule="auto"/>
        <w:ind w:firstLine="360"/>
        <w:jc w:val="both"/>
        <w:divId w:val="1542128554"/>
        <w:rPr>
          <w:rFonts w:ascii="Times New Roman" w:hAnsi="Times New Roman" w:cs="Times New Roman"/>
          <w:sz w:val="21"/>
          <w:szCs w:val="21"/>
        </w:rPr>
      </w:pPr>
      <w:r w:rsidRPr="00F614F9">
        <w:rPr>
          <w:rFonts w:ascii="Times New Roman" w:hAnsi="Times New Roman" w:cs="Times New Roman" w:hint="eastAsia"/>
          <w:sz w:val="18"/>
          <w:szCs w:val="18"/>
        </w:rPr>
        <w:t>本集团在每一个资产负债表</w:t>
      </w:r>
      <w:proofErr w:type="gramStart"/>
      <w:r w:rsidRPr="00F614F9">
        <w:rPr>
          <w:rFonts w:ascii="Times New Roman" w:hAnsi="Times New Roman" w:cs="Times New Roman" w:hint="eastAsia"/>
          <w:sz w:val="18"/>
          <w:szCs w:val="18"/>
        </w:rPr>
        <w:t>日检查</w:t>
      </w:r>
      <w:proofErr w:type="gramEnd"/>
      <w:r w:rsidRPr="00F614F9">
        <w:rPr>
          <w:rFonts w:ascii="Times New Roman" w:hAnsi="Times New Roman" w:cs="Times New Roman" w:hint="eastAsia"/>
          <w:sz w:val="18"/>
          <w:szCs w:val="18"/>
        </w:rPr>
        <w:t>生产性生物资产是否存在可能发生减值的迹象。如果该资产存在减值迹象，则估计其可收回金额。估计资产的可收回金额以单项资产为基础，如果难以对单项资产的可收回金额进行估计的，则以该资产所属的资产组为基础确定资产组的可收回金额。如果资产的可收回金额低于其账面价值，按其差额计提资产减值准备，并计入当期损益。</w:t>
      </w:r>
    </w:p>
    <w:p w14:paraId="1C1F6F6A" w14:textId="77777777" w:rsidR="00872599" w:rsidRPr="00F614F9" w:rsidRDefault="00000000" w:rsidP="007C0164">
      <w:pPr>
        <w:pStyle w:val="a3"/>
        <w:spacing w:before="0" w:beforeAutospacing="0" w:after="0" w:afterAutospacing="0" w:line="276" w:lineRule="auto"/>
        <w:ind w:firstLine="360"/>
        <w:jc w:val="both"/>
        <w:divId w:val="1542128554"/>
        <w:rPr>
          <w:rFonts w:ascii="Times New Roman" w:hAnsi="Times New Roman" w:cs="Times New Roman"/>
          <w:sz w:val="21"/>
          <w:szCs w:val="21"/>
        </w:rPr>
      </w:pPr>
      <w:r w:rsidRPr="00F614F9">
        <w:rPr>
          <w:rFonts w:ascii="Times New Roman" w:hAnsi="Times New Roman" w:cs="Times New Roman" w:hint="eastAsia"/>
          <w:sz w:val="18"/>
          <w:szCs w:val="18"/>
        </w:rPr>
        <w:t>上述资产减值损失一经确认，在以后会计期间不予转回。</w:t>
      </w:r>
    </w:p>
    <w:p w14:paraId="7D0201C8" w14:textId="77777777" w:rsidR="00872599" w:rsidRPr="00F614F9" w:rsidRDefault="00000000" w:rsidP="007C0164">
      <w:pPr>
        <w:pStyle w:val="a3"/>
        <w:spacing w:before="0" w:beforeAutospacing="0" w:after="0" w:afterAutospacing="0" w:line="276" w:lineRule="auto"/>
        <w:ind w:firstLine="360"/>
        <w:jc w:val="both"/>
        <w:divId w:val="1542128554"/>
        <w:rPr>
          <w:rFonts w:ascii="Times New Roman" w:hAnsi="Times New Roman" w:cs="Times New Roman"/>
          <w:sz w:val="21"/>
          <w:szCs w:val="21"/>
        </w:rPr>
      </w:pPr>
      <w:r w:rsidRPr="00F614F9">
        <w:rPr>
          <w:rFonts w:ascii="Times New Roman" w:hAnsi="Times New Roman" w:cs="Times New Roman" w:hint="eastAsia"/>
          <w:sz w:val="18"/>
          <w:szCs w:val="18"/>
        </w:rPr>
        <w:t>如果生产性生物资产改变用途，作为消耗性生物资产，其改变用途后的成本按改变用途时的账面价值确定；若生产性生物资产改变用途作为公益性生物资产，则按照《企业会计准则第</w:t>
      </w:r>
      <w:r w:rsidRPr="00F614F9">
        <w:rPr>
          <w:rFonts w:ascii="Times New Roman" w:hAnsi="Times New Roman" w:cs="Times New Roman" w:hint="eastAsia"/>
          <w:sz w:val="18"/>
          <w:szCs w:val="18"/>
        </w:rPr>
        <w:t>8</w:t>
      </w:r>
      <w:r w:rsidRPr="00F614F9">
        <w:rPr>
          <w:rFonts w:ascii="Times New Roman" w:hAnsi="Times New Roman" w:cs="Times New Roman" w:hint="eastAsia"/>
          <w:sz w:val="18"/>
          <w:szCs w:val="18"/>
        </w:rPr>
        <w:t>号――资产减值》规定考虑是否发生减值，发生减值时先计提减值准备，再按计提减值准备后的账面价值确定。</w:t>
      </w:r>
    </w:p>
    <w:p w14:paraId="510B5269" w14:textId="77777777" w:rsidR="00872599" w:rsidRPr="00F614F9" w:rsidRDefault="00000000" w:rsidP="007C0164">
      <w:pPr>
        <w:pStyle w:val="a3"/>
        <w:spacing w:before="0" w:beforeAutospacing="0" w:after="0" w:afterAutospacing="0" w:line="276" w:lineRule="auto"/>
        <w:ind w:firstLine="360"/>
        <w:jc w:val="both"/>
        <w:divId w:val="1542128554"/>
        <w:rPr>
          <w:rFonts w:ascii="Times New Roman" w:hAnsi="Times New Roman" w:cs="Times New Roman"/>
          <w:sz w:val="21"/>
          <w:szCs w:val="21"/>
        </w:rPr>
      </w:pPr>
      <w:r w:rsidRPr="00F614F9">
        <w:rPr>
          <w:rFonts w:ascii="Times New Roman" w:hAnsi="Times New Roman" w:cs="Times New Roman" w:hint="eastAsia"/>
          <w:sz w:val="18"/>
          <w:szCs w:val="18"/>
        </w:rPr>
        <w:t> </w:t>
      </w:r>
    </w:p>
    <w:p w14:paraId="3A65709E" w14:textId="77777777" w:rsidR="001D26E7" w:rsidRPr="00F614F9" w:rsidRDefault="00000000">
      <w:pPr>
        <w:pStyle w:val="3"/>
        <w:spacing w:line="280" w:lineRule="exact"/>
        <w:jc w:val="left"/>
        <w:rPr>
          <w:rFonts w:ascii="Times New Roman" w:hAnsi="Times New Roman" w:cs="宋体"/>
          <w:b/>
          <w:bCs/>
        </w:rPr>
      </w:pPr>
      <w:bookmarkStart w:id="281" w:name="_Toc989096"/>
      <w:r w:rsidRPr="00F614F9">
        <w:rPr>
          <w:rFonts w:ascii="Times New Roman" w:hAnsi="Times New Roman" w:cs="宋体"/>
          <w:b/>
          <w:bCs/>
        </w:rPr>
        <w:lastRenderedPageBreak/>
        <w:t>28</w:t>
      </w:r>
      <w:r w:rsidRPr="00F614F9">
        <w:rPr>
          <w:rFonts w:ascii="Times New Roman" w:hAnsi="Times New Roman" w:cs="宋体"/>
          <w:b/>
          <w:bCs/>
        </w:rPr>
        <w:t>、油气资产</w:t>
      </w:r>
      <w:bookmarkEnd w:id="281"/>
    </w:p>
    <w:p w14:paraId="609E3B82" w14:textId="77777777" w:rsidR="00872599" w:rsidRPr="00F614F9" w:rsidRDefault="00000000">
      <w:pPr>
        <w:pStyle w:val="a3"/>
        <w:divId w:val="1911843230"/>
        <w:rPr>
          <w:rFonts w:ascii="Times New Roman" w:hAnsi="Times New Roman"/>
          <w:sz w:val="18"/>
          <w:szCs w:val="18"/>
        </w:rPr>
      </w:pPr>
      <w:r w:rsidRPr="00F614F9">
        <w:rPr>
          <w:rFonts w:ascii="Times New Roman" w:hAnsi="Times New Roman" w:hint="eastAsia"/>
          <w:sz w:val="18"/>
          <w:szCs w:val="18"/>
        </w:rPr>
        <w:t>无</w:t>
      </w:r>
    </w:p>
    <w:p w14:paraId="315DC976" w14:textId="77777777" w:rsidR="001D26E7" w:rsidRPr="00F614F9" w:rsidRDefault="00000000">
      <w:pPr>
        <w:pStyle w:val="3"/>
        <w:spacing w:line="280" w:lineRule="exact"/>
        <w:jc w:val="left"/>
        <w:rPr>
          <w:rFonts w:ascii="Times New Roman" w:hAnsi="Times New Roman" w:cs="宋体"/>
          <w:b/>
          <w:bCs/>
        </w:rPr>
      </w:pPr>
      <w:bookmarkStart w:id="282" w:name="_Toc989097"/>
      <w:r w:rsidRPr="00F614F9">
        <w:rPr>
          <w:rFonts w:ascii="Times New Roman" w:hAnsi="Times New Roman" w:cs="宋体"/>
          <w:b/>
          <w:bCs/>
        </w:rPr>
        <w:t>29</w:t>
      </w:r>
      <w:r w:rsidRPr="00F614F9">
        <w:rPr>
          <w:rFonts w:ascii="Times New Roman" w:hAnsi="Times New Roman" w:cs="宋体"/>
          <w:b/>
          <w:bCs/>
        </w:rPr>
        <w:t>、无形资产</w:t>
      </w:r>
      <w:bookmarkEnd w:id="282"/>
    </w:p>
    <w:p w14:paraId="76068888"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283" w:name="_Toc989098"/>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使用寿命及其确定依据、估计情况、摊销方法或复核程序</w:t>
      </w:r>
      <w:bookmarkEnd w:id="283"/>
    </w:p>
    <w:p w14:paraId="73B0D359" w14:textId="77777777" w:rsidR="00872599" w:rsidRPr="00F614F9" w:rsidRDefault="00000000">
      <w:pPr>
        <w:pStyle w:val="a3"/>
        <w:spacing w:before="0" w:beforeAutospacing="0" w:after="0" w:afterAutospacing="0" w:line="460" w:lineRule="atLeast"/>
        <w:ind w:firstLine="360"/>
        <w:divId w:val="936331180"/>
        <w:rPr>
          <w:rFonts w:ascii="Times New Roman" w:hAnsi="Times New Roman" w:cs="Times New Roman"/>
          <w:sz w:val="21"/>
          <w:szCs w:val="21"/>
        </w:rPr>
      </w:pPr>
      <w:r w:rsidRPr="00F614F9">
        <w:rPr>
          <w:rFonts w:ascii="Times New Roman" w:hAnsi="Times New Roman" w:cs="Times New Roman" w:hint="eastAsia"/>
          <w:sz w:val="18"/>
          <w:szCs w:val="18"/>
        </w:rPr>
        <w:t>无形资产是指本集团拥有或者控制的没有实物形态的可</w:t>
      </w:r>
      <w:proofErr w:type="gramStart"/>
      <w:r w:rsidRPr="00F614F9">
        <w:rPr>
          <w:rFonts w:ascii="Times New Roman" w:hAnsi="Times New Roman" w:cs="Times New Roman" w:hint="eastAsia"/>
          <w:sz w:val="18"/>
          <w:szCs w:val="18"/>
        </w:rPr>
        <w:t>辨认非</w:t>
      </w:r>
      <w:proofErr w:type="gramEnd"/>
      <w:r w:rsidRPr="00F614F9">
        <w:rPr>
          <w:rFonts w:ascii="Times New Roman" w:hAnsi="Times New Roman" w:cs="Times New Roman" w:hint="eastAsia"/>
          <w:sz w:val="18"/>
          <w:szCs w:val="18"/>
        </w:rPr>
        <w:t>货币性资产。</w:t>
      </w:r>
    </w:p>
    <w:p w14:paraId="61A8E69B" w14:textId="77777777" w:rsidR="00872599" w:rsidRPr="00F614F9" w:rsidRDefault="00000000" w:rsidP="007C0164">
      <w:pPr>
        <w:pStyle w:val="a3"/>
        <w:spacing w:before="0" w:beforeAutospacing="0" w:after="0" w:afterAutospacing="0" w:line="276" w:lineRule="auto"/>
        <w:ind w:firstLine="360"/>
        <w:divId w:val="936331180"/>
        <w:rPr>
          <w:rFonts w:ascii="Times New Roman" w:hAnsi="Times New Roman" w:cs="Times New Roman"/>
          <w:sz w:val="21"/>
          <w:szCs w:val="21"/>
        </w:rPr>
      </w:pPr>
      <w:r w:rsidRPr="00F614F9">
        <w:rPr>
          <w:rFonts w:ascii="Times New Roman" w:hAnsi="Times New Roman" w:cs="Times New Roman" w:hint="eastAsia"/>
          <w:sz w:val="18"/>
          <w:szCs w:val="18"/>
        </w:rPr>
        <w:t>无形资产按成本进行初始计量。与无形资产有关的支出，如果相关的经济利益很可能流入本集团且其成本能可靠地计量，则计入无形资产成本。除此以外的其他项目的支出，在发生时计入当期损益。</w:t>
      </w:r>
    </w:p>
    <w:p w14:paraId="27A3AA18" w14:textId="77777777" w:rsidR="00872599" w:rsidRPr="00F614F9" w:rsidRDefault="00000000" w:rsidP="007C0164">
      <w:pPr>
        <w:pStyle w:val="a3"/>
        <w:spacing w:before="0" w:beforeAutospacing="0" w:after="0" w:afterAutospacing="0" w:line="276" w:lineRule="auto"/>
        <w:ind w:firstLine="360"/>
        <w:divId w:val="936331180"/>
        <w:rPr>
          <w:rFonts w:ascii="Times New Roman" w:hAnsi="Times New Roman" w:cs="Times New Roman"/>
          <w:sz w:val="21"/>
          <w:szCs w:val="21"/>
        </w:rPr>
      </w:pPr>
      <w:r w:rsidRPr="00F614F9">
        <w:rPr>
          <w:rFonts w:ascii="Times New Roman" w:hAnsi="Times New Roman" w:cs="Times New Roman" w:hint="eastAsia"/>
          <w:sz w:val="18"/>
          <w:szCs w:val="18"/>
        </w:rPr>
        <w:t>取得的土地使用权通常作为无形资产核算。自行开发建造厂房等建筑物，相关的土地使用权支出和建筑物建造成本则分别作为无形资产和固定资产核算。如为外购的房屋及建筑物，则将有关价款在土地使用权和建筑物之间进行分配，难以合理分配的，全部作为固定资产处理。</w:t>
      </w:r>
    </w:p>
    <w:p w14:paraId="4CC10FC4" w14:textId="77777777" w:rsidR="00872599" w:rsidRPr="00F614F9" w:rsidRDefault="00000000" w:rsidP="007C0164">
      <w:pPr>
        <w:pStyle w:val="a3"/>
        <w:spacing w:before="0" w:beforeAutospacing="0" w:after="0" w:afterAutospacing="0" w:line="276" w:lineRule="auto"/>
        <w:ind w:firstLine="360"/>
        <w:divId w:val="936331180"/>
        <w:rPr>
          <w:rFonts w:ascii="Times New Roman" w:hAnsi="Times New Roman" w:cs="Times New Roman"/>
          <w:sz w:val="21"/>
          <w:szCs w:val="21"/>
        </w:rPr>
      </w:pPr>
      <w:r w:rsidRPr="00F614F9">
        <w:rPr>
          <w:rFonts w:ascii="Times New Roman" w:hAnsi="Times New Roman" w:cs="Times New Roman" w:hint="eastAsia"/>
          <w:sz w:val="18"/>
          <w:szCs w:val="18"/>
        </w:rPr>
        <w:t>使用寿命有限的无形资产自可供使用时起，对其原值减去预计净残值和已计提的减值准备累计金额在其预计使用寿命内采用直线法分期平均摊销。使用寿命不确定的无形资产不予摊销。</w:t>
      </w:r>
    </w:p>
    <w:p w14:paraId="2586C31F" w14:textId="77777777" w:rsidR="00872599" w:rsidRPr="00F614F9" w:rsidRDefault="00000000" w:rsidP="007C0164">
      <w:pPr>
        <w:pStyle w:val="a3"/>
        <w:spacing w:before="0" w:beforeAutospacing="0" w:after="0" w:afterAutospacing="0" w:line="276" w:lineRule="auto"/>
        <w:ind w:firstLine="360"/>
        <w:jc w:val="both"/>
        <w:divId w:val="936331180"/>
        <w:rPr>
          <w:rFonts w:ascii="Times New Roman" w:hAnsi="Times New Roman" w:cs="Times New Roman"/>
          <w:sz w:val="21"/>
          <w:szCs w:val="21"/>
        </w:rPr>
      </w:pPr>
      <w:r w:rsidRPr="00F614F9">
        <w:rPr>
          <w:rFonts w:ascii="Times New Roman" w:hAnsi="Times New Roman" w:cs="Times New Roman" w:hint="eastAsia"/>
          <w:sz w:val="18"/>
          <w:szCs w:val="18"/>
        </w:rPr>
        <w:t>其中，知识产权类无形资产项目的使用寿命及摊销方法如下：</w:t>
      </w:r>
    </w:p>
    <w:tbl>
      <w:tblPr>
        <w:tblW w:w="9657" w:type="dxa"/>
        <w:jc w:val="center"/>
        <w:tblCellMar>
          <w:top w:w="15" w:type="dxa"/>
          <w:left w:w="15" w:type="dxa"/>
          <w:bottom w:w="15" w:type="dxa"/>
          <w:right w:w="15" w:type="dxa"/>
        </w:tblCellMar>
        <w:tblLook w:val="04A0" w:firstRow="1" w:lastRow="0" w:firstColumn="1" w:lastColumn="0" w:noHBand="0" w:noVBand="1"/>
      </w:tblPr>
      <w:tblGrid>
        <w:gridCol w:w="2823"/>
        <w:gridCol w:w="3417"/>
        <w:gridCol w:w="3417"/>
      </w:tblGrid>
      <w:tr w:rsidR="00872599" w:rsidRPr="00F614F9" w14:paraId="7AE24E53" w14:textId="77777777" w:rsidTr="007C0164">
        <w:trPr>
          <w:divId w:val="936331180"/>
          <w:trHeight w:val="340"/>
          <w:jc w:val="center"/>
        </w:trPr>
        <w:tc>
          <w:tcPr>
            <w:tcW w:w="1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F84BD6" w14:textId="77777777" w:rsidR="00872599" w:rsidRPr="00F614F9" w:rsidRDefault="00000000" w:rsidP="007C0164">
            <w:pPr>
              <w:jc w:val="center"/>
              <w:rPr>
                <w:rFonts w:ascii="Times New Roman" w:eastAsia="宋体" w:hAnsi="Times New Roman"/>
                <w:sz w:val="18"/>
                <w:szCs w:val="20"/>
              </w:rPr>
            </w:pPr>
            <w:r w:rsidRPr="00F614F9">
              <w:rPr>
                <w:rFonts w:ascii="Times New Roman" w:eastAsia="宋体" w:hAnsi="Times New Roman" w:hint="eastAsia"/>
                <w:sz w:val="18"/>
                <w:szCs w:val="20"/>
              </w:rPr>
              <w:t>项目</w:t>
            </w:r>
          </w:p>
        </w:tc>
        <w:tc>
          <w:tcPr>
            <w:tcW w:w="17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8226D5" w14:textId="77777777" w:rsidR="00872599" w:rsidRPr="00F614F9" w:rsidRDefault="00000000" w:rsidP="007C0164">
            <w:pPr>
              <w:jc w:val="center"/>
              <w:rPr>
                <w:rFonts w:ascii="Times New Roman" w:eastAsia="宋体" w:hAnsi="Times New Roman"/>
                <w:sz w:val="18"/>
                <w:szCs w:val="20"/>
              </w:rPr>
            </w:pPr>
            <w:r w:rsidRPr="00F614F9">
              <w:rPr>
                <w:rFonts w:ascii="Times New Roman" w:eastAsia="宋体" w:hAnsi="Times New Roman" w:hint="eastAsia"/>
                <w:sz w:val="18"/>
                <w:szCs w:val="20"/>
              </w:rPr>
              <w:t>使用寿命（年）</w:t>
            </w:r>
          </w:p>
        </w:tc>
        <w:tc>
          <w:tcPr>
            <w:tcW w:w="17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18AE45" w14:textId="77777777" w:rsidR="00872599" w:rsidRPr="00F614F9" w:rsidRDefault="00000000" w:rsidP="007C0164">
            <w:pPr>
              <w:jc w:val="center"/>
              <w:rPr>
                <w:rFonts w:ascii="Times New Roman" w:eastAsia="宋体" w:hAnsi="Times New Roman"/>
                <w:sz w:val="18"/>
                <w:szCs w:val="20"/>
              </w:rPr>
            </w:pPr>
            <w:r w:rsidRPr="00F614F9">
              <w:rPr>
                <w:rFonts w:ascii="Times New Roman" w:eastAsia="宋体" w:hAnsi="Times New Roman" w:hint="eastAsia"/>
                <w:sz w:val="18"/>
                <w:szCs w:val="20"/>
              </w:rPr>
              <w:t>摊销方法</w:t>
            </w:r>
          </w:p>
        </w:tc>
      </w:tr>
      <w:tr w:rsidR="00872599" w:rsidRPr="00F614F9" w14:paraId="7A0A8D00" w14:textId="77777777" w:rsidTr="007C0164">
        <w:trPr>
          <w:divId w:val="936331180"/>
          <w:trHeight w:val="340"/>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E3CE5F" w14:textId="77777777" w:rsidR="00872599" w:rsidRPr="00F614F9" w:rsidRDefault="00000000" w:rsidP="007C0164">
            <w:pPr>
              <w:jc w:val="center"/>
              <w:rPr>
                <w:rFonts w:ascii="Times New Roman" w:eastAsia="宋体" w:hAnsi="Times New Roman"/>
                <w:sz w:val="18"/>
                <w:szCs w:val="20"/>
              </w:rPr>
            </w:pPr>
            <w:r w:rsidRPr="00F614F9">
              <w:rPr>
                <w:rFonts w:ascii="Times New Roman" w:eastAsia="宋体" w:hAnsi="Times New Roman" w:hint="eastAsia"/>
                <w:sz w:val="18"/>
                <w:szCs w:val="20"/>
              </w:rPr>
              <w:t>软件使用权</w:t>
            </w:r>
          </w:p>
        </w:tc>
        <w:tc>
          <w:tcPr>
            <w:tcW w:w="1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70F50A" w14:textId="77777777" w:rsidR="00872599" w:rsidRPr="00F614F9" w:rsidRDefault="00000000" w:rsidP="007C0164">
            <w:pPr>
              <w:jc w:val="center"/>
              <w:rPr>
                <w:rFonts w:ascii="Times New Roman" w:eastAsia="宋体" w:hAnsi="Times New Roman"/>
                <w:sz w:val="18"/>
                <w:szCs w:val="20"/>
              </w:rPr>
            </w:pPr>
            <w:r w:rsidRPr="00F614F9">
              <w:rPr>
                <w:rFonts w:ascii="Times New Roman" w:eastAsia="宋体" w:hAnsi="Times New Roman" w:hint="eastAsia"/>
                <w:sz w:val="18"/>
                <w:szCs w:val="20"/>
              </w:rPr>
              <w:t>2-10</w:t>
            </w:r>
          </w:p>
        </w:tc>
        <w:tc>
          <w:tcPr>
            <w:tcW w:w="1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57B5E" w14:textId="77777777" w:rsidR="00872599" w:rsidRPr="00F614F9" w:rsidRDefault="00000000" w:rsidP="007C0164">
            <w:pPr>
              <w:jc w:val="center"/>
              <w:rPr>
                <w:rFonts w:ascii="Times New Roman" w:eastAsia="宋体" w:hAnsi="Times New Roman"/>
                <w:sz w:val="18"/>
                <w:szCs w:val="20"/>
              </w:rPr>
            </w:pPr>
            <w:r w:rsidRPr="00F614F9">
              <w:rPr>
                <w:rFonts w:ascii="Times New Roman" w:eastAsia="宋体" w:hAnsi="Times New Roman" w:hint="eastAsia"/>
                <w:sz w:val="18"/>
                <w:szCs w:val="20"/>
              </w:rPr>
              <w:t>直线法分期平均摊销</w:t>
            </w:r>
          </w:p>
        </w:tc>
      </w:tr>
      <w:tr w:rsidR="00872599" w:rsidRPr="00F614F9" w14:paraId="44DAE879" w14:textId="77777777" w:rsidTr="007C0164">
        <w:trPr>
          <w:divId w:val="936331180"/>
          <w:trHeight w:val="340"/>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040A0" w14:textId="77777777" w:rsidR="00872599" w:rsidRPr="00F614F9" w:rsidRDefault="00000000" w:rsidP="007C0164">
            <w:pPr>
              <w:jc w:val="center"/>
              <w:rPr>
                <w:rFonts w:ascii="Times New Roman" w:eastAsia="宋体" w:hAnsi="Times New Roman"/>
                <w:sz w:val="18"/>
                <w:szCs w:val="20"/>
              </w:rPr>
            </w:pPr>
            <w:r w:rsidRPr="00F614F9">
              <w:rPr>
                <w:rFonts w:ascii="Times New Roman" w:eastAsia="宋体" w:hAnsi="Times New Roman" w:hint="eastAsia"/>
                <w:sz w:val="18"/>
                <w:szCs w:val="20"/>
              </w:rPr>
              <w:t>商标使用权</w:t>
            </w:r>
          </w:p>
        </w:tc>
        <w:tc>
          <w:tcPr>
            <w:tcW w:w="1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4BE4E9" w14:textId="77777777" w:rsidR="00872599" w:rsidRPr="00F614F9" w:rsidRDefault="00000000" w:rsidP="007C0164">
            <w:pPr>
              <w:jc w:val="center"/>
              <w:rPr>
                <w:rFonts w:ascii="Times New Roman" w:eastAsia="宋体" w:hAnsi="Times New Roman"/>
                <w:sz w:val="18"/>
                <w:szCs w:val="20"/>
              </w:rPr>
            </w:pPr>
            <w:r w:rsidRPr="00F614F9">
              <w:rPr>
                <w:rFonts w:ascii="Times New Roman" w:eastAsia="宋体" w:hAnsi="Times New Roman" w:hint="eastAsia"/>
                <w:sz w:val="18"/>
                <w:szCs w:val="20"/>
              </w:rPr>
              <w:t>10</w:t>
            </w:r>
          </w:p>
        </w:tc>
        <w:tc>
          <w:tcPr>
            <w:tcW w:w="1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998D9F" w14:textId="77777777" w:rsidR="00872599" w:rsidRPr="00F614F9" w:rsidRDefault="00000000" w:rsidP="007C0164">
            <w:pPr>
              <w:jc w:val="center"/>
              <w:rPr>
                <w:rFonts w:ascii="Times New Roman" w:eastAsia="宋体" w:hAnsi="Times New Roman"/>
                <w:sz w:val="18"/>
                <w:szCs w:val="20"/>
              </w:rPr>
            </w:pPr>
            <w:r w:rsidRPr="00F614F9">
              <w:rPr>
                <w:rFonts w:ascii="Times New Roman" w:eastAsia="宋体" w:hAnsi="Times New Roman" w:hint="eastAsia"/>
                <w:sz w:val="18"/>
                <w:szCs w:val="20"/>
              </w:rPr>
              <w:t>直线法分期平均摊销</w:t>
            </w:r>
          </w:p>
        </w:tc>
      </w:tr>
    </w:tbl>
    <w:p w14:paraId="1D155063" w14:textId="77777777" w:rsidR="00872599" w:rsidRPr="00F614F9" w:rsidRDefault="00000000" w:rsidP="007C0164">
      <w:pPr>
        <w:pStyle w:val="a3"/>
        <w:spacing w:before="0" w:beforeAutospacing="0" w:after="0" w:afterAutospacing="0" w:line="276" w:lineRule="auto"/>
        <w:ind w:firstLine="360"/>
        <w:divId w:val="936331180"/>
        <w:rPr>
          <w:rFonts w:ascii="Times New Roman" w:hAnsi="Times New Roman" w:cs="Times New Roman"/>
          <w:sz w:val="21"/>
          <w:szCs w:val="21"/>
        </w:rPr>
      </w:pPr>
      <w:r w:rsidRPr="00F614F9">
        <w:rPr>
          <w:rFonts w:ascii="Times New Roman" w:hAnsi="Times New Roman" w:cs="Times New Roman" w:hint="eastAsia"/>
          <w:sz w:val="18"/>
          <w:szCs w:val="18"/>
        </w:rPr>
        <w:t>期末，对使用寿命有限的无形资产的使用寿命和摊销方法进行复核，如发生变更则作为会计估计变更处理。此外，还对使用寿命不确定的无形资产的使用寿命进行复核，如果有证据表明该无形资产为企业带来经济利益的期限是可预见的，则估计其使用寿命并按照使用寿命有限的无形资产的摊销政策进行摊销。</w:t>
      </w:r>
    </w:p>
    <w:p w14:paraId="55B9A50E"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284" w:name="_Toc989099"/>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研发支出的归集范围及相关会计处理方法</w:t>
      </w:r>
      <w:bookmarkEnd w:id="284"/>
    </w:p>
    <w:p w14:paraId="4DFDE1AD" w14:textId="77777777" w:rsidR="00872599" w:rsidRPr="00F614F9" w:rsidRDefault="00000000" w:rsidP="007C0164">
      <w:pPr>
        <w:spacing w:line="276" w:lineRule="auto"/>
        <w:ind w:firstLineChars="200" w:firstLine="360"/>
        <w:divId w:val="1483158187"/>
        <w:rPr>
          <w:rFonts w:ascii="Times New Roman" w:eastAsia="宋体" w:hAnsi="Times New Roman"/>
          <w:sz w:val="18"/>
          <w:szCs w:val="20"/>
        </w:rPr>
      </w:pPr>
      <w:r w:rsidRPr="00F614F9">
        <w:rPr>
          <w:rFonts w:ascii="Times New Roman" w:eastAsia="宋体" w:hAnsi="Times New Roman" w:hint="eastAsia"/>
          <w:sz w:val="18"/>
          <w:szCs w:val="20"/>
        </w:rPr>
        <w:t>本集团内部研究开发项目的支出分为研究阶段支出与开发阶段支出。</w:t>
      </w:r>
    </w:p>
    <w:p w14:paraId="1FC790A7" w14:textId="77777777" w:rsidR="00872599" w:rsidRPr="00F614F9" w:rsidRDefault="00000000" w:rsidP="007C0164">
      <w:pPr>
        <w:spacing w:line="276" w:lineRule="auto"/>
        <w:ind w:firstLineChars="200" w:firstLine="360"/>
        <w:divId w:val="1483158187"/>
        <w:rPr>
          <w:rFonts w:ascii="Times New Roman" w:eastAsia="宋体" w:hAnsi="Times New Roman"/>
          <w:sz w:val="18"/>
          <w:szCs w:val="20"/>
        </w:rPr>
      </w:pPr>
      <w:r w:rsidRPr="00F614F9">
        <w:rPr>
          <w:rFonts w:ascii="Times New Roman" w:eastAsia="宋体" w:hAnsi="Times New Roman" w:hint="eastAsia"/>
          <w:sz w:val="18"/>
          <w:szCs w:val="20"/>
        </w:rPr>
        <w:t>研究阶段的支出，于发生时计入当期损益。</w:t>
      </w:r>
    </w:p>
    <w:p w14:paraId="4605123C" w14:textId="77777777" w:rsidR="00872599" w:rsidRPr="00F614F9" w:rsidRDefault="00000000" w:rsidP="007C0164">
      <w:pPr>
        <w:spacing w:line="276" w:lineRule="auto"/>
        <w:ind w:firstLineChars="200" w:firstLine="360"/>
        <w:divId w:val="1483158187"/>
        <w:rPr>
          <w:rFonts w:ascii="Times New Roman" w:eastAsia="宋体" w:hAnsi="Times New Roman"/>
          <w:sz w:val="18"/>
          <w:szCs w:val="20"/>
        </w:rPr>
      </w:pPr>
      <w:r w:rsidRPr="00F614F9">
        <w:rPr>
          <w:rFonts w:ascii="Times New Roman" w:eastAsia="宋体" w:hAnsi="Times New Roman" w:hint="eastAsia"/>
          <w:sz w:val="18"/>
          <w:szCs w:val="20"/>
        </w:rPr>
        <w:t>开发阶段的支出同时满足下列条件的，确认为无形资产，不能满足下述条件的开发阶段的支出计入当期损益：</w:t>
      </w:r>
    </w:p>
    <w:p w14:paraId="4B997125" w14:textId="77777777" w:rsidR="00872599" w:rsidRPr="00F614F9" w:rsidRDefault="00000000" w:rsidP="007C0164">
      <w:pPr>
        <w:spacing w:line="276" w:lineRule="auto"/>
        <w:ind w:firstLineChars="200" w:firstLine="360"/>
        <w:divId w:val="1483158187"/>
        <w:rPr>
          <w:rFonts w:ascii="Times New Roman" w:eastAsia="宋体" w:hAnsi="Times New Roman"/>
          <w:sz w:val="18"/>
          <w:szCs w:val="20"/>
        </w:rPr>
      </w:pPr>
      <w:r w:rsidRPr="00F614F9">
        <w:rPr>
          <w:rFonts w:ascii="Times New Roman" w:eastAsia="宋体" w:hAnsi="Times New Roman" w:hint="eastAsia"/>
          <w:sz w:val="18"/>
          <w:szCs w:val="20"/>
        </w:rPr>
        <w:t>①完成该无形资产以使其能够使用或出售在技术上具有可行性；</w:t>
      </w:r>
    </w:p>
    <w:p w14:paraId="5896811D" w14:textId="77777777" w:rsidR="00872599" w:rsidRPr="00F614F9" w:rsidRDefault="00000000" w:rsidP="007C0164">
      <w:pPr>
        <w:spacing w:line="276" w:lineRule="auto"/>
        <w:ind w:firstLineChars="200" w:firstLine="360"/>
        <w:divId w:val="1483158187"/>
        <w:rPr>
          <w:rFonts w:ascii="Times New Roman" w:eastAsia="宋体" w:hAnsi="Times New Roman"/>
          <w:sz w:val="18"/>
          <w:szCs w:val="20"/>
        </w:rPr>
      </w:pPr>
      <w:r w:rsidRPr="00F614F9">
        <w:rPr>
          <w:rFonts w:ascii="Times New Roman" w:eastAsia="宋体" w:hAnsi="Times New Roman" w:hint="eastAsia"/>
          <w:sz w:val="18"/>
          <w:szCs w:val="20"/>
        </w:rPr>
        <w:t>②具有完成该无形资产并使用或出售的意图；</w:t>
      </w:r>
    </w:p>
    <w:p w14:paraId="20E42C39" w14:textId="77777777" w:rsidR="00872599" w:rsidRPr="00F614F9" w:rsidRDefault="00000000" w:rsidP="007C0164">
      <w:pPr>
        <w:spacing w:line="276" w:lineRule="auto"/>
        <w:ind w:firstLineChars="200" w:firstLine="360"/>
        <w:divId w:val="1483158187"/>
        <w:rPr>
          <w:rFonts w:ascii="Times New Roman" w:eastAsia="宋体" w:hAnsi="Times New Roman"/>
          <w:sz w:val="18"/>
          <w:szCs w:val="20"/>
        </w:rPr>
      </w:pPr>
      <w:r w:rsidRPr="00F614F9">
        <w:rPr>
          <w:rFonts w:ascii="Times New Roman" w:eastAsia="宋体" w:hAnsi="Times New Roman" w:hint="eastAsia"/>
          <w:sz w:val="18"/>
          <w:szCs w:val="20"/>
        </w:rPr>
        <w:t>③无形资产产生经济利益的方式，包括能够证明运用该无形资产生产的产品存在市场或无形资产自身存在市场，无形资产将在内部使用的，能够证明其有用性；</w:t>
      </w:r>
    </w:p>
    <w:p w14:paraId="6C8155C1" w14:textId="77777777" w:rsidR="00872599" w:rsidRPr="00F614F9" w:rsidRDefault="00000000" w:rsidP="007C0164">
      <w:pPr>
        <w:spacing w:line="276" w:lineRule="auto"/>
        <w:ind w:firstLineChars="200" w:firstLine="360"/>
        <w:divId w:val="1483158187"/>
        <w:rPr>
          <w:rFonts w:ascii="Times New Roman" w:eastAsia="宋体" w:hAnsi="Times New Roman"/>
          <w:sz w:val="18"/>
          <w:szCs w:val="20"/>
        </w:rPr>
      </w:pPr>
      <w:r w:rsidRPr="00F614F9">
        <w:rPr>
          <w:rFonts w:ascii="Times New Roman" w:eastAsia="宋体" w:hAnsi="Times New Roman" w:hint="eastAsia"/>
          <w:sz w:val="18"/>
          <w:szCs w:val="20"/>
        </w:rPr>
        <w:t>④有足够的技术、财务资源和其他资源支持，以完成该无形资产的开发，并有能力使用或出售该无形资产；</w:t>
      </w:r>
    </w:p>
    <w:p w14:paraId="38C3BF28" w14:textId="77777777" w:rsidR="00872599" w:rsidRPr="00F614F9" w:rsidRDefault="00000000" w:rsidP="007C0164">
      <w:pPr>
        <w:spacing w:line="276" w:lineRule="auto"/>
        <w:ind w:firstLineChars="200" w:firstLine="360"/>
        <w:divId w:val="1483158187"/>
        <w:rPr>
          <w:rFonts w:ascii="Times New Roman" w:eastAsia="宋体" w:hAnsi="Times New Roman"/>
          <w:sz w:val="18"/>
          <w:szCs w:val="20"/>
        </w:rPr>
      </w:pPr>
      <w:r w:rsidRPr="00F614F9">
        <w:rPr>
          <w:rFonts w:ascii="Times New Roman" w:eastAsia="宋体" w:hAnsi="Times New Roman" w:hint="eastAsia"/>
          <w:sz w:val="18"/>
          <w:szCs w:val="20"/>
        </w:rPr>
        <w:t>⑤归属于该无形资产开发阶段的支出能够可靠地计量。</w:t>
      </w:r>
    </w:p>
    <w:p w14:paraId="488926B1" w14:textId="77777777" w:rsidR="00872599" w:rsidRPr="00F614F9" w:rsidRDefault="00000000" w:rsidP="007C0164">
      <w:pPr>
        <w:spacing w:line="276" w:lineRule="auto"/>
        <w:ind w:firstLineChars="200" w:firstLine="360"/>
        <w:divId w:val="1483158187"/>
        <w:rPr>
          <w:rFonts w:ascii="Times New Roman" w:eastAsia="宋体" w:hAnsi="Times New Roman"/>
          <w:sz w:val="18"/>
          <w:szCs w:val="20"/>
        </w:rPr>
      </w:pPr>
      <w:r w:rsidRPr="00F614F9">
        <w:rPr>
          <w:rFonts w:ascii="Times New Roman" w:eastAsia="宋体" w:hAnsi="Times New Roman" w:hint="eastAsia"/>
          <w:sz w:val="18"/>
          <w:szCs w:val="20"/>
        </w:rPr>
        <w:t>无法区分研究阶段支出和开发阶段支出的，将发生的研发支出全部计入当期损益。</w:t>
      </w:r>
    </w:p>
    <w:p w14:paraId="509E20E0" w14:textId="77777777" w:rsidR="00872599" w:rsidRPr="00F614F9" w:rsidRDefault="00000000" w:rsidP="007C0164">
      <w:pPr>
        <w:spacing w:line="276" w:lineRule="auto"/>
        <w:ind w:firstLineChars="200" w:firstLine="360"/>
        <w:divId w:val="1483158187"/>
        <w:rPr>
          <w:rFonts w:ascii="Times New Roman" w:eastAsia="宋体" w:hAnsi="Times New Roman"/>
          <w:sz w:val="18"/>
          <w:szCs w:val="20"/>
        </w:rPr>
      </w:pPr>
      <w:r w:rsidRPr="00F614F9">
        <w:rPr>
          <w:rFonts w:ascii="Times New Roman" w:eastAsia="宋体" w:hAnsi="Times New Roman" w:hint="eastAsia"/>
          <w:sz w:val="18"/>
          <w:szCs w:val="20"/>
        </w:rPr>
        <w:t>无形资产的减值测试方法及减值准备计提方法</w:t>
      </w:r>
    </w:p>
    <w:p w14:paraId="5D6023A4" w14:textId="77777777" w:rsidR="00872599" w:rsidRPr="00F614F9" w:rsidRDefault="00000000" w:rsidP="007C0164">
      <w:pPr>
        <w:spacing w:line="276" w:lineRule="auto"/>
        <w:ind w:firstLineChars="200" w:firstLine="360"/>
        <w:divId w:val="1483158187"/>
        <w:rPr>
          <w:rFonts w:ascii="Times New Roman" w:hAnsi="Times New Roman" w:cs="Times New Roman"/>
          <w:szCs w:val="21"/>
        </w:rPr>
      </w:pPr>
      <w:r w:rsidRPr="00F614F9">
        <w:rPr>
          <w:rFonts w:ascii="Times New Roman" w:eastAsia="宋体" w:hAnsi="Times New Roman" w:hint="eastAsia"/>
          <w:sz w:val="18"/>
          <w:szCs w:val="20"/>
        </w:rPr>
        <w:t>无形资产的减值测试方法和减值准备计提方法详见附注五、</w:t>
      </w:r>
      <w:r w:rsidRPr="00F614F9">
        <w:rPr>
          <w:rFonts w:ascii="Times New Roman" w:eastAsia="宋体" w:hAnsi="Times New Roman" w:hint="eastAsia"/>
          <w:sz w:val="18"/>
          <w:szCs w:val="20"/>
        </w:rPr>
        <w:t>30</w:t>
      </w:r>
      <w:r w:rsidRPr="00F614F9">
        <w:rPr>
          <w:rFonts w:ascii="Times New Roman" w:eastAsia="宋体" w:hAnsi="Times New Roman" w:hint="eastAsia"/>
          <w:sz w:val="18"/>
          <w:szCs w:val="20"/>
        </w:rPr>
        <w:t>“长期资产减值”。</w:t>
      </w:r>
    </w:p>
    <w:p w14:paraId="4C44247E" w14:textId="77777777" w:rsidR="001D26E7" w:rsidRPr="00F614F9" w:rsidRDefault="00000000">
      <w:pPr>
        <w:pStyle w:val="3"/>
        <w:spacing w:line="280" w:lineRule="exact"/>
        <w:jc w:val="left"/>
        <w:rPr>
          <w:rFonts w:ascii="Times New Roman" w:hAnsi="Times New Roman" w:cs="宋体"/>
          <w:b/>
          <w:bCs/>
        </w:rPr>
      </w:pPr>
      <w:bookmarkStart w:id="285" w:name="_Toc989100"/>
      <w:r w:rsidRPr="00F614F9">
        <w:rPr>
          <w:rFonts w:ascii="Times New Roman" w:hAnsi="Times New Roman" w:cs="宋体"/>
          <w:b/>
          <w:bCs/>
        </w:rPr>
        <w:lastRenderedPageBreak/>
        <w:t>30</w:t>
      </w:r>
      <w:r w:rsidRPr="00F614F9">
        <w:rPr>
          <w:rFonts w:ascii="Times New Roman" w:hAnsi="Times New Roman" w:cs="宋体"/>
          <w:b/>
          <w:bCs/>
        </w:rPr>
        <w:t>、长期资产减值</w:t>
      </w:r>
      <w:bookmarkEnd w:id="285"/>
    </w:p>
    <w:p w14:paraId="6D38CE69" w14:textId="77777777" w:rsidR="00872599" w:rsidRPr="00F614F9" w:rsidRDefault="00000000" w:rsidP="007C0164">
      <w:pPr>
        <w:pStyle w:val="a3"/>
        <w:spacing w:before="0" w:beforeAutospacing="0" w:after="0" w:afterAutospacing="0" w:line="276" w:lineRule="auto"/>
        <w:ind w:firstLine="360"/>
        <w:jc w:val="both"/>
        <w:divId w:val="1047417579"/>
        <w:rPr>
          <w:rFonts w:ascii="Times New Roman" w:hAnsi="Times New Roman" w:cs="Times New Roman"/>
          <w:sz w:val="21"/>
          <w:szCs w:val="21"/>
        </w:rPr>
      </w:pPr>
      <w:r w:rsidRPr="00F614F9">
        <w:rPr>
          <w:rFonts w:ascii="Times New Roman" w:hAnsi="Times New Roman" w:cs="Times New Roman" w:hint="eastAsia"/>
          <w:sz w:val="18"/>
          <w:szCs w:val="18"/>
        </w:rPr>
        <w:t>对于固定资产、在建工程、使用权资产、使用寿命有限的无形资产、以成本模式计量的投资性房地产及对子公司、合营企业、联营企业的长期股权投资等非流动非金融资产，本集团于资产负债表</w:t>
      </w:r>
      <w:proofErr w:type="gramStart"/>
      <w:r w:rsidRPr="00F614F9">
        <w:rPr>
          <w:rFonts w:ascii="Times New Roman" w:hAnsi="Times New Roman" w:cs="Times New Roman" w:hint="eastAsia"/>
          <w:sz w:val="18"/>
          <w:szCs w:val="18"/>
        </w:rPr>
        <w:t>日判断</w:t>
      </w:r>
      <w:proofErr w:type="gramEnd"/>
      <w:r w:rsidRPr="00F614F9">
        <w:rPr>
          <w:rFonts w:ascii="Times New Roman" w:hAnsi="Times New Roman" w:cs="Times New Roman" w:hint="eastAsia"/>
          <w:sz w:val="18"/>
          <w:szCs w:val="18"/>
        </w:rPr>
        <w:t>是否存在减值迹象。如存在减值迹象的，则估计其可收回金额，进行减值测试。商誉、使用寿命不确定的无形资产和尚未达到可使用状态的无形资产，无论是否存在减值迹象，每年均进行减值测试。</w:t>
      </w:r>
    </w:p>
    <w:p w14:paraId="37538DC7" w14:textId="77777777" w:rsidR="00872599" w:rsidRPr="00F614F9" w:rsidRDefault="00000000" w:rsidP="007C0164">
      <w:pPr>
        <w:pStyle w:val="a3"/>
        <w:spacing w:before="0" w:beforeAutospacing="0" w:after="0" w:afterAutospacing="0" w:line="276" w:lineRule="auto"/>
        <w:ind w:firstLine="360"/>
        <w:jc w:val="both"/>
        <w:divId w:val="1047417579"/>
        <w:rPr>
          <w:rFonts w:ascii="Times New Roman" w:hAnsi="Times New Roman" w:cs="Times New Roman"/>
          <w:sz w:val="21"/>
          <w:szCs w:val="21"/>
        </w:rPr>
      </w:pPr>
      <w:r w:rsidRPr="00F614F9">
        <w:rPr>
          <w:rFonts w:ascii="Times New Roman" w:hAnsi="Times New Roman" w:cs="Times New Roman" w:hint="eastAsia"/>
          <w:sz w:val="18"/>
          <w:szCs w:val="18"/>
        </w:rPr>
        <w:t>减值测试结果表明资产的可收回金额低于其账面价值的，按其差额计提减值准备并计入减值损失。可收回金额为资产的公允价值减去处置费用后的净额与资产预计未来现金流量的现值两者之间的较高者。资产的公允价值根据公平交易中销售协议价格确定；不存在销售协议但存在资产活跃市场的，公允价值按照该资产的买方出价确定；不存在销售协议和资产活跃市场的，则以可获取的最佳信息为基础估计资产的公允价值。处置费用包括与资产处置有关的法律费用、相关税费、搬运费以及为使资产达到可销售状态所发生的直接费用。资产预计未来现金流量的现值，按照资产在持续使用过程中和最终处置时所产生的预计未来现金流量，选择恰当的折现率对其进行折现后的金额加以确定。资产减值准备按单项资产为基础计算并确认，如果难以对单项资产的可收回金额进行估计的，以该资产所属的资产组确定资产组的可收回金额。资产组是能够独立产生现金流入的最小资产组合。</w:t>
      </w:r>
    </w:p>
    <w:p w14:paraId="1B72DA0C" w14:textId="77777777" w:rsidR="00872599" w:rsidRPr="00F614F9" w:rsidRDefault="00000000" w:rsidP="007C0164">
      <w:pPr>
        <w:pStyle w:val="a3"/>
        <w:spacing w:before="0" w:beforeAutospacing="0" w:after="0" w:afterAutospacing="0" w:line="276" w:lineRule="auto"/>
        <w:ind w:firstLine="360"/>
        <w:jc w:val="both"/>
        <w:divId w:val="1047417579"/>
        <w:rPr>
          <w:rFonts w:ascii="Times New Roman" w:hAnsi="Times New Roman" w:cs="Times New Roman"/>
          <w:sz w:val="21"/>
          <w:szCs w:val="21"/>
        </w:rPr>
      </w:pPr>
      <w:r w:rsidRPr="00F614F9">
        <w:rPr>
          <w:rFonts w:ascii="Times New Roman" w:hAnsi="Times New Roman" w:cs="Times New Roman" w:hint="eastAsia"/>
          <w:sz w:val="18"/>
          <w:szCs w:val="18"/>
        </w:rPr>
        <w:t>在财务报表中单独列示的商誉，在进行减值测试时，将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14:paraId="2023AE2A" w14:textId="77777777" w:rsidR="00872599" w:rsidRPr="00F614F9" w:rsidRDefault="00000000" w:rsidP="007C0164">
      <w:pPr>
        <w:pStyle w:val="a3"/>
        <w:spacing w:before="0" w:beforeAutospacing="0" w:after="0" w:afterAutospacing="0" w:line="276" w:lineRule="auto"/>
        <w:ind w:firstLine="360"/>
        <w:jc w:val="both"/>
        <w:divId w:val="1047417579"/>
        <w:rPr>
          <w:rFonts w:ascii="Times New Roman" w:hAnsi="Times New Roman" w:cs="Times New Roman"/>
          <w:sz w:val="21"/>
          <w:szCs w:val="21"/>
        </w:rPr>
      </w:pPr>
      <w:r w:rsidRPr="00F614F9">
        <w:rPr>
          <w:rFonts w:ascii="Times New Roman" w:hAnsi="Times New Roman" w:cs="Times New Roman" w:hint="eastAsia"/>
          <w:sz w:val="18"/>
          <w:szCs w:val="18"/>
        </w:rPr>
        <w:t>上述资产减值损失一经确认，以后期间不予转回价值得以恢复的部分。</w:t>
      </w:r>
    </w:p>
    <w:p w14:paraId="13DD56C1" w14:textId="77777777" w:rsidR="001D26E7" w:rsidRPr="00F614F9" w:rsidRDefault="00000000">
      <w:pPr>
        <w:pStyle w:val="3"/>
        <w:spacing w:line="280" w:lineRule="exact"/>
        <w:jc w:val="left"/>
        <w:rPr>
          <w:rFonts w:ascii="Times New Roman" w:hAnsi="Times New Roman" w:cs="宋体"/>
          <w:b/>
          <w:bCs/>
        </w:rPr>
      </w:pPr>
      <w:bookmarkStart w:id="286" w:name="_Toc989101"/>
      <w:r w:rsidRPr="00F614F9">
        <w:rPr>
          <w:rFonts w:ascii="Times New Roman" w:hAnsi="Times New Roman" w:cs="宋体"/>
          <w:b/>
          <w:bCs/>
        </w:rPr>
        <w:t>31</w:t>
      </w:r>
      <w:r w:rsidRPr="00F614F9">
        <w:rPr>
          <w:rFonts w:ascii="Times New Roman" w:hAnsi="Times New Roman" w:cs="宋体"/>
          <w:b/>
          <w:bCs/>
        </w:rPr>
        <w:t>、长期待摊费用</w:t>
      </w:r>
      <w:bookmarkEnd w:id="286"/>
    </w:p>
    <w:p w14:paraId="2D55E742" w14:textId="77777777" w:rsidR="00872599" w:rsidRPr="00F614F9" w:rsidRDefault="00000000" w:rsidP="007C0164">
      <w:pPr>
        <w:pStyle w:val="a3"/>
        <w:spacing w:before="0" w:beforeAutospacing="0" w:after="0" w:afterAutospacing="0" w:line="276" w:lineRule="auto"/>
        <w:ind w:firstLine="420"/>
        <w:divId w:val="667755992"/>
        <w:rPr>
          <w:rFonts w:ascii="Times New Roman" w:hAnsi="Times New Roman"/>
          <w:sz w:val="21"/>
          <w:szCs w:val="21"/>
        </w:rPr>
      </w:pPr>
      <w:r w:rsidRPr="00F614F9">
        <w:rPr>
          <w:rFonts w:ascii="Times New Roman" w:hAnsi="Times New Roman" w:hint="eastAsia"/>
          <w:sz w:val="21"/>
          <w:szCs w:val="21"/>
        </w:rPr>
        <w:t>长期待摊费用为已经发生但应</w:t>
      </w:r>
      <w:proofErr w:type="gramStart"/>
      <w:r w:rsidRPr="00F614F9">
        <w:rPr>
          <w:rFonts w:ascii="Times New Roman" w:hAnsi="Times New Roman" w:hint="eastAsia"/>
          <w:sz w:val="21"/>
          <w:szCs w:val="21"/>
        </w:rPr>
        <w:t>由报告</w:t>
      </w:r>
      <w:proofErr w:type="gramEnd"/>
      <w:r w:rsidRPr="00F614F9">
        <w:rPr>
          <w:rFonts w:ascii="Times New Roman" w:hAnsi="Times New Roman" w:hint="eastAsia"/>
          <w:sz w:val="21"/>
          <w:szCs w:val="21"/>
        </w:rPr>
        <w:t>期和以后各期负担的分摊期限在一年以上的各项费用。长期待摊费用在预计受益期间按直线法摊销。</w:t>
      </w:r>
    </w:p>
    <w:p w14:paraId="53958AD8" w14:textId="77777777" w:rsidR="001D26E7" w:rsidRPr="00F614F9" w:rsidRDefault="00000000" w:rsidP="007C0164">
      <w:pPr>
        <w:pStyle w:val="3"/>
        <w:spacing w:line="276" w:lineRule="auto"/>
        <w:jc w:val="left"/>
        <w:rPr>
          <w:rFonts w:ascii="Times New Roman" w:hAnsi="Times New Roman" w:cs="宋体"/>
          <w:b/>
          <w:bCs/>
        </w:rPr>
      </w:pPr>
      <w:bookmarkStart w:id="287" w:name="_Toc989102"/>
      <w:r w:rsidRPr="00F614F9">
        <w:rPr>
          <w:rFonts w:ascii="Times New Roman" w:hAnsi="Times New Roman" w:cs="宋体"/>
          <w:b/>
          <w:bCs/>
        </w:rPr>
        <w:t>32</w:t>
      </w:r>
      <w:r w:rsidRPr="00F614F9">
        <w:rPr>
          <w:rFonts w:ascii="Times New Roman" w:hAnsi="Times New Roman" w:cs="宋体"/>
          <w:b/>
          <w:bCs/>
        </w:rPr>
        <w:t>、合同负债</w:t>
      </w:r>
      <w:bookmarkEnd w:id="287"/>
    </w:p>
    <w:p w14:paraId="2AFC5F54" w14:textId="77777777" w:rsidR="00872599" w:rsidRPr="00F614F9" w:rsidRDefault="00000000" w:rsidP="007C0164">
      <w:pPr>
        <w:pStyle w:val="a3"/>
        <w:spacing w:before="0" w:beforeAutospacing="0" w:after="0" w:afterAutospacing="0" w:line="276" w:lineRule="auto"/>
        <w:ind w:firstLine="360"/>
        <w:jc w:val="both"/>
        <w:divId w:val="2134247054"/>
        <w:rPr>
          <w:rFonts w:ascii="Times New Roman" w:hAnsi="Times New Roman" w:cs="Times New Roman"/>
          <w:sz w:val="21"/>
          <w:szCs w:val="21"/>
        </w:rPr>
      </w:pPr>
      <w:r w:rsidRPr="00F614F9">
        <w:rPr>
          <w:rFonts w:ascii="Times New Roman" w:hAnsi="Times New Roman" w:cs="Times New Roman" w:hint="eastAsia"/>
          <w:sz w:val="18"/>
          <w:szCs w:val="18"/>
        </w:rPr>
        <w:t>合同负债，是指本集团已收或应收客户对价而应向客户转让商品的义务。如果在本集团向客户转让商品之前，客户已经支付了合同对价或本集团已经取得了无条件收款权，本集团在客户实际支付款项和到期应支付</w:t>
      </w:r>
      <w:proofErr w:type="gramStart"/>
      <w:r w:rsidRPr="00F614F9">
        <w:rPr>
          <w:rFonts w:ascii="Times New Roman" w:hAnsi="Times New Roman" w:cs="Times New Roman" w:hint="eastAsia"/>
          <w:sz w:val="18"/>
          <w:szCs w:val="18"/>
        </w:rPr>
        <w:t>款项孰早时点</w:t>
      </w:r>
      <w:proofErr w:type="gramEnd"/>
      <w:r w:rsidRPr="00F614F9">
        <w:rPr>
          <w:rFonts w:ascii="Times New Roman" w:hAnsi="Times New Roman" w:cs="Times New Roman" w:hint="eastAsia"/>
          <w:sz w:val="18"/>
          <w:szCs w:val="18"/>
        </w:rPr>
        <w:t>，将该已收或应收款项列示为合同负债。同一合同下的合同资产和合同负债以净额列示，不同合同下的合同资产和合同负债不予</w:t>
      </w:r>
      <w:proofErr w:type="gramStart"/>
      <w:r w:rsidRPr="00F614F9">
        <w:rPr>
          <w:rFonts w:ascii="Times New Roman" w:hAnsi="Times New Roman" w:cs="Times New Roman" w:hint="eastAsia"/>
          <w:sz w:val="18"/>
          <w:szCs w:val="18"/>
        </w:rPr>
        <w:t>抵销</w:t>
      </w:r>
      <w:proofErr w:type="gramEnd"/>
      <w:r w:rsidRPr="00F614F9">
        <w:rPr>
          <w:rFonts w:ascii="Times New Roman" w:hAnsi="Times New Roman" w:cs="Times New Roman" w:hint="eastAsia"/>
          <w:sz w:val="18"/>
          <w:szCs w:val="18"/>
        </w:rPr>
        <w:t>。</w:t>
      </w:r>
    </w:p>
    <w:p w14:paraId="2EE1F1B5" w14:textId="77777777" w:rsidR="001D26E7" w:rsidRPr="00F614F9" w:rsidRDefault="00000000">
      <w:pPr>
        <w:pStyle w:val="3"/>
        <w:spacing w:line="280" w:lineRule="exact"/>
        <w:jc w:val="left"/>
        <w:rPr>
          <w:rFonts w:ascii="Times New Roman" w:hAnsi="Times New Roman" w:cs="宋体"/>
          <w:b/>
          <w:bCs/>
        </w:rPr>
      </w:pPr>
      <w:bookmarkStart w:id="288" w:name="_Toc989103"/>
      <w:r w:rsidRPr="00F614F9">
        <w:rPr>
          <w:rFonts w:ascii="Times New Roman" w:hAnsi="Times New Roman" w:cs="宋体"/>
          <w:b/>
          <w:bCs/>
        </w:rPr>
        <w:t>33</w:t>
      </w:r>
      <w:r w:rsidRPr="00F614F9">
        <w:rPr>
          <w:rFonts w:ascii="Times New Roman" w:hAnsi="Times New Roman" w:cs="宋体"/>
          <w:b/>
          <w:bCs/>
        </w:rPr>
        <w:t>、职工薪</w:t>
      </w:r>
      <w:proofErr w:type="gramStart"/>
      <w:r w:rsidRPr="00F614F9">
        <w:rPr>
          <w:rFonts w:ascii="Times New Roman" w:hAnsi="Times New Roman" w:cs="宋体"/>
          <w:b/>
          <w:bCs/>
        </w:rPr>
        <w:t>酬</w:t>
      </w:r>
      <w:bookmarkEnd w:id="288"/>
      <w:proofErr w:type="gramEnd"/>
    </w:p>
    <w:p w14:paraId="2D027E94"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289" w:name="_Toc989104"/>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短期薪酬的会计处理方法</w:t>
      </w:r>
      <w:bookmarkEnd w:id="289"/>
    </w:p>
    <w:p w14:paraId="53BEB4BA" w14:textId="77777777" w:rsidR="00872599" w:rsidRPr="00F614F9" w:rsidRDefault="00000000" w:rsidP="007C0164">
      <w:pPr>
        <w:pStyle w:val="a3"/>
        <w:spacing w:before="0" w:beforeAutospacing="0" w:after="0" w:afterAutospacing="0" w:line="276" w:lineRule="auto"/>
        <w:ind w:firstLine="360"/>
        <w:jc w:val="both"/>
        <w:divId w:val="332730643"/>
        <w:rPr>
          <w:rFonts w:ascii="Times New Roman" w:hAnsi="Times New Roman" w:cs="Times New Roman"/>
          <w:sz w:val="21"/>
          <w:szCs w:val="21"/>
        </w:rPr>
      </w:pPr>
      <w:r w:rsidRPr="00F614F9">
        <w:rPr>
          <w:rFonts w:ascii="Times New Roman" w:hAnsi="Times New Roman" w:cs="Times New Roman" w:hint="eastAsia"/>
          <w:sz w:val="18"/>
          <w:szCs w:val="18"/>
        </w:rPr>
        <w:t>短期薪酬主要包括工资、奖金、津贴和补贴、职工福利费、医疗保险费、生育保险费、工伤保险费、住房公积金、工会经费和职工教育经费、非货币性福利等。本集团在职工为本集团提供服务的会计期间将实际发生的短期职工薪</w:t>
      </w:r>
      <w:proofErr w:type="gramStart"/>
      <w:r w:rsidRPr="00F614F9">
        <w:rPr>
          <w:rFonts w:ascii="Times New Roman" w:hAnsi="Times New Roman" w:cs="Times New Roman" w:hint="eastAsia"/>
          <w:sz w:val="18"/>
          <w:szCs w:val="18"/>
        </w:rPr>
        <w:t>酬</w:t>
      </w:r>
      <w:proofErr w:type="gramEnd"/>
      <w:r w:rsidRPr="00F614F9">
        <w:rPr>
          <w:rFonts w:ascii="Times New Roman" w:hAnsi="Times New Roman" w:cs="Times New Roman" w:hint="eastAsia"/>
          <w:sz w:val="18"/>
          <w:szCs w:val="18"/>
        </w:rPr>
        <w:t>确认为负债，并计入当期损益或相关资产成本。其中非货币性福利按公允价值计量。</w:t>
      </w:r>
    </w:p>
    <w:p w14:paraId="56282FEA"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290" w:name="_Toc989105"/>
      <w:r w:rsidRPr="00F614F9">
        <w:rPr>
          <w:rFonts w:ascii="Times New Roman" w:eastAsia="宋体" w:hAnsi="Times New Roman" w:cs="宋体"/>
          <w:b/>
          <w:bCs/>
          <w:szCs w:val="21"/>
        </w:rPr>
        <w:lastRenderedPageBreak/>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离职后福利的会计处理方法</w:t>
      </w:r>
      <w:bookmarkEnd w:id="290"/>
    </w:p>
    <w:p w14:paraId="5EC316DF" w14:textId="77777777" w:rsidR="00872599" w:rsidRPr="00F614F9" w:rsidRDefault="00000000" w:rsidP="007C0164">
      <w:pPr>
        <w:pStyle w:val="a3"/>
        <w:spacing w:before="0" w:beforeAutospacing="0" w:after="0" w:afterAutospacing="0" w:line="276" w:lineRule="auto"/>
        <w:ind w:firstLine="360"/>
        <w:jc w:val="both"/>
        <w:divId w:val="2006084922"/>
        <w:rPr>
          <w:rFonts w:ascii="Times New Roman" w:hAnsi="Times New Roman" w:cs="Times New Roman"/>
          <w:sz w:val="21"/>
          <w:szCs w:val="21"/>
        </w:rPr>
      </w:pPr>
      <w:r w:rsidRPr="00F614F9">
        <w:rPr>
          <w:rFonts w:ascii="Times New Roman" w:hAnsi="Times New Roman" w:cs="Times New Roman" w:hint="eastAsia"/>
          <w:sz w:val="18"/>
          <w:szCs w:val="18"/>
        </w:rPr>
        <w:t>离职后福利主要包括基本养老保险、失业保险等。离职后福利计划包括设定提存计划。采用设定提存计划的，相应的应缴存金额于发生时计入相关资产成本或当期损益。</w:t>
      </w:r>
    </w:p>
    <w:p w14:paraId="7D51544E"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291" w:name="_Toc989106"/>
      <w:r w:rsidRPr="00F614F9">
        <w:rPr>
          <w:rFonts w:ascii="Times New Roman" w:eastAsia="宋体" w:hAnsi="Times New Roman" w:cs="宋体"/>
          <w:b/>
          <w:bCs/>
          <w:szCs w:val="21"/>
        </w:rPr>
        <w:t>（</w:t>
      </w:r>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辞退福利的会计处理方法</w:t>
      </w:r>
      <w:bookmarkEnd w:id="291"/>
    </w:p>
    <w:p w14:paraId="341C38BC" w14:textId="77777777" w:rsidR="00872599" w:rsidRPr="00F614F9" w:rsidRDefault="00000000" w:rsidP="007C0164">
      <w:pPr>
        <w:pStyle w:val="a3"/>
        <w:spacing w:before="0" w:beforeAutospacing="0" w:after="0" w:afterAutospacing="0" w:line="276" w:lineRule="auto"/>
        <w:ind w:firstLine="360"/>
        <w:jc w:val="both"/>
        <w:divId w:val="2141142896"/>
        <w:rPr>
          <w:rFonts w:ascii="Times New Roman" w:hAnsi="Times New Roman" w:cs="Times New Roman"/>
          <w:sz w:val="21"/>
          <w:szCs w:val="21"/>
        </w:rPr>
      </w:pPr>
      <w:r w:rsidRPr="00F614F9">
        <w:rPr>
          <w:rFonts w:ascii="Times New Roman" w:hAnsi="Times New Roman" w:cs="Times New Roman" w:hint="eastAsia"/>
          <w:sz w:val="18"/>
          <w:szCs w:val="18"/>
        </w:rPr>
        <w:t>在职工劳动合同到期之前解除与职工的劳动关系，或为鼓励职工自愿接受裁减而提出给予补偿的建议，在本集团不能单方面撤回因解除劳动关系计划或裁减建议所提供的辞退福利时，和本集团确认与涉及支付辞退福利的重组相关的成本两者</w:t>
      </w:r>
      <w:proofErr w:type="gramStart"/>
      <w:r w:rsidRPr="00F614F9">
        <w:rPr>
          <w:rFonts w:ascii="Times New Roman" w:hAnsi="Times New Roman" w:cs="Times New Roman" w:hint="eastAsia"/>
          <w:sz w:val="18"/>
          <w:szCs w:val="18"/>
        </w:rPr>
        <w:t>孰</w:t>
      </w:r>
      <w:proofErr w:type="gramEnd"/>
      <w:r w:rsidRPr="00F614F9">
        <w:rPr>
          <w:rFonts w:ascii="Times New Roman" w:hAnsi="Times New Roman" w:cs="Times New Roman" w:hint="eastAsia"/>
          <w:sz w:val="18"/>
          <w:szCs w:val="18"/>
        </w:rPr>
        <w:t>早日，确认辞退福利产生的职工薪</w:t>
      </w:r>
      <w:proofErr w:type="gramStart"/>
      <w:r w:rsidRPr="00F614F9">
        <w:rPr>
          <w:rFonts w:ascii="Times New Roman" w:hAnsi="Times New Roman" w:cs="Times New Roman" w:hint="eastAsia"/>
          <w:sz w:val="18"/>
          <w:szCs w:val="18"/>
        </w:rPr>
        <w:t>酬</w:t>
      </w:r>
      <w:proofErr w:type="gramEnd"/>
      <w:r w:rsidRPr="00F614F9">
        <w:rPr>
          <w:rFonts w:ascii="Times New Roman" w:hAnsi="Times New Roman" w:cs="Times New Roman" w:hint="eastAsia"/>
          <w:sz w:val="18"/>
          <w:szCs w:val="18"/>
        </w:rPr>
        <w:t>负债，并计入当期损益。但辞退福利预期在年度报告期结束后十二个月不能完全支付的，按照其他长期职工薪</w:t>
      </w:r>
      <w:proofErr w:type="gramStart"/>
      <w:r w:rsidRPr="00F614F9">
        <w:rPr>
          <w:rFonts w:ascii="Times New Roman" w:hAnsi="Times New Roman" w:cs="Times New Roman" w:hint="eastAsia"/>
          <w:sz w:val="18"/>
          <w:szCs w:val="18"/>
        </w:rPr>
        <w:t>酬</w:t>
      </w:r>
      <w:proofErr w:type="gramEnd"/>
      <w:r w:rsidRPr="00F614F9">
        <w:rPr>
          <w:rFonts w:ascii="Times New Roman" w:hAnsi="Times New Roman" w:cs="Times New Roman" w:hint="eastAsia"/>
          <w:sz w:val="18"/>
          <w:szCs w:val="18"/>
        </w:rPr>
        <w:t>处理。</w:t>
      </w:r>
    </w:p>
    <w:p w14:paraId="39B95CA3" w14:textId="77777777" w:rsidR="00872599" w:rsidRPr="00F614F9" w:rsidRDefault="00000000">
      <w:pPr>
        <w:pStyle w:val="a3"/>
        <w:spacing w:before="0" w:beforeAutospacing="0" w:after="0" w:afterAutospacing="0"/>
        <w:jc w:val="both"/>
        <w:divId w:val="2141142896"/>
        <w:rPr>
          <w:rFonts w:ascii="Times New Roman" w:hAnsi="Times New Roman"/>
          <w:sz w:val="21"/>
          <w:szCs w:val="21"/>
        </w:rPr>
      </w:pPr>
      <w:r w:rsidRPr="00F614F9">
        <w:rPr>
          <w:rFonts w:ascii="Times New Roman" w:hAnsi="Times New Roman" w:hint="eastAsia"/>
          <w:sz w:val="21"/>
          <w:szCs w:val="21"/>
        </w:rPr>
        <w:t> </w:t>
      </w:r>
    </w:p>
    <w:p w14:paraId="1723B8FA"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292" w:name="_Toc989107"/>
      <w:r w:rsidRPr="00F614F9">
        <w:rPr>
          <w:rFonts w:ascii="Times New Roman" w:eastAsia="宋体" w:hAnsi="Times New Roman" w:cs="宋体"/>
          <w:b/>
          <w:bCs/>
          <w:szCs w:val="21"/>
        </w:rPr>
        <w:t>（</w:t>
      </w:r>
      <w:r w:rsidRPr="00F614F9">
        <w:rPr>
          <w:rFonts w:ascii="Times New Roman" w:eastAsia="宋体" w:hAnsi="Times New Roman" w:cs="宋体"/>
          <w:b/>
          <w:bCs/>
          <w:szCs w:val="21"/>
        </w:rPr>
        <w:t>4</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其他长期职工福利的会计处理方法</w:t>
      </w:r>
      <w:bookmarkEnd w:id="292"/>
    </w:p>
    <w:p w14:paraId="507C078A" w14:textId="77777777" w:rsidR="00872599" w:rsidRPr="00F614F9" w:rsidRDefault="00000000" w:rsidP="007C0164">
      <w:pPr>
        <w:pStyle w:val="a3"/>
        <w:spacing w:before="0" w:beforeAutospacing="0" w:after="0" w:afterAutospacing="0" w:line="276" w:lineRule="auto"/>
        <w:ind w:firstLine="360"/>
        <w:jc w:val="both"/>
        <w:divId w:val="712770248"/>
        <w:rPr>
          <w:rFonts w:ascii="Times New Roman" w:hAnsi="Times New Roman" w:cs="Times New Roman"/>
          <w:sz w:val="21"/>
          <w:szCs w:val="21"/>
        </w:rPr>
      </w:pPr>
      <w:r w:rsidRPr="00F614F9">
        <w:rPr>
          <w:rFonts w:ascii="Times New Roman" w:hAnsi="Times New Roman" w:cs="Times New Roman" w:hint="eastAsia"/>
          <w:sz w:val="18"/>
          <w:szCs w:val="18"/>
        </w:rPr>
        <w:t>职工内部退休计划采用与上述辞退福利相同的原则处理。本集团将</w:t>
      </w:r>
      <w:proofErr w:type="gramStart"/>
      <w:r w:rsidRPr="00F614F9">
        <w:rPr>
          <w:rFonts w:ascii="Times New Roman" w:hAnsi="Times New Roman" w:cs="Times New Roman" w:hint="eastAsia"/>
          <w:sz w:val="18"/>
          <w:szCs w:val="18"/>
        </w:rPr>
        <w:t>自职工</w:t>
      </w:r>
      <w:proofErr w:type="gramEnd"/>
      <w:r w:rsidRPr="00F614F9">
        <w:rPr>
          <w:rFonts w:ascii="Times New Roman" w:hAnsi="Times New Roman" w:cs="Times New Roman" w:hint="eastAsia"/>
          <w:sz w:val="18"/>
          <w:szCs w:val="18"/>
        </w:rPr>
        <w:t>停止提供服务日至正常退休日的期间</w:t>
      </w:r>
      <w:proofErr w:type="gramStart"/>
      <w:r w:rsidRPr="00F614F9">
        <w:rPr>
          <w:rFonts w:ascii="Times New Roman" w:hAnsi="Times New Roman" w:cs="Times New Roman" w:hint="eastAsia"/>
          <w:sz w:val="18"/>
          <w:szCs w:val="18"/>
        </w:rPr>
        <w:t>拟支付</w:t>
      </w:r>
      <w:proofErr w:type="gramEnd"/>
      <w:r w:rsidRPr="00F614F9">
        <w:rPr>
          <w:rFonts w:ascii="Times New Roman" w:hAnsi="Times New Roman" w:cs="Times New Roman" w:hint="eastAsia"/>
          <w:sz w:val="18"/>
          <w:szCs w:val="18"/>
        </w:rPr>
        <w:t>的内退人员工资和缴纳的社会保险费等，在符合预计负债确认条件时，计入当期损益（辞退福利）。</w:t>
      </w:r>
    </w:p>
    <w:p w14:paraId="413A263B" w14:textId="77777777" w:rsidR="00872599" w:rsidRPr="00F614F9" w:rsidRDefault="00000000" w:rsidP="007C0164">
      <w:pPr>
        <w:pStyle w:val="a3"/>
        <w:spacing w:before="0" w:beforeAutospacing="0" w:after="0" w:afterAutospacing="0" w:line="276" w:lineRule="auto"/>
        <w:ind w:firstLine="360"/>
        <w:jc w:val="both"/>
        <w:divId w:val="712770248"/>
        <w:rPr>
          <w:rFonts w:ascii="Times New Roman" w:hAnsi="Times New Roman" w:cs="Times New Roman"/>
          <w:sz w:val="21"/>
          <w:szCs w:val="21"/>
        </w:rPr>
      </w:pPr>
      <w:r w:rsidRPr="00F614F9">
        <w:rPr>
          <w:rFonts w:ascii="Times New Roman" w:hAnsi="Times New Roman" w:cs="Times New Roman" w:hint="eastAsia"/>
          <w:sz w:val="18"/>
          <w:szCs w:val="18"/>
        </w:rPr>
        <w:t>本集团向职工提供的其他长期职工福利，符合设定提存计划的，按照设定提存计划进行会计处理，除此之外按照设定受益计划进行会计处理。</w:t>
      </w:r>
    </w:p>
    <w:p w14:paraId="6ED96AE4" w14:textId="77777777" w:rsidR="001D26E7" w:rsidRPr="00F614F9" w:rsidRDefault="00000000">
      <w:pPr>
        <w:pStyle w:val="3"/>
        <w:spacing w:line="280" w:lineRule="exact"/>
        <w:jc w:val="left"/>
        <w:rPr>
          <w:rFonts w:ascii="Times New Roman" w:hAnsi="Times New Roman" w:cs="宋体"/>
          <w:b/>
          <w:bCs/>
        </w:rPr>
      </w:pPr>
      <w:bookmarkStart w:id="293" w:name="_Toc989108"/>
      <w:r w:rsidRPr="00F614F9">
        <w:rPr>
          <w:rFonts w:ascii="Times New Roman" w:hAnsi="Times New Roman" w:cs="宋体"/>
          <w:b/>
          <w:bCs/>
        </w:rPr>
        <w:t>34</w:t>
      </w:r>
      <w:r w:rsidRPr="00F614F9">
        <w:rPr>
          <w:rFonts w:ascii="Times New Roman" w:hAnsi="Times New Roman" w:cs="宋体"/>
          <w:b/>
          <w:bCs/>
        </w:rPr>
        <w:t>、预计负债</w:t>
      </w:r>
      <w:bookmarkEnd w:id="293"/>
    </w:p>
    <w:p w14:paraId="25E69548" w14:textId="77777777" w:rsidR="00872599" w:rsidRPr="00F614F9" w:rsidRDefault="00000000" w:rsidP="007C0164">
      <w:pPr>
        <w:pStyle w:val="a3"/>
        <w:spacing w:before="0" w:beforeAutospacing="0" w:after="0" w:afterAutospacing="0" w:line="276" w:lineRule="auto"/>
        <w:ind w:firstLine="360"/>
        <w:divId w:val="2091852295"/>
        <w:rPr>
          <w:rFonts w:ascii="Times New Roman" w:hAnsi="Times New Roman" w:cs="Times New Roman"/>
          <w:sz w:val="21"/>
          <w:szCs w:val="21"/>
        </w:rPr>
      </w:pPr>
      <w:r w:rsidRPr="00F614F9">
        <w:rPr>
          <w:rFonts w:ascii="Times New Roman" w:hAnsi="Times New Roman" w:cs="Times New Roman" w:hint="eastAsia"/>
          <w:sz w:val="18"/>
          <w:szCs w:val="18"/>
        </w:rPr>
        <w:t>当与或有事项相关的义务同时符合以下条件，确认为预计负债：（</w:t>
      </w:r>
      <w:r w:rsidRPr="00F614F9">
        <w:rPr>
          <w:rFonts w:ascii="Times New Roman" w:hAnsi="Times New Roman" w:cs="Times New Roman" w:hint="eastAsia"/>
          <w:sz w:val="18"/>
          <w:szCs w:val="18"/>
        </w:rPr>
        <w:t>1</w:t>
      </w:r>
      <w:r w:rsidRPr="00F614F9">
        <w:rPr>
          <w:rFonts w:ascii="Times New Roman" w:hAnsi="Times New Roman" w:cs="Times New Roman" w:hint="eastAsia"/>
          <w:sz w:val="18"/>
          <w:szCs w:val="18"/>
        </w:rPr>
        <w:t>）该义务是本集团承担的现时义务；（</w:t>
      </w:r>
      <w:r w:rsidRPr="00F614F9">
        <w:rPr>
          <w:rFonts w:ascii="Times New Roman" w:hAnsi="Times New Roman" w:cs="Times New Roman" w:hint="eastAsia"/>
          <w:sz w:val="18"/>
          <w:szCs w:val="18"/>
        </w:rPr>
        <w:t>2</w:t>
      </w:r>
      <w:r w:rsidRPr="00F614F9">
        <w:rPr>
          <w:rFonts w:ascii="Times New Roman" w:hAnsi="Times New Roman" w:cs="Times New Roman" w:hint="eastAsia"/>
          <w:sz w:val="18"/>
          <w:szCs w:val="18"/>
        </w:rPr>
        <w:t>）履行该义务很可能导致经济利益流出；（</w:t>
      </w:r>
      <w:r w:rsidRPr="00F614F9">
        <w:rPr>
          <w:rFonts w:ascii="Times New Roman" w:hAnsi="Times New Roman" w:cs="Times New Roman" w:hint="eastAsia"/>
          <w:sz w:val="18"/>
          <w:szCs w:val="18"/>
        </w:rPr>
        <w:t>3</w:t>
      </w:r>
      <w:r w:rsidRPr="00F614F9">
        <w:rPr>
          <w:rFonts w:ascii="Times New Roman" w:hAnsi="Times New Roman" w:cs="Times New Roman" w:hint="eastAsia"/>
          <w:sz w:val="18"/>
          <w:szCs w:val="18"/>
        </w:rPr>
        <w:t>）该义务的金额能够可靠地计量。</w:t>
      </w:r>
    </w:p>
    <w:p w14:paraId="19F9A6BA" w14:textId="77777777" w:rsidR="00872599" w:rsidRPr="00F614F9" w:rsidRDefault="00000000" w:rsidP="007C0164">
      <w:pPr>
        <w:pStyle w:val="a3"/>
        <w:spacing w:before="0" w:beforeAutospacing="0" w:after="0" w:afterAutospacing="0" w:line="276" w:lineRule="auto"/>
        <w:ind w:firstLine="360"/>
        <w:divId w:val="2091852295"/>
        <w:rPr>
          <w:rFonts w:ascii="Times New Roman" w:hAnsi="Times New Roman" w:cs="Times New Roman"/>
          <w:sz w:val="21"/>
          <w:szCs w:val="21"/>
        </w:rPr>
      </w:pPr>
      <w:r w:rsidRPr="00F614F9">
        <w:rPr>
          <w:rFonts w:ascii="Times New Roman" w:hAnsi="Times New Roman" w:cs="Times New Roman" w:hint="eastAsia"/>
          <w:sz w:val="18"/>
          <w:szCs w:val="18"/>
        </w:rPr>
        <w:t>在资产负债表日，考虑与或有事项有关的风险、不确定性和货币时间价值等因素，按照履行相关现时义务所需支出的最佳估计数对预计负债进行计量。</w:t>
      </w:r>
    </w:p>
    <w:p w14:paraId="197DF08F" w14:textId="77777777" w:rsidR="00872599" w:rsidRPr="00F614F9" w:rsidRDefault="00000000" w:rsidP="007C0164">
      <w:pPr>
        <w:pStyle w:val="a3"/>
        <w:spacing w:before="0" w:beforeAutospacing="0" w:after="0" w:afterAutospacing="0" w:line="276" w:lineRule="auto"/>
        <w:ind w:firstLine="360"/>
        <w:divId w:val="2091852295"/>
        <w:rPr>
          <w:rFonts w:ascii="Times New Roman" w:hAnsi="Times New Roman" w:cs="Times New Roman"/>
          <w:sz w:val="21"/>
          <w:szCs w:val="21"/>
        </w:rPr>
      </w:pPr>
      <w:r w:rsidRPr="00F614F9">
        <w:rPr>
          <w:rFonts w:ascii="Times New Roman" w:hAnsi="Times New Roman" w:cs="Times New Roman" w:hint="eastAsia"/>
          <w:sz w:val="18"/>
          <w:szCs w:val="18"/>
        </w:rPr>
        <w:t>如果清偿预计负债所需支出全部或部分预期由第三方补偿的，补偿金额在基本确定能够收到时，作为资产单独确认，且确认的补偿金额不超过预计负债的账面价值。</w:t>
      </w:r>
    </w:p>
    <w:p w14:paraId="0F826044" w14:textId="77777777" w:rsidR="001D26E7" w:rsidRPr="00F614F9" w:rsidRDefault="00000000">
      <w:pPr>
        <w:pStyle w:val="3"/>
        <w:spacing w:line="280" w:lineRule="exact"/>
        <w:jc w:val="left"/>
        <w:rPr>
          <w:rFonts w:ascii="Times New Roman" w:hAnsi="Times New Roman" w:cs="宋体"/>
          <w:b/>
          <w:bCs/>
        </w:rPr>
      </w:pPr>
      <w:bookmarkStart w:id="294" w:name="_Toc989109"/>
      <w:r w:rsidRPr="00F614F9">
        <w:rPr>
          <w:rFonts w:ascii="Times New Roman" w:hAnsi="Times New Roman" w:cs="宋体"/>
          <w:b/>
          <w:bCs/>
        </w:rPr>
        <w:t>35</w:t>
      </w:r>
      <w:r w:rsidRPr="00F614F9">
        <w:rPr>
          <w:rFonts w:ascii="Times New Roman" w:hAnsi="Times New Roman" w:cs="宋体"/>
          <w:b/>
          <w:bCs/>
        </w:rPr>
        <w:t>、股份支付</w:t>
      </w:r>
      <w:bookmarkEnd w:id="294"/>
    </w:p>
    <w:p w14:paraId="17B3BAAA"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股份支付的会计处理方法</w:t>
      </w:r>
    </w:p>
    <w:p w14:paraId="650CDACE"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股份支付是为了获取职工或其他方提供服务而授予权益工具或者承担以权益工具为基础确定的负债的交易。股份支付分为以权益结算的股份支付和以现金结算的股份支付。</w:t>
      </w:r>
    </w:p>
    <w:p w14:paraId="393302E1"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①以权益结算的股份支付</w:t>
      </w:r>
    </w:p>
    <w:p w14:paraId="750236BF"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用以换取职工提供的服务的权益结算的股份支付，以授予职工权益工具在授予日的公允价值计量。该公允价值的金额在完成等待期内的服务或达到规定业绩条件才可行权的情况下，在等待期内以对可行权权益工具数量的最佳估计为基础，按直线法计算计入相关成本或费用</w:t>
      </w:r>
      <w:r w:rsidRPr="00F614F9">
        <w:rPr>
          <w:rFonts w:ascii="Times New Roman" w:eastAsia="宋体" w:hAnsi="Times New Roman" w:hint="eastAsia"/>
          <w:sz w:val="18"/>
          <w:szCs w:val="20"/>
        </w:rPr>
        <w:t>/</w:t>
      </w:r>
      <w:r w:rsidRPr="00F614F9">
        <w:rPr>
          <w:rFonts w:ascii="Times New Roman" w:eastAsia="宋体" w:hAnsi="Times New Roman" w:hint="eastAsia"/>
          <w:sz w:val="18"/>
          <w:szCs w:val="20"/>
        </w:rPr>
        <w:t>在授予后立即可行权时，在授予日计入相关成本或费用，相应增加资本公积。</w:t>
      </w:r>
    </w:p>
    <w:p w14:paraId="70FB2263"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在等待期内每个资产负债表日，本集团根据最新取得的可行</w:t>
      </w:r>
      <w:proofErr w:type="gramStart"/>
      <w:r w:rsidRPr="00F614F9">
        <w:rPr>
          <w:rFonts w:ascii="Times New Roman" w:eastAsia="宋体" w:hAnsi="Times New Roman" w:hint="eastAsia"/>
          <w:sz w:val="18"/>
          <w:szCs w:val="20"/>
        </w:rPr>
        <w:t>权职工</w:t>
      </w:r>
      <w:proofErr w:type="gramEnd"/>
      <w:r w:rsidRPr="00F614F9">
        <w:rPr>
          <w:rFonts w:ascii="Times New Roman" w:eastAsia="宋体" w:hAnsi="Times New Roman" w:hint="eastAsia"/>
          <w:sz w:val="18"/>
          <w:szCs w:val="20"/>
        </w:rPr>
        <w:t>人数变动等后续信息做出最佳估计，修正预计可行权的权益工具数量。上述估计的影响计入当期相关成本或费用，并相应调整资本公积。</w:t>
      </w:r>
    </w:p>
    <w:p w14:paraId="6D632A78"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用以换取其他方服务的权益结算的股份支付，如果其他方服务的公允价值能够可靠计量，按照其他方服务在取得日的</w:t>
      </w:r>
      <w:r w:rsidRPr="00F614F9">
        <w:rPr>
          <w:rFonts w:ascii="Times New Roman" w:eastAsia="宋体" w:hAnsi="Times New Roman" w:hint="eastAsia"/>
          <w:sz w:val="18"/>
          <w:szCs w:val="20"/>
        </w:rPr>
        <w:lastRenderedPageBreak/>
        <w:t>公允价值计量，如果其他方服务的公允价值不能可靠计量，但权益工具的公允价值能够可靠计量的，按照权益工具在服务取得日的公允价值计量，计入相关成本或费用，相应增加股东权益。</w:t>
      </w:r>
    </w:p>
    <w:p w14:paraId="10613D33"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②以现金结算的股份支付</w:t>
      </w:r>
    </w:p>
    <w:p w14:paraId="7D758DE3"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以现金结算的股份支付，按照本集团承担的以股份或其他权益工具为基础确定的负债的公允价值计量。如授予后立即可行权，在授予日计入相关成本或费用，相应增加负债；如须完成等待期内的服务或达到规定业绩条件以后才可行权，在等待期的每个资产负债表日，以对可行</w:t>
      </w:r>
      <w:proofErr w:type="gramStart"/>
      <w:r w:rsidRPr="00F614F9">
        <w:rPr>
          <w:rFonts w:ascii="Times New Roman" w:eastAsia="宋体" w:hAnsi="Times New Roman" w:hint="eastAsia"/>
          <w:sz w:val="18"/>
          <w:szCs w:val="20"/>
        </w:rPr>
        <w:t>权情况</w:t>
      </w:r>
      <w:proofErr w:type="gramEnd"/>
      <w:r w:rsidRPr="00F614F9">
        <w:rPr>
          <w:rFonts w:ascii="Times New Roman" w:eastAsia="宋体" w:hAnsi="Times New Roman" w:hint="eastAsia"/>
          <w:sz w:val="18"/>
          <w:szCs w:val="20"/>
        </w:rPr>
        <w:t>的最佳估计为基础，按照本集团承担负债的公允价值金额，将当期取得的服务计入成本或费用，相应增加负债。</w:t>
      </w:r>
    </w:p>
    <w:p w14:paraId="21D13ECB"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在相关负债结算前的每个资产负债表日以及结算日，对负债的公允价值重新计量，其变动计入当期损益。</w:t>
      </w:r>
    </w:p>
    <w:p w14:paraId="7362B900"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修改、终止股份支付计划的相关会计处理</w:t>
      </w:r>
    </w:p>
    <w:p w14:paraId="2D602B3D"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本集团对股份支付计划进行修改时，若修改增加了所授予权益工具的公允价值，按照权益工具公允价值的增加相应确认取得服务的增加。权益工具公允价值的增加是指修改前后的权益工具在修改日的公允价值之间的差额。若修改减少了股份支付公允价值总额或采用了其他不利于职工的方式，则仍继续对取得的服务进行会计处理，视同该变更从未发生，除非本集团取消了部分或全部已授予的权益工具。</w:t>
      </w:r>
    </w:p>
    <w:p w14:paraId="5D678EE9"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在等待期内，如果取消了授予的权益工具，本集团对取消所授予的权益性工具作为加速行权处理，将剩余等待期内应确认的金额立即计入当期损益，同时确认资本公积。职工或其他方能够选择满足非可行</w:t>
      </w:r>
      <w:proofErr w:type="gramStart"/>
      <w:r w:rsidRPr="00F614F9">
        <w:rPr>
          <w:rFonts w:ascii="Times New Roman" w:eastAsia="宋体" w:hAnsi="Times New Roman" w:hint="eastAsia"/>
          <w:sz w:val="18"/>
          <w:szCs w:val="20"/>
        </w:rPr>
        <w:t>权条件</w:t>
      </w:r>
      <w:proofErr w:type="gramEnd"/>
      <w:r w:rsidRPr="00F614F9">
        <w:rPr>
          <w:rFonts w:ascii="Times New Roman" w:eastAsia="宋体" w:hAnsi="Times New Roman" w:hint="eastAsia"/>
          <w:sz w:val="18"/>
          <w:szCs w:val="20"/>
        </w:rPr>
        <w:t>但在等待期内未满足的，本集团将其作为授予权益工具的取消处理。</w:t>
      </w:r>
    </w:p>
    <w:p w14:paraId="68E272FC"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涉及本集团与本公司股东或实际控制人的股份支付交易的会计处理</w:t>
      </w:r>
    </w:p>
    <w:p w14:paraId="52620E6E"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涉及本集团与本公司股东或实际控制人的股份支付交易，结算企业与接受服务企业中其一在本集团内，另一在本集团外的，在本集团合并财务报表中按照以下规定进行会计处理：</w:t>
      </w:r>
    </w:p>
    <w:p w14:paraId="16D0667C"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①结算企业以其本身权益工具结算的，将该股份支付交易作为权益结算的股份支付处理；除此之外，作为现金结算的股份支付处理。</w:t>
      </w:r>
    </w:p>
    <w:p w14:paraId="53F85253"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结算企业是接受服务企业的投资者的，按照授予日权益工具的公允价值或应承担负债的公允价值确认为对接受服务企业的长期股权投资，同时确认资本公积（其他资本公积）或负债。</w:t>
      </w:r>
    </w:p>
    <w:p w14:paraId="787B2B97"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②接受服务企业没有结算义务或授予本企业职工的是其本身权益工具的，将该股份支付交易作为权益结算的股份支付处理；接受服务企业具有结算义务且授予本企业职工的并非其本身权益工具的，将该股份支付交易作为现金结算的股份支付处理。</w:t>
      </w:r>
    </w:p>
    <w:p w14:paraId="28444036"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本集团内各企业之间发生的股份支付交易，接受服务企业和结算企业不是同一企业的，在接受服务企业和结算企业各自的个别财务报表中对该股份支付交易的确认和计量，比照上述原则处理。</w:t>
      </w:r>
    </w:p>
    <w:p w14:paraId="5D6010F0"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 </w:t>
      </w:r>
    </w:p>
    <w:p w14:paraId="49769F4E" w14:textId="77777777" w:rsidR="001D26E7" w:rsidRPr="00F614F9" w:rsidRDefault="00000000">
      <w:pPr>
        <w:pStyle w:val="3"/>
        <w:spacing w:line="280" w:lineRule="exact"/>
        <w:jc w:val="left"/>
        <w:rPr>
          <w:rFonts w:ascii="Times New Roman" w:hAnsi="Times New Roman" w:cs="宋体"/>
          <w:b/>
          <w:bCs/>
        </w:rPr>
      </w:pPr>
      <w:bookmarkStart w:id="295" w:name="_Toc989110"/>
      <w:r w:rsidRPr="00F614F9">
        <w:rPr>
          <w:rFonts w:ascii="Times New Roman" w:hAnsi="Times New Roman" w:cs="宋体"/>
          <w:b/>
          <w:bCs/>
        </w:rPr>
        <w:t>36</w:t>
      </w:r>
      <w:r w:rsidRPr="00F614F9">
        <w:rPr>
          <w:rFonts w:ascii="Times New Roman" w:hAnsi="Times New Roman" w:cs="宋体"/>
          <w:b/>
          <w:bCs/>
        </w:rPr>
        <w:t>、优先股、永续债等其他金融工具</w:t>
      </w:r>
      <w:bookmarkEnd w:id="295"/>
    </w:p>
    <w:p w14:paraId="66CA3E30"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永续债和优先股等的区分</w:t>
      </w:r>
    </w:p>
    <w:p w14:paraId="77C0A2E2"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本集团发行的永续债和优先股等金融工具，同时符合以下条件的，作为权益工具：</w:t>
      </w:r>
    </w:p>
    <w:p w14:paraId="3435A413"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①该金融工具不包括交付现金或其他金融资产给其他方，或在潜在不利条件下与其他方交换金融资产或金融负债的合同义务；</w:t>
      </w:r>
    </w:p>
    <w:p w14:paraId="08E43D01"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②如将来须用或可用企业自身权益工具结算该金融工具的，如该金融工具为非衍生工具，则不包括交付可变数量的自身权益工具进行结算的合同义务；如为衍生工具，则本集团只能通过以固定数量的自身权益工具交换固定金额的现金或其他金融资产结算该金融工具。</w:t>
      </w:r>
    </w:p>
    <w:p w14:paraId="37050982"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lastRenderedPageBreak/>
        <w:t>除按上述条件可归类为权益工具的金融工具以外，本集团发行的其他金融工具应归类为金融负债。</w:t>
      </w:r>
    </w:p>
    <w:p w14:paraId="574A9844"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本集团发行的金融工具为复合金融工具的，按照负债成分的公允价值确认为一项负债，按实际收到的金额扣除负债成分的公允价值后的金额，确认为“其他权益工具”。发行复合金融工具发生的交易费用，在负债成分和权益成分之间按照各自占总发行价款的比例进行分摊。</w:t>
      </w:r>
    </w:p>
    <w:p w14:paraId="63C052F3"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永续债和优先股等的会计处理方法</w:t>
      </w:r>
    </w:p>
    <w:p w14:paraId="643B23D8"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归类为金融负债的永续债和优先股等金融工具，其相关利息、股利（或股息）、利得或损失，以及赎回或再融资产生的利得或损失等，除符合资本化条件的借款费用（参见本附注五、</w:t>
      </w:r>
      <w:r w:rsidRPr="00F614F9">
        <w:rPr>
          <w:rFonts w:ascii="Times New Roman" w:eastAsia="宋体" w:hAnsi="Times New Roman" w:hint="eastAsia"/>
          <w:sz w:val="18"/>
          <w:szCs w:val="20"/>
        </w:rPr>
        <w:t>26</w:t>
      </w:r>
      <w:r w:rsidRPr="00F614F9">
        <w:rPr>
          <w:rFonts w:ascii="Times New Roman" w:eastAsia="宋体" w:hAnsi="Times New Roman" w:hint="eastAsia"/>
          <w:sz w:val="18"/>
          <w:szCs w:val="20"/>
        </w:rPr>
        <w:t>“借款费用”）以外，均计入当期损益。</w:t>
      </w:r>
    </w:p>
    <w:p w14:paraId="4BDB0111"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归类为权益工具的永续债和优先股等金融工具，其发行（</w:t>
      </w:r>
      <w:proofErr w:type="gramStart"/>
      <w:r w:rsidRPr="00F614F9">
        <w:rPr>
          <w:rFonts w:ascii="Times New Roman" w:eastAsia="宋体" w:hAnsi="Times New Roman" w:hint="eastAsia"/>
          <w:sz w:val="18"/>
          <w:szCs w:val="20"/>
        </w:rPr>
        <w:t>含再融资</w:t>
      </w:r>
      <w:proofErr w:type="gramEnd"/>
      <w:r w:rsidRPr="00F614F9">
        <w:rPr>
          <w:rFonts w:ascii="Times New Roman" w:eastAsia="宋体" w:hAnsi="Times New Roman" w:hint="eastAsia"/>
          <w:sz w:val="18"/>
          <w:szCs w:val="20"/>
        </w:rPr>
        <w:t>）、回购、出售或注销时，本集团作为权益的变动处理，相关交易费用亦从权益中扣减。本集团对权益工具持有方的分配作为利润分配处理。</w:t>
      </w:r>
    </w:p>
    <w:p w14:paraId="2BC4BCB9"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本集团不确认权益工具的公允价值变动。</w:t>
      </w:r>
    </w:p>
    <w:p w14:paraId="3588CCFD" w14:textId="77777777" w:rsidR="001D26E7" w:rsidRPr="00F614F9" w:rsidRDefault="00000000">
      <w:pPr>
        <w:pStyle w:val="3"/>
        <w:spacing w:line="280" w:lineRule="exact"/>
        <w:jc w:val="left"/>
        <w:rPr>
          <w:rFonts w:ascii="Times New Roman" w:hAnsi="Times New Roman" w:cs="宋体"/>
          <w:b/>
          <w:bCs/>
        </w:rPr>
      </w:pPr>
      <w:bookmarkStart w:id="296" w:name="_Toc989111"/>
      <w:r w:rsidRPr="00F614F9">
        <w:rPr>
          <w:rFonts w:ascii="Times New Roman" w:hAnsi="Times New Roman" w:cs="宋体"/>
          <w:b/>
          <w:bCs/>
        </w:rPr>
        <w:t>37</w:t>
      </w:r>
      <w:r w:rsidRPr="00F614F9">
        <w:rPr>
          <w:rFonts w:ascii="Times New Roman" w:hAnsi="Times New Roman" w:cs="宋体"/>
          <w:b/>
          <w:bCs/>
        </w:rPr>
        <w:t>、收入</w:t>
      </w:r>
      <w:bookmarkEnd w:id="296"/>
    </w:p>
    <w:p w14:paraId="5C2CE033" w14:textId="77777777" w:rsidR="001D26E7" w:rsidRPr="00F614F9" w:rsidRDefault="00000000" w:rsidP="007C0164">
      <w:pPr>
        <w:spacing w:before="100" w:after="100" w:line="276" w:lineRule="auto"/>
        <w:rPr>
          <w:rFonts w:ascii="Times New Roman" w:eastAsia="宋体" w:hAnsi="Times New Roman" w:cs="宋体"/>
          <w:sz w:val="18"/>
          <w:szCs w:val="18"/>
        </w:rPr>
      </w:pPr>
      <w:r w:rsidRPr="00F614F9">
        <w:rPr>
          <w:rFonts w:ascii="Times New Roman" w:eastAsia="宋体" w:hAnsi="Times New Roman" w:cs="宋体"/>
          <w:sz w:val="18"/>
          <w:szCs w:val="18"/>
        </w:rPr>
        <w:t>按照业务类型披露收入确认和计量所采用的会计政策</w:t>
      </w:r>
    </w:p>
    <w:p w14:paraId="40A1D9A5" w14:textId="77777777" w:rsidR="00872599" w:rsidRPr="00F614F9" w:rsidRDefault="00000000" w:rsidP="007C0164">
      <w:pPr>
        <w:pStyle w:val="a3"/>
        <w:spacing w:before="0" w:beforeAutospacing="0" w:after="0" w:afterAutospacing="0" w:line="276" w:lineRule="auto"/>
        <w:ind w:firstLine="360"/>
        <w:divId w:val="1399280558"/>
        <w:rPr>
          <w:rFonts w:ascii="Times New Roman" w:hAnsi="Times New Roman" w:cs="Times New Roman"/>
          <w:sz w:val="21"/>
          <w:szCs w:val="21"/>
        </w:rPr>
      </w:pPr>
      <w:r w:rsidRPr="00F614F9">
        <w:rPr>
          <w:rFonts w:ascii="Times New Roman" w:hAnsi="Times New Roman" w:cs="Times New Roman" w:hint="eastAsia"/>
          <w:sz w:val="18"/>
          <w:szCs w:val="18"/>
        </w:rPr>
        <w:t>收入，是本集团在日常活动中形成的、会导致股东权益增加的、与股东投入资本无关的经济利益的总流入。本集团与客户之间的合同同时满足下列条件时，在客户取得相关商品（含劳务，下同）控制权时确认收入：合同各方已批准该合同并承诺将履行各自义务；合同明确了合同各方与所转让商品或提供劳务相关的权利和义务；合同有明确的与所转让商品相关的支付条款；合同具有商业实质，即履行该合同将改变本集团未来现金流量的风险、时间分布或金额；本集团因向客户转让商品而有权取得的对价很可能收回。其中，取得相关商品控制权，是指能够主导该商品的使用并从中获得几乎全部的经济利益。</w:t>
      </w:r>
    </w:p>
    <w:p w14:paraId="1C2775F8" w14:textId="77777777" w:rsidR="00872599" w:rsidRPr="00F614F9" w:rsidRDefault="00000000" w:rsidP="007C0164">
      <w:pPr>
        <w:pStyle w:val="a3"/>
        <w:spacing w:before="0" w:beforeAutospacing="0" w:after="0" w:afterAutospacing="0" w:line="276" w:lineRule="auto"/>
        <w:ind w:firstLine="360"/>
        <w:divId w:val="1399280558"/>
        <w:rPr>
          <w:rFonts w:ascii="Times New Roman" w:hAnsi="Times New Roman" w:cs="Times New Roman"/>
          <w:sz w:val="21"/>
          <w:szCs w:val="21"/>
        </w:rPr>
      </w:pPr>
      <w:r w:rsidRPr="00F614F9">
        <w:rPr>
          <w:rFonts w:ascii="Times New Roman" w:hAnsi="Times New Roman" w:cs="Times New Roman" w:hint="eastAsia"/>
          <w:sz w:val="18"/>
          <w:szCs w:val="18"/>
        </w:rPr>
        <w:t>在合同开始日，本集团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14:paraId="30E57B91" w14:textId="77777777" w:rsidR="00872599" w:rsidRPr="00F614F9" w:rsidRDefault="00000000" w:rsidP="007C0164">
      <w:pPr>
        <w:pStyle w:val="a3"/>
        <w:spacing w:before="0" w:beforeAutospacing="0" w:after="0" w:afterAutospacing="0" w:line="276" w:lineRule="auto"/>
        <w:ind w:firstLine="360"/>
        <w:divId w:val="1399280558"/>
        <w:rPr>
          <w:rFonts w:ascii="Times New Roman" w:hAnsi="Times New Roman" w:cs="Times New Roman"/>
          <w:sz w:val="21"/>
          <w:szCs w:val="21"/>
        </w:rPr>
      </w:pPr>
      <w:r w:rsidRPr="00F614F9">
        <w:rPr>
          <w:rFonts w:ascii="Times New Roman" w:hAnsi="Times New Roman" w:cs="Times New Roman" w:hint="eastAsia"/>
          <w:sz w:val="18"/>
          <w:szCs w:val="18"/>
        </w:rPr>
        <w:t>可变对价：</w:t>
      </w:r>
    </w:p>
    <w:p w14:paraId="6EC246A9" w14:textId="77777777" w:rsidR="00872599" w:rsidRPr="00F614F9" w:rsidRDefault="00000000" w:rsidP="007C0164">
      <w:pPr>
        <w:pStyle w:val="a3"/>
        <w:spacing w:before="0" w:beforeAutospacing="0" w:after="0" w:afterAutospacing="0" w:line="276" w:lineRule="auto"/>
        <w:ind w:firstLine="360"/>
        <w:divId w:val="1399280558"/>
        <w:rPr>
          <w:rFonts w:ascii="Times New Roman" w:hAnsi="Times New Roman" w:cs="Times New Roman"/>
          <w:sz w:val="21"/>
          <w:szCs w:val="21"/>
        </w:rPr>
      </w:pPr>
      <w:r w:rsidRPr="00F614F9">
        <w:rPr>
          <w:rFonts w:ascii="Times New Roman" w:hAnsi="Times New Roman" w:cs="Times New Roman" w:hint="eastAsia"/>
          <w:sz w:val="18"/>
          <w:szCs w:val="18"/>
        </w:rPr>
        <w:t>本集团部分与客户之间的合同存在销售返利的安排，形成可变对价。本集团按照期望值或最有可能发生金额确定可变对价的最佳估计数，但包含可变对价的交易价格不超过在相关不确定性消除时累计已确认</w:t>
      </w:r>
      <w:proofErr w:type="gramStart"/>
      <w:r w:rsidRPr="00F614F9">
        <w:rPr>
          <w:rFonts w:ascii="Times New Roman" w:hAnsi="Times New Roman" w:cs="Times New Roman" w:hint="eastAsia"/>
          <w:sz w:val="18"/>
          <w:szCs w:val="18"/>
        </w:rPr>
        <w:t>收入极</w:t>
      </w:r>
      <w:proofErr w:type="gramEnd"/>
      <w:r w:rsidRPr="00F614F9">
        <w:rPr>
          <w:rFonts w:ascii="Times New Roman" w:hAnsi="Times New Roman" w:cs="Times New Roman" w:hint="eastAsia"/>
          <w:sz w:val="18"/>
          <w:szCs w:val="18"/>
        </w:rPr>
        <w:t>可能不会发生重大转回的金额。</w:t>
      </w:r>
    </w:p>
    <w:p w14:paraId="2E1DAB32" w14:textId="77777777" w:rsidR="00872599" w:rsidRPr="00F614F9" w:rsidRDefault="00000000" w:rsidP="007C0164">
      <w:pPr>
        <w:pStyle w:val="a3"/>
        <w:spacing w:before="0" w:beforeAutospacing="0" w:after="0" w:afterAutospacing="0" w:line="276" w:lineRule="auto"/>
        <w:ind w:firstLine="360"/>
        <w:divId w:val="1399280558"/>
        <w:rPr>
          <w:rFonts w:ascii="Times New Roman" w:hAnsi="Times New Roman" w:cs="Times New Roman"/>
          <w:sz w:val="21"/>
          <w:szCs w:val="21"/>
        </w:rPr>
      </w:pPr>
      <w:r w:rsidRPr="00F614F9">
        <w:rPr>
          <w:rFonts w:ascii="Times New Roman" w:hAnsi="Times New Roman" w:cs="Times New Roman" w:hint="eastAsia"/>
          <w:sz w:val="18"/>
          <w:szCs w:val="18"/>
        </w:rPr>
        <w:t>应付客户对价：</w:t>
      </w:r>
    </w:p>
    <w:p w14:paraId="433D62EC" w14:textId="77777777" w:rsidR="00872599" w:rsidRPr="00F614F9" w:rsidRDefault="00000000" w:rsidP="007C0164">
      <w:pPr>
        <w:pStyle w:val="a3"/>
        <w:spacing w:before="0" w:beforeAutospacing="0" w:after="0" w:afterAutospacing="0" w:line="276" w:lineRule="auto"/>
        <w:ind w:firstLine="360"/>
        <w:divId w:val="1399280558"/>
        <w:rPr>
          <w:rFonts w:ascii="Times New Roman" w:hAnsi="Times New Roman" w:cs="Times New Roman"/>
          <w:sz w:val="21"/>
          <w:szCs w:val="21"/>
        </w:rPr>
      </w:pPr>
      <w:r w:rsidRPr="00F614F9">
        <w:rPr>
          <w:rFonts w:ascii="Times New Roman" w:hAnsi="Times New Roman" w:cs="Times New Roman" w:hint="eastAsia"/>
          <w:sz w:val="18"/>
          <w:szCs w:val="18"/>
        </w:rPr>
        <w:t>对于应付客户对价，本集团将该应付客户对价冲减交易价格，并在确认相关收入与支付（或承诺支付）客户对价</w:t>
      </w:r>
      <w:proofErr w:type="gramStart"/>
      <w:r w:rsidRPr="00F614F9">
        <w:rPr>
          <w:rFonts w:ascii="Times New Roman" w:hAnsi="Times New Roman" w:cs="Times New Roman" w:hint="eastAsia"/>
          <w:sz w:val="18"/>
          <w:szCs w:val="18"/>
        </w:rPr>
        <w:t>二者孰晚的</w:t>
      </w:r>
      <w:proofErr w:type="gramEnd"/>
      <w:r w:rsidRPr="00F614F9">
        <w:rPr>
          <w:rFonts w:ascii="Times New Roman" w:hAnsi="Times New Roman" w:cs="Times New Roman" w:hint="eastAsia"/>
          <w:sz w:val="18"/>
          <w:szCs w:val="18"/>
        </w:rPr>
        <w:t>时点冲减当期收入，除非该应付对价是为了向客户取得其他可明确区分商品或服务。</w:t>
      </w:r>
    </w:p>
    <w:p w14:paraId="2508D5B2" w14:textId="77777777" w:rsidR="00872599" w:rsidRPr="00F614F9" w:rsidRDefault="00000000" w:rsidP="007C0164">
      <w:pPr>
        <w:pStyle w:val="a3"/>
        <w:spacing w:before="0" w:beforeAutospacing="0" w:after="0" w:afterAutospacing="0" w:line="276" w:lineRule="auto"/>
        <w:ind w:firstLine="360"/>
        <w:divId w:val="1399280558"/>
        <w:rPr>
          <w:rFonts w:ascii="Times New Roman" w:hAnsi="Times New Roman" w:cs="Times New Roman"/>
          <w:sz w:val="21"/>
          <w:szCs w:val="21"/>
        </w:rPr>
      </w:pPr>
      <w:r w:rsidRPr="00F614F9">
        <w:rPr>
          <w:rFonts w:ascii="Times New Roman" w:hAnsi="Times New Roman" w:cs="Times New Roman" w:hint="eastAsia"/>
          <w:sz w:val="18"/>
          <w:szCs w:val="18"/>
        </w:rPr>
        <w:t>对于合同中的每个单项履约义务，如果满足下列条件之一的，本集团在相关履约时段内按照履约进度将分摊至该单项履约义务的交易价格确认为收入：客户在本集团履约的同时即取得并消耗本集团履约所带来的经济利益；客户能够控制本集团履约过程中在建的商品；本集团履约过程中所产出的商品具有不可替代用途，且本集团在整个合同期间内有权就累计至今已完成的履约部分收取款项。履约进度根据所转让商品的性质采用投入法或产出法确定，当履约进度不能合理确定时，本集团已经发生的成本预计能够得到补偿的，按照已经发生的成本金额确认收入，直到履约进度能够合理确定为止。</w:t>
      </w:r>
    </w:p>
    <w:p w14:paraId="5EFADEF6" w14:textId="77777777" w:rsidR="00872599" w:rsidRPr="00F614F9" w:rsidRDefault="00000000" w:rsidP="007C0164">
      <w:pPr>
        <w:pStyle w:val="a3"/>
        <w:spacing w:before="0" w:beforeAutospacing="0" w:after="0" w:afterAutospacing="0" w:line="276" w:lineRule="auto"/>
        <w:ind w:firstLine="360"/>
        <w:divId w:val="1399280558"/>
        <w:rPr>
          <w:rFonts w:ascii="Times New Roman" w:hAnsi="Times New Roman" w:cs="Times New Roman"/>
          <w:sz w:val="21"/>
          <w:szCs w:val="21"/>
        </w:rPr>
      </w:pPr>
      <w:r w:rsidRPr="00F614F9">
        <w:rPr>
          <w:rFonts w:ascii="Times New Roman" w:hAnsi="Times New Roman" w:cs="Times New Roman" w:hint="eastAsia"/>
          <w:sz w:val="18"/>
          <w:szCs w:val="18"/>
        </w:rPr>
        <w:t>如果不满足上述条件之一，则本集团在客户取得相关商品控制权的时点按照分摊至该单项履约义务的交易价格确认收入。在判断客户是否已取得商品控制权时，本集团考虑下列迹象：企业就该商品享有现时收款权利，即客户就该商品负有现时付款义务；企业已将该商品的法定所有权转移给客户，即客户已拥有该商品的法定所有权；企业已将该商品实物转移</w:t>
      </w:r>
      <w:r w:rsidRPr="00F614F9">
        <w:rPr>
          <w:rFonts w:ascii="Times New Roman" w:hAnsi="Times New Roman" w:cs="Times New Roman" w:hint="eastAsia"/>
          <w:sz w:val="18"/>
          <w:szCs w:val="18"/>
        </w:rPr>
        <w:lastRenderedPageBreak/>
        <w:t>给客户，即客户已实物占有该商品；企业已将该商品所有权上的主要风险和报酬转移给客户，即客户已取得该商品所有权上的主要风险和报酬；客户已接受该商品；其他表明客户已取得商品控制权的迹象。</w:t>
      </w:r>
    </w:p>
    <w:p w14:paraId="59486047" w14:textId="77777777" w:rsidR="00872599" w:rsidRPr="00F614F9" w:rsidRDefault="00000000" w:rsidP="007C0164">
      <w:pPr>
        <w:pStyle w:val="a3"/>
        <w:spacing w:before="0" w:beforeAutospacing="0" w:after="0" w:afterAutospacing="0" w:line="276" w:lineRule="auto"/>
        <w:ind w:firstLine="360"/>
        <w:divId w:val="1399280558"/>
        <w:rPr>
          <w:rFonts w:ascii="Times New Roman" w:hAnsi="Times New Roman" w:cs="Times New Roman"/>
          <w:sz w:val="21"/>
          <w:szCs w:val="21"/>
        </w:rPr>
      </w:pPr>
      <w:r w:rsidRPr="00F614F9">
        <w:rPr>
          <w:rFonts w:ascii="Times New Roman" w:hAnsi="Times New Roman" w:cs="Times New Roman" w:hint="eastAsia"/>
          <w:sz w:val="18"/>
          <w:szCs w:val="18"/>
        </w:rPr>
        <w:t>本集团销售商品收入按客户类别可细分为自提货现销、加盟店、批发商、商超客户、食品加工企业等多种方式。销售收入的确认方式及结算方式因客户类别而不同，具体如下：</w:t>
      </w:r>
    </w:p>
    <w:p w14:paraId="48A266A0" w14:textId="77777777" w:rsidR="00872599" w:rsidRPr="00F614F9" w:rsidRDefault="00000000" w:rsidP="007C0164">
      <w:pPr>
        <w:pStyle w:val="a3"/>
        <w:spacing w:before="0" w:beforeAutospacing="0" w:after="0" w:afterAutospacing="0" w:line="276" w:lineRule="auto"/>
        <w:ind w:firstLine="360"/>
        <w:divId w:val="1399280558"/>
        <w:rPr>
          <w:rFonts w:ascii="Times New Roman" w:hAnsi="Times New Roman" w:cs="Times New Roman"/>
          <w:sz w:val="21"/>
          <w:szCs w:val="21"/>
        </w:rPr>
      </w:pPr>
      <w:r w:rsidRPr="00F614F9">
        <w:rPr>
          <w:rFonts w:ascii="Times New Roman" w:hAnsi="Times New Roman" w:cs="Times New Roman" w:hint="eastAsia"/>
          <w:sz w:val="18"/>
          <w:szCs w:val="18"/>
        </w:rPr>
        <w:t>（</w:t>
      </w:r>
      <w:r w:rsidRPr="00F614F9">
        <w:rPr>
          <w:rFonts w:ascii="Times New Roman" w:hAnsi="Times New Roman" w:cs="Times New Roman" w:hint="eastAsia"/>
          <w:sz w:val="18"/>
          <w:szCs w:val="18"/>
        </w:rPr>
        <w:t>1</w:t>
      </w:r>
      <w:r w:rsidRPr="00F614F9">
        <w:rPr>
          <w:rFonts w:ascii="Times New Roman" w:hAnsi="Times New Roman" w:cs="Times New Roman" w:hint="eastAsia"/>
          <w:sz w:val="18"/>
          <w:szCs w:val="18"/>
        </w:rPr>
        <w:t>）自提货现销</w:t>
      </w:r>
    </w:p>
    <w:p w14:paraId="1947D202" w14:textId="77777777" w:rsidR="00872599" w:rsidRPr="00F614F9" w:rsidRDefault="00000000" w:rsidP="007C0164">
      <w:pPr>
        <w:pStyle w:val="a3"/>
        <w:spacing w:before="0" w:beforeAutospacing="0" w:after="0" w:afterAutospacing="0" w:line="276" w:lineRule="auto"/>
        <w:ind w:firstLine="360"/>
        <w:divId w:val="1399280558"/>
        <w:rPr>
          <w:rFonts w:ascii="Times New Roman" w:hAnsi="Times New Roman" w:cs="Times New Roman"/>
          <w:sz w:val="21"/>
          <w:szCs w:val="21"/>
        </w:rPr>
      </w:pPr>
      <w:r w:rsidRPr="00F614F9">
        <w:rPr>
          <w:rFonts w:ascii="Times New Roman" w:hAnsi="Times New Roman" w:cs="Times New Roman" w:hint="eastAsia"/>
          <w:sz w:val="18"/>
          <w:szCs w:val="18"/>
        </w:rPr>
        <w:t>自提货现</w:t>
      </w:r>
      <w:proofErr w:type="gramStart"/>
      <w:r w:rsidRPr="00F614F9">
        <w:rPr>
          <w:rFonts w:ascii="Times New Roman" w:hAnsi="Times New Roman" w:cs="Times New Roman" w:hint="eastAsia"/>
          <w:sz w:val="18"/>
          <w:szCs w:val="18"/>
        </w:rPr>
        <w:t>销模式</w:t>
      </w:r>
      <w:proofErr w:type="gramEnd"/>
      <w:r w:rsidRPr="00F614F9">
        <w:rPr>
          <w:rFonts w:ascii="Times New Roman" w:hAnsi="Times New Roman" w:cs="Times New Roman" w:hint="eastAsia"/>
          <w:sz w:val="18"/>
          <w:szCs w:val="18"/>
        </w:rPr>
        <w:t>下，客户自行取货，现款提货。公司于收款发货后商品的控制权转移，确认销售收入，结算方式为现款现货结算或预收款结算。</w:t>
      </w:r>
    </w:p>
    <w:p w14:paraId="73504DF2" w14:textId="77777777" w:rsidR="00872599" w:rsidRPr="00F614F9" w:rsidRDefault="00000000" w:rsidP="007C0164">
      <w:pPr>
        <w:pStyle w:val="a3"/>
        <w:spacing w:before="0" w:beforeAutospacing="0" w:after="0" w:afterAutospacing="0" w:line="276" w:lineRule="auto"/>
        <w:ind w:firstLine="360"/>
        <w:divId w:val="1399280558"/>
        <w:rPr>
          <w:rFonts w:ascii="Times New Roman" w:hAnsi="Times New Roman" w:cs="Times New Roman"/>
          <w:sz w:val="21"/>
          <w:szCs w:val="21"/>
        </w:rPr>
      </w:pPr>
      <w:r w:rsidRPr="00F614F9">
        <w:rPr>
          <w:rFonts w:ascii="Times New Roman" w:hAnsi="Times New Roman" w:cs="Times New Roman" w:hint="eastAsia"/>
          <w:sz w:val="18"/>
          <w:szCs w:val="18"/>
        </w:rPr>
        <w:t>（</w:t>
      </w:r>
      <w:r w:rsidRPr="00F614F9">
        <w:rPr>
          <w:rFonts w:ascii="Times New Roman" w:hAnsi="Times New Roman" w:cs="Times New Roman" w:hint="eastAsia"/>
          <w:sz w:val="18"/>
          <w:szCs w:val="18"/>
        </w:rPr>
        <w:t>2</w:t>
      </w:r>
      <w:r w:rsidRPr="00F614F9">
        <w:rPr>
          <w:rFonts w:ascii="Times New Roman" w:hAnsi="Times New Roman" w:cs="Times New Roman" w:hint="eastAsia"/>
          <w:sz w:val="18"/>
          <w:szCs w:val="18"/>
        </w:rPr>
        <w:t>）加盟店销售</w:t>
      </w:r>
    </w:p>
    <w:p w14:paraId="6ACB3818" w14:textId="77777777" w:rsidR="00872599" w:rsidRPr="00F614F9" w:rsidRDefault="00000000" w:rsidP="007C0164">
      <w:pPr>
        <w:pStyle w:val="a3"/>
        <w:spacing w:before="0" w:beforeAutospacing="0" w:after="0" w:afterAutospacing="0" w:line="276" w:lineRule="auto"/>
        <w:ind w:firstLine="360"/>
        <w:divId w:val="1399280558"/>
        <w:rPr>
          <w:rFonts w:ascii="Times New Roman" w:hAnsi="Times New Roman" w:cs="Times New Roman"/>
          <w:sz w:val="21"/>
          <w:szCs w:val="21"/>
        </w:rPr>
      </w:pPr>
      <w:r w:rsidRPr="00F614F9">
        <w:rPr>
          <w:rFonts w:ascii="Times New Roman" w:hAnsi="Times New Roman" w:cs="Times New Roman" w:hint="eastAsia"/>
          <w:sz w:val="18"/>
          <w:szCs w:val="18"/>
        </w:rPr>
        <w:t>加盟店销售模式下，公司根据区域加盟经销商的订单备货，至少提前一天全额预收货款，货物到达并</w:t>
      </w:r>
      <w:proofErr w:type="gramStart"/>
      <w:r w:rsidRPr="00F614F9">
        <w:rPr>
          <w:rFonts w:ascii="Times New Roman" w:hAnsi="Times New Roman" w:cs="Times New Roman" w:hint="eastAsia"/>
          <w:sz w:val="18"/>
          <w:szCs w:val="18"/>
        </w:rPr>
        <w:t>经区域</w:t>
      </w:r>
      <w:proofErr w:type="gramEnd"/>
      <w:r w:rsidRPr="00F614F9">
        <w:rPr>
          <w:rFonts w:ascii="Times New Roman" w:hAnsi="Times New Roman" w:cs="Times New Roman" w:hint="eastAsia"/>
          <w:sz w:val="18"/>
          <w:szCs w:val="18"/>
        </w:rPr>
        <w:t>加盟经销商验收后，商品的控制权已发生转移，公司根据当日出库金额全额确认销售收入。</w:t>
      </w:r>
    </w:p>
    <w:p w14:paraId="1133E23D" w14:textId="77777777" w:rsidR="00872599" w:rsidRPr="00F614F9" w:rsidRDefault="00000000" w:rsidP="007C0164">
      <w:pPr>
        <w:pStyle w:val="a3"/>
        <w:spacing w:before="0" w:beforeAutospacing="0" w:after="0" w:afterAutospacing="0" w:line="276" w:lineRule="auto"/>
        <w:ind w:firstLine="360"/>
        <w:divId w:val="1399280558"/>
        <w:rPr>
          <w:rFonts w:ascii="Times New Roman" w:hAnsi="Times New Roman" w:cs="Times New Roman"/>
          <w:sz w:val="21"/>
          <w:szCs w:val="21"/>
        </w:rPr>
      </w:pPr>
      <w:r w:rsidRPr="00F614F9">
        <w:rPr>
          <w:rFonts w:ascii="Times New Roman" w:hAnsi="Times New Roman" w:cs="Times New Roman" w:hint="eastAsia"/>
          <w:sz w:val="18"/>
          <w:szCs w:val="18"/>
        </w:rPr>
        <w:t>（</w:t>
      </w:r>
      <w:r w:rsidRPr="00F614F9">
        <w:rPr>
          <w:rFonts w:ascii="Times New Roman" w:hAnsi="Times New Roman" w:cs="Times New Roman" w:hint="eastAsia"/>
          <w:sz w:val="18"/>
          <w:szCs w:val="18"/>
        </w:rPr>
        <w:t>3</w:t>
      </w:r>
      <w:r w:rsidRPr="00F614F9">
        <w:rPr>
          <w:rFonts w:ascii="Times New Roman" w:hAnsi="Times New Roman" w:cs="Times New Roman" w:hint="eastAsia"/>
          <w:sz w:val="18"/>
          <w:szCs w:val="18"/>
        </w:rPr>
        <w:t>）批发商销售</w:t>
      </w:r>
    </w:p>
    <w:p w14:paraId="0E7AF8D5" w14:textId="77777777" w:rsidR="00872599" w:rsidRPr="00F614F9" w:rsidRDefault="00000000" w:rsidP="007C0164">
      <w:pPr>
        <w:pStyle w:val="a3"/>
        <w:spacing w:before="0" w:beforeAutospacing="0" w:after="0" w:afterAutospacing="0" w:line="276" w:lineRule="auto"/>
        <w:ind w:firstLine="360"/>
        <w:divId w:val="1399280558"/>
        <w:rPr>
          <w:rFonts w:ascii="Times New Roman" w:hAnsi="Times New Roman" w:cs="Times New Roman"/>
          <w:sz w:val="21"/>
          <w:szCs w:val="21"/>
        </w:rPr>
      </w:pPr>
      <w:r w:rsidRPr="00F614F9">
        <w:rPr>
          <w:rFonts w:ascii="Times New Roman" w:hAnsi="Times New Roman" w:cs="Times New Roman" w:hint="eastAsia"/>
          <w:sz w:val="18"/>
          <w:szCs w:val="18"/>
        </w:rPr>
        <w:t>批发商销售模式下，公司与批发商签订合同，公司销售部收集并汇总各批发商的订单，然后向车间下达备货指令进行备货，批发商一般在发货前一天全额预付货款。由公司冷藏车送到批发商指定地点，批发商收货并签字确认后，商品的控制权已发生转移，公司确认销售收入。</w:t>
      </w:r>
    </w:p>
    <w:p w14:paraId="1EA8BF79" w14:textId="77777777" w:rsidR="00872599" w:rsidRPr="00F614F9" w:rsidRDefault="00000000" w:rsidP="007C0164">
      <w:pPr>
        <w:pStyle w:val="a3"/>
        <w:spacing w:before="0" w:beforeAutospacing="0" w:after="0" w:afterAutospacing="0" w:line="276" w:lineRule="auto"/>
        <w:ind w:firstLine="360"/>
        <w:divId w:val="1399280558"/>
        <w:rPr>
          <w:rFonts w:ascii="Times New Roman" w:hAnsi="Times New Roman" w:cs="Times New Roman"/>
          <w:sz w:val="21"/>
          <w:szCs w:val="21"/>
        </w:rPr>
      </w:pPr>
      <w:r w:rsidRPr="00F614F9">
        <w:rPr>
          <w:rFonts w:ascii="Times New Roman" w:hAnsi="Times New Roman" w:cs="Times New Roman" w:hint="eastAsia"/>
          <w:sz w:val="18"/>
          <w:szCs w:val="18"/>
        </w:rPr>
        <w:t>该销售模式的结算方式一般为全额预收款结算。在销售</w:t>
      </w:r>
      <w:proofErr w:type="gramStart"/>
      <w:r w:rsidRPr="00F614F9">
        <w:rPr>
          <w:rFonts w:ascii="Times New Roman" w:hAnsi="Times New Roman" w:cs="Times New Roman" w:hint="eastAsia"/>
          <w:sz w:val="18"/>
          <w:szCs w:val="18"/>
        </w:rPr>
        <w:t>旺季或</w:t>
      </w:r>
      <w:proofErr w:type="gramEnd"/>
      <w:r w:rsidRPr="00F614F9">
        <w:rPr>
          <w:rFonts w:ascii="Times New Roman" w:hAnsi="Times New Roman" w:cs="Times New Roman" w:hint="eastAsia"/>
          <w:sz w:val="18"/>
          <w:szCs w:val="18"/>
        </w:rPr>
        <w:t>当个别销售量大的批发商遇到流动资金困难时，公司允许批发商本人按时间段提交个人赊销申请，根据审批权限经公司领导批准在规定时间和规定金额内予以赊销。</w:t>
      </w:r>
    </w:p>
    <w:p w14:paraId="4AC6525C" w14:textId="77777777" w:rsidR="00872599" w:rsidRPr="00F614F9" w:rsidRDefault="00000000" w:rsidP="007C0164">
      <w:pPr>
        <w:pStyle w:val="a3"/>
        <w:spacing w:before="0" w:beforeAutospacing="0" w:after="0" w:afterAutospacing="0" w:line="276" w:lineRule="auto"/>
        <w:ind w:firstLine="360"/>
        <w:divId w:val="1399280558"/>
        <w:rPr>
          <w:rFonts w:ascii="Times New Roman" w:hAnsi="Times New Roman" w:cs="Times New Roman"/>
          <w:sz w:val="21"/>
          <w:szCs w:val="21"/>
        </w:rPr>
      </w:pPr>
      <w:r w:rsidRPr="00F614F9">
        <w:rPr>
          <w:rFonts w:ascii="Times New Roman" w:hAnsi="Times New Roman" w:cs="Times New Roman" w:hint="eastAsia"/>
          <w:sz w:val="18"/>
          <w:szCs w:val="18"/>
        </w:rPr>
        <w:t>（</w:t>
      </w:r>
      <w:r w:rsidRPr="00F614F9">
        <w:rPr>
          <w:rFonts w:ascii="Times New Roman" w:hAnsi="Times New Roman" w:cs="Times New Roman" w:hint="eastAsia"/>
          <w:sz w:val="18"/>
          <w:szCs w:val="18"/>
        </w:rPr>
        <w:t>4</w:t>
      </w:r>
      <w:r w:rsidRPr="00F614F9">
        <w:rPr>
          <w:rFonts w:ascii="Times New Roman" w:hAnsi="Times New Roman" w:cs="Times New Roman" w:hint="eastAsia"/>
          <w:sz w:val="18"/>
          <w:szCs w:val="18"/>
        </w:rPr>
        <w:t>）商场超市销售</w:t>
      </w:r>
    </w:p>
    <w:p w14:paraId="35525F40" w14:textId="77777777" w:rsidR="00872599" w:rsidRPr="00F614F9" w:rsidRDefault="00000000" w:rsidP="007C0164">
      <w:pPr>
        <w:pStyle w:val="a3"/>
        <w:spacing w:before="0" w:beforeAutospacing="0" w:after="0" w:afterAutospacing="0" w:line="276" w:lineRule="auto"/>
        <w:ind w:firstLine="360"/>
        <w:divId w:val="1399280558"/>
        <w:rPr>
          <w:rFonts w:ascii="Times New Roman" w:hAnsi="Times New Roman" w:cs="Times New Roman"/>
          <w:sz w:val="21"/>
          <w:szCs w:val="21"/>
        </w:rPr>
      </w:pPr>
      <w:r w:rsidRPr="00F614F9">
        <w:rPr>
          <w:rFonts w:ascii="Times New Roman" w:hAnsi="Times New Roman" w:cs="Times New Roman" w:hint="eastAsia"/>
          <w:sz w:val="18"/>
          <w:szCs w:val="18"/>
        </w:rPr>
        <w:t>商场超市模式下，公司直接与商超签订销售合同。公司根据订单向商超发货，在对方收货并签字确认后，商品的控制权已发生转移，公司确认销售收入，按</w:t>
      </w:r>
      <w:proofErr w:type="gramStart"/>
      <w:r w:rsidRPr="00F614F9">
        <w:rPr>
          <w:rFonts w:ascii="Times New Roman" w:hAnsi="Times New Roman" w:cs="Times New Roman" w:hint="eastAsia"/>
          <w:sz w:val="18"/>
          <w:szCs w:val="18"/>
        </w:rPr>
        <w:t>合同账期定期</w:t>
      </w:r>
      <w:proofErr w:type="gramEnd"/>
      <w:r w:rsidRPr="00F614F9">
        <w:rPr>
          <w:rFonts w:ascii="Times New Roman" w:hAnsi="Times New Roman" w:cs="Times New Roman" w:hint="eastAsia"/>
          <w:sz w:val="18"/>
          <w:szCs w:val="18"/>
        </w:rPr>
        <w:t>与商超结算。该销售模式的结算方式为按</w:t>
      </w:r>
      <w:proofErr w:type="gramStart"/>
      <w:r w:rsidRPr="00F614F9">
        <w:rPr>
          <w:rFonts w:ascii="Times New Roman" w:hAnsi="Times New Roman" w:cs="Times New Roman" w:hint="eastAsia"/>
          <w:sz w:val="18"/>
          <w:szCs w:val="18"/>
        </w:rPr>
        <w:t>合同账期定期</w:t>
      </w:r>
      <w:proofErr w:type="gramEnd"/>
      <w:r w:rsidRPr="00F614F9">
        <w:rPr>
          <w:rFonts w:ascii="Times New Roman" w:hAnsi="Times New Roman" w:cs="Times New Roman" w:hint="eastAsia"/>
          <w:sz w:val="18"/>
          <w:szCs w:val="18"/>
        </w:rPr>
        <w:t>结算。</w:t>
      </w:r>
    </w:p>
    <w:p w14:paraId="341CED32" w14:textId="77777777" w:rsidR="00872599" w:rsidRPr="00F614F9" w:rsidRDefault="00000000" w:rsidP="007C0164">
      <w:pPr>
        <w:pStyle w:val="a3"/>
        <w:spacing w:before="0" w:beforeAutospacing="0" w:after="0" w:afterAutospacing="0" w:line="276" w:lineRule="auto"/>
        <w:ind w:firstLine="360"/>
        <w:divId w:val="1399280558"/>
        <w:rPr>
          <w:rFonts w:ascii="Times New Roman" w:hAnsi="Times New Roman" w:cs="Times New Roman"/>
          <w:sz w:val="21"/>
          <w:szCs w:val="21"/>
        </w:rPr>
      </w:pPr>
      <w:r w:rsidRPr="00F614F9">
        <w:rPr>
          <w:rFonts w:ascii="Times New Roman" w:hAnsi="Times New Roman" w:cs="Times New Roman" w:hint="eastAsia"/>
          <w:sz w:val="18"/>
          <w:szCs w:val="18"/>
        </w:rPr>
        <w:t>（</w:t>
      </w:r>
      <w:r w:rsidRPr="00F614F9">
        <w:rPr>
          <w:rFonts w:ascii="Times New Roman" w:hAnsi="Times New Roman" w:cs="Times New Roman" w:hint="eastAsia"/>
          <w:sz w:val="18"/>
          <w:szCs w:val="18"/>
        </w:rPr>
        <w:t>5</w:t>
      </w:r>
      <w:r w:rsidRPr="00F614F9">
        <w:rPr>
          <w:rFonts w:ascii="Times New Roman" w:hAnsi="Times New Roman" w:cs="Times New Roman" w:hint="eastAsia"/>
          <w:sz w:val="18"/>
          <w:szCs w:val="18"/>
        </w:rPr>
        <w:t>）食品加工企业</w:t>
      </w:r>
    </w:p>
    <w:p w14:paraId="54C473ED" w14:textId="77777777" w:rsidR="00872599" w:rsidRPr="00F614F9" w:rsidRDefault="00000000" w:rsidP="007C0164">
      <w:pPr>
        <w:pStyle w:val="a3"/>
        <w:spacing w:before="0" w:beforeAutospacing="0" w:after="0" w:afterAutospacing="0" w:line="276" w:lineRule="auto"/>
        <w:ind w:firstLine="360"/>
        <w:divId w:val="1399280558"/>
        <w:rPr>
          <w:rFonts w:ascii="Times New Roman" w:hAnsi="Times New Roman" w:cs="Times New Roman"/>
          <w:sz w:val="21"/>
          <w:szCs w:val="21"/>
        </w:rPr>
      </w:pPr>
      <w:r w:rsidRPr="00F614F9">
        <w:rPr>
          <w:rFonts w:ascii="Times New Roman" w:hAnsi="Times New Roman" w:cs="Times New Roman" w:hint="eastAsia"/>
          <w:sz w:val="18"/>
          <w:szCs w:val="18"/>
        </w:rPr>
        <w:t>对信誉较好的食品加工企业，根据客户订单发货，在发货并取得对方的收货确认后，商品的控制权已发生转移，确认销售收入，按合同</w:t>
      </w:r>
      <w:proofErr w:type="gramStart"/>
      <w:r w:rsidRPr="00F614F9">
        <w:rPr>
          <w:rFonts w:ascii="Times New Roman" w:hAnsi="Times New Roman" w:cs="Times New Roman" w:hint="eastAsia"/>
          <w:sz w:val="18"/>
          <w:szCs w:val="18"/>
        </w:rPr>
        <w:t>账期收款</w:t>
      </w:r>
      <w:proofErr w:type="gramEnd"/>
      <w:r w:rsidRPr="00F614F9">
        <w:rPr>
          <w:rFonts w:ascii="Times New Roman" w:hAnsi="Times New Roman" w:cs="Times New Roman" w:hint="eastAsia"/>
          <w:sz w:val="18"/>
          <w:szCs w:val="18"/>
        </w:rPr>
        <w:t>，结算方式为按合同</w:t>
      </w:r>
      <w:proofErr w:type="gramStart"/>
      <w:r w:rsidRPr="00F614F9">
        <w:rPr>
          <w:rFonts w:ascii="Times New Roman" w:hAnsi="Times New Roman" w:cs="Times New Roman" w:hint="eastAsia"/>
          <w:sz w:val="18"/>
          <w:szCs w:val="18"/>
        </w:rPr>
        <w:t>约定账期结算</w:t>
      </w:r>
      <w:proofErr w:type="gramEnd"/>
      <w:r w:rsidRPr="00F614F9">
        <w:rPr>
          <w:rFonts w:ascii="Times New Roman" w:hAnsi="Times New Roman" w:cs="Times New Roman" w:hint="eastAsia"/>
          <w:sz w:val="18"/>
          <w:szCs w:val="18"/>
        </w:rPr>
        <w:t>。对信誉一般的食品加工企业结算方式为现款现货或预收货款结算。</w:t>
      </w:r>
    </w:p>
    <w:p w14:paraId="0FA01FFF" w14:textId="77777777" w:rsidR="001D26E7" w:rsidRPr="00F614F9" w:rsidRDefault="00000000" w:rsidP="007C0164">
      <w:pPr>
        <w:spacing w:before="100" w:after="100" w:line="276" w:lineRule="auto"/>
        <w:rPr>
          <w:rFonts w:ascii="Times New Roman" w:eastAsia="宋体" w:hAnsi="Times New Roman" w:cs="宋体"/>
          <w:sz w:val="18"/>
          <w:szCs w:val="18"/>
        </w:rPr>
      </w:pPr>
      <w:r w:rsidRPr="00F614F9">
        <w:rPr>
          <w:rFonts w:ascii="Times New Roman" w:eastAsia="宋体" w:hAnsi="Times New Roman" w:cs="宋体"/>
          <w:sz w:val="18"/>
          <w:szCs w:val="18"/>
        </w:rPr>
        <w:t>同类业务采用不同经营模式涉及不同收入确认方式及计量方法的情况</w:t>
      </w:r>
    </w:p>
    <w:p w14:paraId="0CF82566" w14:textId="77777777" w:rsidR="00872599" w:rsidRPr="00F614F9" w:rsidRDefault="00000000" w:rsidP="007C0164">
      <w:pPr>
        <w:pStyle w:val="a3"/>
        <w:spacing w:line="276" w:lineRule="auto"/>
        <w:divId w:val="292946145"/>
        <w:rPr>
          <w:rFonts w:ascii="Times New Roman" w:hAnsi="Times New Roman"/>
          <w:sz w:val="18"/>
          <w:szCs w:val="18"/>
        </w:rPr>
      </w:pPr>
      <w:r w:rsidRPr="00F614F9">
        <w:rPr>
          <w:rFonts w:ascii="Times New Roman" w:hAnsi="Times New Roman" w:hint="eastAsia"/>
          <w:sz w:val="18"/>
          <w:szCs w:val="18"/>
        </w:rPr>
        <w:t>无</w:t>
      </w:r>
    </w:p>
    <w:p w14:paraId="26BF7088" w14:textId="77777777" w:rsidR="001D26E7" w:rsidRPr="00F614F9" w:rsidRDefault="00000000">
      <w:pPr>
        <w:pStyle w:val="3"/>
        <w:spacing w:line="280" w:lineRule="exact"/>
        <w:jc w:val="left"/>
        <w:rPr>
          <w:rFonts w:ascii="Times New Roman" w:hAnsi="Times New Roman" w:cs="宋体"/>
          <w:b/>
          <w:bCs/>
        </w:rPr>
      </w:pPr>
      <w:bookmarkStart w:id="297" w:name="_Toc989112"/>
      <w:r w:rsidRPr="00F614F9">
        <w:rPr>
          <w:rFonts w:ascii="Times New Roman" w:hAnsi="Times New Roman" w:cs="宋体"/>
          <w:b/>
          <w:bCs/>
        </w:rPr>
        <w:t>38</w:t>
      </w:r>
      <w:r w:rsidRPr="00F614F9">
        <w:rPr>
          <w:rFonts w:ascii="Times New Roman" w:hAnsi="Times New Roman" w:cs="宋体"/>
          <w:b/>
          <w:bCs/>
        </w:rPr>
        <w:t>、合同成本</w:t>
      </w:r>
      <w:bookmarkEnd w:id="297"/>
    </w:p>
    <w:p w14:paraId="194CC6E8"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本集团为取得合同发生的增量成本预期能够收回的，作为合同取得成本确认为一项资产。但是，如果该资产的摊销期限不超过一年，则在发生时计入当期损益。</w:t>
      </w:r>
    </w:p>
    <w:p w14:paraId="31778048"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为履行合同发生的成本不属于《企业会计准则第</w:t>
      </w:r>
      <w:r w:rsidRPr="00F614F9">
        <w:rPr>
          <w:rFonts w:ascii="Times New Roman" w:eastAsia="宋体" w:hAnsi="Times New Roman" w:hint="eastAsia"/>
          <w:sz w:val="18"/>
          <w:szCs w:val="20"/>
        </w:rPr>
        <w:t>14</w:t>
      </w:r>
      <w:r w:rsidRPr="00F614F9">
        <w:rPr>
          <w:rFonts w:ascii="Times New Roman" w:eastAsia="宋体" w:hAnsi="Times New Roman" w:hint="eastAsia"/>
          <w:sz w:val="18"/>
          <w:szCs w:val="20"/>
        </w:rPr>
        <w:t>号——收入（</w:t>
      </w:r>
      <w:r w:rsidRPr="00F614F9">
        <w:rPr>
          <w:rFonts w:ascii="Times New Roman" w:eastAsia="宋体" w:hAnsi="Times New Roman" w:hint="eastAsia"/>
          <w:sz w:val="18"/>
          <w:szCs w:val="20"/>
        </w:rPr>
        <w:t>2017</w:t>
      </w:r>
      <w:r w:rsidRPr="00F614F9">
        <w:rPr>
          <w:rFonts w:ascii="Times New Roman" w:eastAsia="宋体" w:hAnsi="Times New Roman" w:hint="eastAsia"/>
          <w:sz w:val="18"/>
          <w:szCs w:val="20"/>
        </w:rPr>
        <w:t>年修订）》之外的其他企业会计准则规范范围且同时满足下列条件的，作为合同履约成本确认为一项资产：①</w:t>
      </w:r>
      <w:proofErr w:type="gramStart"/>
      <w:r w:rsidRPr="00F614F9">
        <w:rPr>
          <w:rFonts w:ascii="Times New Roman" w:eastAsia="宋体" w:hAnsi="Times New Roman" w:hint="eastAsia"/>
          <w:sz w:val="18"/>
          <w:szCs w:val="20"/>
        </w:rPr>
        <w:t>该成本</w:t>
      </w:r>
      <w:proofErr w:type="gramEnd"/>
      <w:r w:rsidRPr="00F614F9">
        <w:rPr>
          <w:rFonts w:ascii="Times New Roman" w:eastAsia="宋体" w:hAnsi="Times New Roman" w:hint="eastAsia"/>
          <w:sz w:val="18"/>
          <w:szCs w:val="20"/>
        </w:rPr>
        <w:t>与一份当前或预期取得的合同直接相关，包括直接人工、直接材料、制造费用（或类似费用）、明确由客户承担的成本以及仅因该合同而发生的其他成本；②</w:t>
      </w:r>
      <w:proofErr w:type="gramStart"/>
      <w:r w:rsidRPr="00F614F9">
        <w:rPr>
          <w:rFonts w:ascii="Times New Roman" w:eastAsia="宋体" w:hAnsi="Times New Roman" w:hint="eastAsia"/>
          <w:sz w:val="18"/>
          <w:szCs w:val="20"/>
        </w:rPr>
        <w:t>该成本</w:t>
      </w:r>
      <w:proofErr w:type="gramEnd"/>
      <w:r w:rsidRPr="00F614F9">
        <w:rPr>
          <w:rFonts w:ascii="Times New Roman" w:eastAsia="宋体" w:hAnsi="Times New Roman" w:hint="eastAsia"/>
          <w:sz w:val="18"/>
          <w:szCs w:val="20"/>
        </w:rPr>
        <w:t>增加了本集团未来用于履行履约义务的资源；③</w:t>
      </w:r>
      <w:proofErr w:type="gramStart"/>
      <w:r w:rsidRPr="00F614F9">
        <w:rPr>
          <w:rFonts w:ascii="Times New Roman" w:eastAsia="宋体" w:hAnsi="Times New Roman" w:hint="eastAsia"/>
          <w:sz w:val="18"/>
          <w:szCs w:val="20"/>
        </w:rPr>
        <w:t>该成本</w:t>
      </w:r>
      <w:proofErr w:type="gramEnd"/>
      <w:r w:rsidRPr="00F614F9">
        <w:rPr>
          <w:rFonts w:ascii="Times New Roman" w:eastAsia="宋体" w:hAnsi="Times New Roman" w:hint="eastAsia"/>
          <w:sz w:val="18"/>
          <w:szCs w:val="20"/>
        </w:rPr>
        <w:t>预期能够收回。</w:t>
      </w:r>
    </w:p>
    <w:p w14:paraId="5081275E"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与合同成本有关的资产采用与该资产相关的商品收入确认相同的基础进行摊销，计入当期损益。</w:t>
      </w:r>
    </w:p>
    <w:p w14:paraId="05D0197E" w14:textId="77777777" w:rsidR="001D26E7" w:rsidRPr="00F614F9" w:rsidRDefault="00000000">
      <w:pPr>
        <w:pStyle w:val="3"/>
        <w:spacing w:line="280" w:lineRule="exact"/>
        <w:jc w:val="left"/>
        <w:rPr>
          <w:rFonts w:ascii="Times New Roman" w:hAnsi="Times New Roman" w:cs="宋体"/>
          <w:b/>
          <w:bCs/>
        </w:rPr>
      </w:pPr>
      <w:bookmarkStart w:id="298" w:name="_Toc989113"/>
      <w:r w:rsidRPr="00F614F9">
        <w:rPr>
          <w:rFonts w:ascii="Times New Roman" w:hAnsi="Times New Roman" w:cs="宋体"/>
          <w:b/>
          <w:bCs/>
        </w:rPr>
        <w:lastRenderedPageBreak/>
        <w:t>39</w:t>
      </w:r>
      <w:r w:rsidRPr="00F614F9">
        <w:rPr>
          <w:rFonts w:ascii="Times New Roman" w:hAnsi="Times New Roman" w:cs="宋体"/>
          <w:b/>
          <w:bCs/>
        </w:rPr>
        <w:t>、政府补助</w:t>
      </w:r>
      <w:bookmarkEnd w:id="298"/>
    </w:p>
    <w:p w14:paraId="1B6EB02C" w14:textId="77777777" w:rsidR="00872599" w:rsidRPr="00F614F9" w:rsidRDefault="00000000" w:rsidP="007C0164">
      <w:pPr>
        <w:pStyle w:val="a3"/>
        <w:spacing w:before="0" w:beforeAutospacing="0" w:after="0" w:afterAutospacing="0" w:line="276" w:lineRule="auto"/>
        <w:ind w:firstLine="360"/>
        <w:divId w:val="688484486"/>
        <w:rPr>
          <w:rFonts w:ascii="Times New Roman" w:hAnsi="Times New Roman" w:cs="Times New Roman"/>
          <w:sz w:val="21"/>
          <w:szCs w:val="21"/>
        </w:rPr>
      </w:pPr>
      <w:r w:rsidRPr="00F614F9">
        <w:rPr>
          <w:rFonts w:ascii="Times New Roman" w:hAnsi="Times New Roman" w:cs="Times New Roman" w:hint="eastAsia"/>
          <w:sz w:val="18"/>
          <w:szCs w:val="18"/>
        </w:rPr>
        <w:t>政府补助是指本集团从政府无偿取得货币性资产和非货币性资产，不包括政府以投资者身份并享有相应所有者权益而投入的资本。政府补助分为与资产相关的政府补助和与收益相关的政府补助。本集团将所取得的用于购建或以其他方式形成长期资产的政府补助界定为与资产相关的政府补助；</w:t>
      </w:r>
      <w:proofErr w:type="gramStart"/>
      <w:r w:rsidRPr="00F614F9">
        <w:rPr>
          <w:rFonts w:ascii="Times New Roman" w:hAnsi="Times New Roman" w:cs="Times New Roman" w:hint="eastAsia"/>
          <w:sz w:val="18"/>
          <w:szCs w:val="18"/>
        </w:rPr>
        <w:t>其余政府</w:t>
      </w:r>
      <w:proofErr w:type="gramEnd"/>
      <w:r w:rsidRPr="00F614F9">
        <w:rPr>
          <w:rFonts w:ascii="Times New Roman" w:hAnsi="Times New Roman" w:cs="Times New Roman" w:hint="eastAsia"/>
          <w:sz w:val="18"/>
          <w:szCs w:val="18"/>
        </w:rPr>
        <w:t>补助界定为与收益相关的政府补助。若政府文件未明确规定补助对象，则采用以下方式将补助款划分为与收益相关的政府补助和与资产相关的政府补助：（</w:t>
      </w:r>
      <w:r w:rsidRPr="00F614F9">
        <w:rPr>
          <w:rFonts w:ascii="Times New Roman" w:hAnsi="Times New Roman" w:cs="Times New Roman" w:hint="eastAsia"/>
          <w:sz w:val="18"/>
          <w:szCs w:val="18"/>
        </w:rPr>
        <w:t>1</w:t>
      </w:r>
      <w:r w:rsidRPr="00F614F9">
        <w:rPr>
          <w:rFonts w:ascii="Times New Roman" w:hAnsi="Times New Roman" w:cs="Times New Roman" w:hint="eastAsia"/>
          <w:sz w:val="18"/>
          <w:szCs w:val="18"/>
        </w:rPr>
        <w:t>）政府文件明确了补助所针对的特定项目的，根据该特定项目的预算中将形成资产的支出金额和计入费用的支出金额的相对比例进行划分，对该划分比例需在每个资产负债表日进行复核，必要时进行变更；（</w:t>
      </w:r>
      <w:r w:rsidRPr="00F614F9">
        <w:rPr>
          <w:rFonts w:ascii="Times New Roman" w:hAnsi="Times New Roman" w:cs="Times New Roman" w:hint="eastAsia"/>
          <w:sz w:val="18"/>
          <w:szCs w:val="18"/>
        </w:rPr>
        <w:t>2</w:t>
      </w:r>
      <w:r w:rsidRPr="00F614F9">
        <w:rPr>
          <w:rFonts w:ascii="Times New Roman" w:hAnsi="Times New Roman" w:cs="Times New Roman" w:hint="eastAsia"/>
          <w:sz w:val="18"/>
          <w:szCs w:val="18"/>
        </w:rPr>
        <w:t>）政府文件中对用途仅作一般性表述，没有指明特定项目的，作为与收益相关的政府补助。政府补助为货币性资产的，按照收到或应收的金额计量。政府补助为非货币性资产的，按照公允价值计量；公允价值不能够可靠取得的，按照名义金额计量。按照名义金额计量的政府补助，直接计入当期损益。</w:t>
      </w:r>
    </w:p>
    <w:p w14:paraId="006940B6" w14:textId="77777777" w:rsidR="00872599" w:rsidRPr="00F614F9" w:rsidRDefault="00000000" w:rsidP="007C0164">
      <w:pPr>
        <w:pStyle w:val="a3"/>
        <w:spacing w:before="0" w:beforeAutospacing="0" w:after="0" w:afterAutospacing="0" w:line="276" w:lineRule="auto"/>
        <w:ind w:firstLine="360"/>
        <w:divId w:val="688484486"/>
        <w:rPr>
          <w:rFonts w:ascii="Times New Roman" w:hAnsi="Times New Roman" w:cs="Times New Roman"/>
          <w:sz w:val="21"/>
          <w:szCs w:val="21"/>
        </w:rPr>
      </w:pPr>
      <w:r w:rsidRPr="00F614F9">
        <w:rPr>
          <w:rFonts w:ascii="Times New Roman" w:hAnsi="Times New Roman" w:cs="Times New Roman" w:hint="eastAsia"/>
          <w:sz w:val="18"/>
          <w:szCs w:val="18"/>
        </w:rPr>
        <w:t>本集团对于政府补助通常在实际收到时，按照实</w:t>
      </w:r>
      <w:proofErr w:type="gramStart"/>
      <w:r w:rsidRPr="00F614F9">
        <w:rPr>
          <w:rFonts w:ascii="Times New Roman" w:hAnsi="Times New Roman" w:cs="Times New Roman" w:hint="eastAsia"/>
          <w:sz w:val="18"/>
          <w:szCs w:val="18"/>
        </w:rPr>
        <w:t>收金额</w:t>
      </w:r>
      <w:proofErr w:type="gramEnd"/>
      <w:r w:rsidRPr="00F614F9">
        <w:rPr>
          <w:rFonts w:ascii="Times New Roman" w:hAnsi="Times New Roman" w:cs="Times New Roman" w:hint="eastAsia"/>
          <w:sz w:val="18"/>
          <w:szCs w:val="18"/>
        </w:rPr>
        <w:t>予以确认和计量。但对于期末有确凿证据表明能够符合财政扶持政策规定的相关条件预计能够收到财政扶持资金，按照应收的金额计量。按照应收金额计量的政府补助应同时符合以下条件：（</w:t>
      </w:r>
      <w:r w:rsidRPr="00F614F9">
        <w:rPr>
          <w:rFonts w:ascii="Times New Roman" w:hAnsi="Times New Roman" w:cs="Times New Roman" w:hint="eastAsia"/>
          <w:sz w:val="18"/>
          <w:szCs w:val="18"/>
        </w:rPr>
        <w:t>1</w:t>
      </w:r>
      <w:r w:rsidRPr="00F614F9">
        <w:rPr>
          <w:rFonts w:ascii="Times New Roman" w:hAnsi="Times New Roman" w:cs="Times New Roman" w:hint="eastAsia"/>
          <w:sz w:val="18"/>
          <w:szCs w:val="18"/>
        </w:rPr>
        <w:t>）应收补助款的金额已经过有权政府部门发文确认，或者可根据正式发布的财政资金管理办法的有关规定自行合理测算，且预计其金额不存在重大不确定性；（</w:t>
      </w:r>
      <w:r w:rsidRPr="00F614F9">
        <w:rPr>
          <w:rFonts w:ascii="Times New Roman" w:hAnsi="Times New Roman" w:cs="Times New Roman" w:hint="eastAsia"/>
          <w:sz w:val="18"/>
          <w:szCs w:val="18"/>
        </w:rPr>
        <w:t>2</w:t>
      </w:r>
      <w:r w:rsidRPr="00F614F9">
        <w:rPr>
          <w:rFonts w:ascii="Times New Roman" w:hAnsi="Times New Roman" w:cs="Times New Roman" w:hint="eastAsia"/>
          <w:sz w:val="18"/>
          <w:szCs w:val="18"/>
        </w:rPr>
        <w:t>）所依据的是当地财政部门正式发布并按照《政府信息公开条例》的规定予以主动公开的财政扶持项目及其财政资金管理办法，且该管理办法应当是普惠性的（任何符合规定条件的企业均可申请），而不是专门针对特定企业制定的；（</w:t>
      </w:r>
      <w:r w:rsidRPr="00F614F9">
        <w:rPr>
          <w:rFonts w:ascii="Times New Roman" w:hAnsi="Times New Roman" w:cs="Times New Roman" w:hint="eastAsia"/>
          <w:sz w:val="18"/>
          <w:szCs w:val="18"/>
        </w:rPr>
        <w:t>3</w:t>
      </w:r>
      <w:r w:rsidRPr="00F614F9">
        <w:rPr>
          <w:rFonts w:ascii="Times New Roman" w:hAnsi="Times New Roman" w:cs="Times New Roman" w:hint="eastAsia"/>
          <w:sz w:val="18"/>
          <w:szCs w:val="18"/>
        </w:rPr>
        <w:t>）相关的补助款批文中已明确承诺了拨付期限，且该款项的拨付是有相应财政预算作为保障的，因而可以合理保证其可在规定期限内收到；（</w:t>
      </w:r>
      <w:r w:rsidRPr="00F614F9">
        <w:rPr>
          <w:rFonts w:ascii="Times New Roman" w:hAnsi="Times New Roman" w:cs="Times New Roman" w:hint="eastAsia"/>
          <w:sz w:val="18"/>
          <w:szCs w:val="18"/>
        </w:rPr>
        <w:t>4</w:t>
      </w:r>
      <w:r w:rsidRPr="00F614F9">
        <w:rPr>
          <w:rFonts w:ascii="Times New Roman" w:hAnsi="Times New Roman" w:cs="Times New Roman" w:hint="eastAsia"/>
          <w:sz w:val="18"/>
          <w:szCs w:val="18"/>
        </w:rPr>
        <w:t>）根据本集团和该补助事项的具体情况，应满足的其他相关条件（如有）。</w:t>
      </w:r>
    </w:p>
    <w:p w14:paraId="60E4267C" w14:textId="77777777" w:rsidR="00872599" w:rsidRPr="00F614F9" w:rsidRDefault="00000000" w:rsidP="007C0164">
      <w:pPr>
        <w:pStyle w:val="a3"/>
        <w:spacing w:before="0" w:beforeAutospacing="0" w:after="0" w:afterAutospacing="0" w:line="276" w:lineRule="auto"/>
        <w:ind w:firstLine="360"/>
        <w:divId w:val="688484486"/>
        <w:rPr>
          <w:rFonts w:ascii="Times New Roman" w:hAnsi="Times New Roman" w:cs="Times New Roman"/>
          <w:sz w:val="21"/>
          <w:szCs w:val="21"/>
        </w:rPr>
      </w:pPr>
      <w:r w:rsidRPr="00F614F9">
        <w:rPr>
          <w:rFonts w:ascii="Times New Roman" w:hAnsi="Times New Roman" w:cs="Times New Roman" w:hint="eastAsia"/>
          <w:sz w:val="18"/>
          <w:szCs w:val="18"/>
        </w:rPr>
        <w:t>与资产相关的政府补助，</w:t>
      </w:r>
      <w:proofErr w:type="gramStart"/>
      <w:r w:rsidRPr="00F614F9">
        <w:rPr>
          <w:rFonts w:ascii="Times New Roman" w:hAnsi="Times New Roman" w:cs="Times New Roman" w:hint="eastAsia"/>
          <w:sz w:val="18"/>
          <w:szCs w:val="18"/>
        </w:rPr>
        <w:t>确认为递延</w:t>
      </w:r>
      <w:proofErr w:type="gramEnd"/>
      <w:r w:rsidRPr="00F614F9">
        <w:rPr>
          <w:rFonts w:ascii="Times New Roman" w:hAnsi="Times New Roman" w:cs="Times New Roman" w:hint="eastAsia"/>
          <w:sz w:val="18"/>
          <w:szCs w:val="18"/>
        </w:rPr>
        <w:t>收益，并在相关资产的使用寿命内按照合理、系统的方法分期计入当期损益。与收益相关的政府补助，用于补偿以后期间的相关成本费用或损失的，</w:t>
      </w:r>
      <w:proofErr w:type="gramStart"/>
      <w:r w:rsidRPr="00F614F9">
        <w:rPr>
          <w:rFonts w:ascii="Times New Roman" w:hAnsi="Times New Roman" w:cs="Times New Roman" w:hint="eastAsia"/>
          <w:sz w:val="18"/>
          <w:szCs w:val="18"/>
        </w:rPr>
        <w:t>确认为递延</w:t>
      </w:r>
      <w:proofErr w:type="gramEnd"/>
      <w:r w:rsidRPr="00F614F9">
        <w:rPr>
          <w:rFonts w:ascii="Times New Roman" w:hAnsi="Times New Roman" w:cs="Times New Roman" w:hint="eastAsia"/>
          <w:sz w:val="18"/>
          <w:szCs w:val="18"/>
        </w:rPr>
        <w:t>收益，并在确认相关成本费用或损失的期间计入当期损益；用于补偿已经发生的相关成本费用或损失的，直接计入当期损益。</w:t>
      </w:r>
    </w:p>
    <w:p w14:paraId="2BA54EDF" w14:textId="77777777" w:rsidR="00872599" w:rsidRPr="00F614F9" w:rsidRDefault="00000000" w:rsidP="007C0164">
      <w:pPr>
        <w:pStyle w:val="a3"/>
        <w:spacing w:before="0" w:beforeAutospacing="0" w:after="0" w:afterAutospacing="0" w:line="276" w:lineRule="auto"/>
        <w:ind w:firstLine="360"/>
        <w:divId w:val="688484486"/>
        <w:rPr>
          <w:rFonts w:ascii="Times New Roman" w:hAnsi="Times New Roman" w:cs="Times New Roman"/>
          <w:sz w:val="21"/>
          <w:szCs w:val="21"/>
        </w:rPr>
      </w:pPr>
      <w:r w:rsidRPr="00F614F9">
        <w:rPr>
          <w:rFonts w:ascii="Times New Roman" w:hAnsi="Times New Roman" w:cs="Times New Roman" w:hint="eastAsia"/>
          <w:sz w:val="18"/>
          <w:szCs w:val="18"/>
        </w:rPr>
        <w:t>同时包含与资产相关部分和与收益相关部分的政府补助，区分不同部分分别进行会计处理；难以区分的，将其整体归类为与收益相关的政府补助。</w:t>
      </w:r>
    </w:p>
    <w:p w14:paraId="7FCF917B" w14:textId="77777777" w:rsidR="00872599" w:rsidRPr="00F614F9" w:rsidRDefault="00000000" w:rsidP="007C0164">
      <w:pPr>
        <w:pStyle w:val="a3"/>
        <w:spacing w:before="0" w:beforeAutospacing="0" w:after="0" w:afterAutospacing="0" w:line="276" w:lineRule="auto"/>
        <w:ind w:firstLine="360"/>
        <w:divId w:val="688484486"/>
        <w:rPr>
          <w:rFonts w:ascii="Times New Roman" w:hAnsi="Times New Roman" w:cs="Times New Roman"/>
          <w:sz w:val="21"/>
          <w:szCs w:val="21"/>
        </w:rPr>
      </w:pPr>
      <w:r w:rsidRPr="00F614F9">
        <w:rPr>
          <w:rFonts w:ascii="Times New Roman" w:hAnsi="Times New Roman" w:cs="Times New Roman" w:hint="eastAsia"/>
          <w:sz w:val="18"/>
          <w:szCs w:val="18"/>
        </w:rPr>
        <w:t>与本集团日常活动相关的政府补助，按照经济业务的实质，计入其他收益或冲减相关成本费用；与日常活动无关的政府补助，计入营业外收支。</w:t>
      </w:r>
    </w:p>
    <w:p w14:paraId="590D1F08" w14:textId="77777777" w:rsidR="00872599" w:rsidRPr="00F614F9" w:rsidRDefault="00000000" w:rsidP="007C0164">
      <w:pPr>
        <w:pStyle w:val="a3"/>
        <w:spacing w:before="0" w:beforeAutospacing="0" w:after="0" w:afterAutospacing="0" w:line="276" w:lineRule="auto"/>
        <w:ind w:firstLine="360"/>
        <w:divId w:val="688484486"/>
        <w:rPr>
          <w:rFonts w:ascii="Times New Roman" w:hAnsi="Times New Roman" w:cs="Times New Roman"/>
          <w:sz w:val="21"/>
          <w:szCs w:val="21"/>
        </w:rPr>
      </w:pPr>
      <w:r w:rsidRPr="00F614F9">
        <w:rPr>
          <w:rFonts w:ascii="Times New Roman" w:hAnsi="Times New Roman" w:cs="Times New Roman" w:hint="eastAsia"/>
          <w:sz w:val="18"/>
          <w:szCs w:val="18"/>
        </w:rPr>
        <w:t>已确认的政府补助需要退回时，存在相关递延收益余额的，冲减相关递延收益账面余额，超出部分计入当期损益；属于其他情况的，直接计入当期损益。</w:t>
      </w:r>
    </w:p>
    <w:p w14:paraId="676C5FC7" w14:textId="77777777" w:rsidR="001D26E7" w:rsidRPr="00F614F9" w:rsidRDefault="00000000">
      <w:pPr>
        <w:pStyle w:val="3"/>
        <w:spacing w:line="280" w:lineRule="exact"/>
        <w:jc w:val="left"/>
        <w:rPr>
          <w:rFonts w:ascii="Times New Roman" w:hAnsi="Times New Roman" w:cs="宋体"/>
          <w:b/>
          <w:bCs/>
        </w:rPr>
      </w:pPr>
      <w:bookmarkStart w:id="299" w:name="_Toc989114"/>
      <w:r w:rsidRPr="00F614F9">
        <w:rPr>
          <w:rFonts w:ascii="Times New Roman" w:hAnsi="Times New Roman" w:cs="宋体"/>
          <w:b/>
          <w:bCs/>
        </w:rPr>
        <w:t>40</w:t>
      </w:r>
      <w:r w:rsidRPr="00F614F9">
        <w:rPr>
          <w:rFonts w:ascii="Times New Roman" w:hAnsi="Times New Roman" w:cs="宋体"/>
          <w:b/>
          <w:bCs/>
        </w:rPr>
        <w:t>、递延所得税资产</w:t>
      </w:r>
      <w:r w:rsidRPr="00F614F9">
        <w:rPr>
          <w:rFonts w:ascii="Times New Roman" w:hAnsi="Times New Roman" w:cs="宋体"/>
          <w:b/>
          <w:bCs/>
        </w:rPr>
        <w:t>/</w:t>
      </w:r>
      <w:r w:rsidRPr="00F614F9">
        <w:rPr>
          <w:rFonts w:ascii="Times New Roman" w:hAnsi="Times New Roman" w:cs="宋体"/>
          <w:b/>
          <w:bCs/>
        </w:rPr>
        <w:t>递延所得税负债</w:t>
      </w:r>
      <w:bookmarkEnd w:id="299"/>
    </w:p>
    <w:p w14:paraId="43A34862"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当期所得税</w:t>
      </w:r>
    </w:p>
    <w:p w14:paraId="6A1CB170"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资产负债表日，对于当期和以前期间形成的当期所得税负债（或资产），以按照税法规定计算的预期应交纳（或返还）的所得税金额计量。计算当期所得税费用所依据的应纳税</w:t>
      </w:r>
      <w:proofErr w:type="gramStart"/>
      <w:r w:rsidRPr="00F614F9">
        <w:rPr>
          <w:rFonts w:ascii="Times New Roman" w:eastAsia="宋体" w:hAnsi="Times New Roman" w:hint="eastAsia"/>
          <w:sz w:val="18"/>
          <w:szCs w:val="20"/>
        </w:rPr>
        <w:t>所得额系根据</w:t>
      </w:r>
      <w:proofErr w:type="gramEnd"/>
      <w:r w:rsidRPr="00F614F9">
        <w:rPr>
          <w:rFonts w:ascii="Times New Roman" w:eastAsia="宋体" w:hAnsi="Times New Roman" w:hint="eastAsia"/>
          <w:sz w:val="18"/>
          <w:szCs w:val="20"/>
        </w:rPr>
        <w:t>有关税法规定对本报告期税前会计利润作相应调整后计算得出。</w:t>
      </w:r>
    </w:p>
    <w:p w14:paraId="69D00DB8"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递延所得税资产及递延所得税负债</w:t>
      </w:r>
    </w:p>
    <w:p w14:paraId="6DAB4B98"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递延所得税资产和递延所得税负债根据资产和负债的计税基础与其账面价值的差额</w:t>
      </w:r>
      <w:r w:rsidRPr="00F614F9">
        <w:rPr>
          <w:rFonts w:ascii="Times New Roman" w:eastAsia="宋体" w:hAnsi="Times New Roman" w:hint="eastAsia"/>
          <w:sz w:val="18"/>
          <w:szCs w:val="20"/>
        </w:rPr>
        <w:t>(</w:t>
      </w:r>
      <w:r w:rsidRPr="00F614F9">
        <w:rPr>
          <w:rFonts w:ascii="Times New Roman" w:eastAsia="宋体" w:hAnsi="Times New Roman" w:hint="eastAsia"/>
          <w:sz w:val="18"/>
          <w:szCs w:val="20"/>
        </w:rPr>
        <w:t>包括应纳税暂时性差异和可抵扣暂时性差异</w:t>
      </w:r>
      <w:r w:rsidRPr="00F614F9">
        <w:rPr>
          <w:rFonts w:ascii="Times New Roman" w:eastAsia="宋体" w:hAnsi="Times New Roman" w:hint="eastAsia"/>
          <w:sz w:val="18"/>
          <w:szCs w:val="20"/>
        </w:rPr>
        <w:t>)</w:t>
      </w:r>
      <w:r w:rsidRPr="00F614F9">
        <w:rPr>
          <w:rFonts w:ascii="Times New Roman" w:eastAsia="宋体" w:hAnsi="Times New Roman" w:hint="eastAsia"/>
          <w:sz w:val="18"/>
          <w:szCs w:val="20"/>
        </w:rPr>
        <w:t>计算确认。对于按照税法规定能够于以后年度抵减应纳税所得额的可抵扣亏损，视同可抵扣暂时性差异。对于商誉的初始确认产生的暂时性差异，不确认相应的递延所得税负债。</w:t>
      </w:r>
    </w:p>
    <w:p w14:paraId="5F7FFACE"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除单项交易（包括承租人在租赁期开始日初始确认租赁负债并计入使用权资产的租赁交易，以及因固定资产等存在弃</w:t>
      </w:r>
      <w:r w:rsidRPr="00F614F9">
        <w:rPr>
          <w:rFonts w:ascii="Times New Roman" w:eastAsia="宋体" w:hAnsi="Times New Roman" w:hint="eastAsia"/>
          <w:sz w:val="18"/>
          <w:szCs w:val="20"/>
        </w:rPr>
        <w:lastRenderedPageBreak/>
        <w:t>置义务而确认预计负债并计入相关资产成本的交易等）之外，对于</w:t>
      </w:r>
      <w:proofErr w:type="gramStart"/>
      <w:r w:rsidRPr="00F614F9">
        <w:rPr>
          <w:rFonts w:ascii="Times New Roman" w:eastAsia="宋体" w:hAnsi="Times New Roman" w:hint="eastAsia"/>
          <w:sz w:val="18"/>
          <w:szCs w:val="20"/>
        </w:rPr>
        <w:t>其他既</w:t>
      </w:r>
      <w:proofErr w:type="gramEnd"/>
      <w:r w:rsidRPr="00F614F9">
        <w:rPr>
          <w:rFonts w:ascii="Times New Roman" w:eastAsia="宋体" w:hAnsi="Times New Roman" w:hint="eastAsia"/>
          <w:sz w:val="18"/>
          <w:szCs w:val="20"/>
        </w:rPr>
        <w:t>不影响会计利润也不影响应纳税所得额</w:t>
      </w:r>
      <w:r w:rsidRPr="00F614F9">
        <w:rPr>
          <w:rFonts w:ascii="Times New Roman" w:eastAsia="宋体" w:hAnsi="Times New Roman" w:hint="eastAsia"/>
          <w:sz w:val="18"/>
          <w:szCs w:val="20"/>
        </w:rPr>
        <w:t>(</w:t>
      </w:r>
      <w:r w:rsidRPr="00F614F9">
        <w:rPr>
          <w:rFonts w:ascii="Times New Roman" w:eastAsia="宋体" w:hAnsi="Times New Roman" w:hint="eastAsia"/>
          <w:sz w:val="18"/>
          <w:szCs w:val="20"/>
        </w:rPr>
        <w:t>或可抵扣亏损</w:t>
      </w:r>
      <w:r w:rsidRPr="00F614F9">
        <w:rPr>
          <w:rFonts w:ascii="Times New Roman" w:eastAsia="宋体" w:hAnsi="Times New Roman" w:hint="eastAsia"/>
          <w:sz w:val="18"/>
          <w:szCs w:val="20"/>
        </w:rPr>
        <w:t>)</w:t>
      </w:r>
      <w:r w:rsidRPr="00F614F9">
        <w:rPr>
          <w:rFonts w:ascii="Times New Roman" w:eastAsia="宋体" w:hAnsi="Times New Roman" w:hint="eastAsia"/>
          <w:sz w:val="18"/>
          <w:szCs w:val="20"/>
        </w:rPr>
        <w:t>的非企业合并的交易中产生的资产或负债的初始确认形成的暂时性差异，不确认相应的递延所得税资产和递延所得税负债。对于前述单项交易因资产和负债的初始确认所产生的应纳税暂时性差异和可抵扣暂时性差异，在交易发生时分别确认相应的递延所得税负债和递延所得税资产。</w:t>
      </w:r>
    </w:p>
    <w:p w14:paraId="4BC5A2F4"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于资产负债表日，递延所得税资产和递延所得税负债，按照预期收回该资产或清偿该负债期间的适用税率计量。递延所得税资产的确认以本公司很可能取得用来抵扣可抵扣暂时性差异、可抵扣亏损和税款抵减的应纳税所得额为限。对子公司、联营企业及合营企业投资相关的暂时性差异产生的递延所得税资产和递延所得税负债，予以确认。但本公司能够控制暂时性差异转回的时间且该暂时性差异在可预见的未来很可能不会转回的，不予确认。</w:t>
      </w:r>
    </w:p>
    <w:p w14:paraId="7809369D"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对于能够结转以后年度的可抵扣亏损和税款抵减，以很可能获得用来抵扣可抵扣亏损和税款抵减的未来应纳税所得额为限，确认相应的递延所得税资产。</w:t>
      </w:r>
    </w:p>
    <w:p w14:paraId="14812C49"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于资产负债表日，对递延所得税资产的账面价值进行复核，如果未来很可能无法获得足够的应纳税所得额用以抵扣递延所得税资产的利益，则</w:t>
      </w:r>
      <w:proofErr w:type="gramStart"/>
      <w:r w:rsidRPr="00F614F9">
        <w:rPr>
          <w:rFonts w:ascii="Times New Roman" w:eastAsia="宋体" w:hAnsi="Times New Roman" w:hint="eastAsia"/>
          <w:sz w:val="18"/>
          <w:szCs w:val="20"/>
        </w:rPr>
        <w:t>减记递</w:t>
      </w:r>
      <w:proofErr w:type="gramEnd"/>
      <w:r w:rsidRPr="00F614F9">
        <w:rPr>
          <w:rFonts w:ascii="Times New Roman" w:eastAsia="宋体" w:hAnsi="Times New Roman" w:hint="eastAsia"/>
          <w:sz w:val="18"/>
          <w:szCs w:val="20"/>
        </w:rPr>
        <w:t>延所得税资产的账面价值。在很可能获得足够的应纳税所得额时，</w:t>
      </w:r>
      <w:proofErr w:type="gramStart"/>
      <w:r w:rsidRPr="00F614F9">
        <w:rPr>
          <w:rFonts w:ascii="Times New Roman" w:eastAsia="宋体" w:hAnsi="Times New Roman" w:hint="eastAsia"/>
          <w:sz w:val="18"/>
          <w:szCs w:val="20"/>
        </w:rPr>
        <w:t>减记的</w:t>
      </w:r>
      <w:proofErr w:type="gramEnd"/>
      <w:r w:rsidRPr="00F614F9">
        <w:rPr>
          <w:rFonts w:ascii="Times New Roman" w:eastAsia="宋体" w:hAnsi="Times New Roman" w:hint="eastAsia"/>
          <w:sz w:val="18"/>
          <w:szCs w:val="20"/>
        </w:rPr>
        <w:t>金额予以转回。</w:t>
      </w:r>
    </w:p>
    <w:p w14:paraId="3A8C9AC0"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所得税费用</w:t>
      </w:r>
    </w:p>
    <w:p w14:paraId="3F19945D"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所得税费用包括当期所得税和递延所得税。</w:t>
      </w:r>
    </w:p>
    <w:p w14:paraId="535D7ABE"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除确认为其他综合收益或直接计入股东权益的交易和事项相关的当期所得税和递延所得税计入其他综合收益或股东权益，以及企业合并产生的递延所得税调整商誉的账面价值外，其余当期所得税和递延所得税费用或收益计入当期损益。</w:t>
      </w:r>
    </w:p>
    <w:p w14:paraId="443AA563"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所得税的</w:t>
      </w:r>
      <w:proofErr w:type="gramStart"/>
      <w:r w:rsidRPr="00F614F9">
        <w:rPr>
          <w:rFonts w:ascii="Times New Roman" w:eastAsia="宋体" w:hAnsi="Times New Roman" w:hint="eastAsia"/>
          <w:sz w:val="18"/>
          <w:szCs w:val="20"/>
        </w:rPr>
        <w:t>抵销</w:t>
      </w:r>
      <w:proofErr w:type="gramEnd"/>
    </w:p>
    <w:p w14:paraId="18E7A30E"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当拥有以净额结算的法定权利，且意图以净额结算或取得资产、清偿负债同时进行时，本集团当期所得税资产及当期所得税负债以</w:t>
      </w:r>
      <w:proofErr w:type="gramStart"/>
      <w:r w:rsidRPr="00F614F9">
        <w:rPr>
          <w:rFonts w:ascii="Times New Roman" w:eastAsia="宋体" w:hAnsi="Times New Roman" w:hint="eastAsia"/>
          <w:sz w:val="18"/>
          <w:szCs w:val="20"/>
        </w:rPr>
        <w:t>抵销</w:t>
      </w:r>
      <w:proofErr w:type="gramEnd"/>
      <w:r w:rsidRPr="00F614F9">
        <w:rPr>
          <w:rFonts w:ascii="Times New Roman" w:eastAsia="宋体" w:hAnsi="Times New Roman" w:hint="eastAsia"/>
          <w:sz w:val="18"/>
          <w:szCs w:val="20"/>
        </w:rPr>
        <w:t>后的净额列报。</w:t>
      </w:r>
    </w:p>
    <w:p w14:paraId="09670CA2"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当拥有以净额结算当期所得税资产及当期所得税负债的法定权利，</w:t>
      </w:r>
      <w:proofErr w:type="gramStart"/>
      <w:r w:rsidRPr="00F614F9">
        <w:rPr>
          <w:rFonts w:ascii="Times New Roman" w:eastAsia="宋体" w:hAnsi="Times New Roman" w:hint="eastAsia"/>
          <w:sz w:val="18"/>
          <w:szCs w:val="20"/>
        </w:rPr>
        <w:t>且递延</w:t>
      </w:r>
      <w:proofErr w:type="gramEnd"/>
      <w:r w:rsidRPr="00F614F9">
        <w:rPr>
          <w:rFonts w:ascii="Times New Roman" w:eastAsia="宋体" w:hAnsi="Times New Roman" w:hint="eastAsia"/>
          <w:sz w:val="18"/>
          <w:szCs w:val="20"/>
        </w:rPr>
        <w:t>所得税资产及递延所得税负债是与同</w:t>
      </w:r>
      <w:proofErr w:type="gramStart"/>
      <w:r w:rsidRPr="00F614F9">
        <w:rPr>
          <w:rFonts w:ascii="Times New Roman" w:eastAsia="宋体" w:hAnsi="Times New Roman" w:hint="eastAsia"/>
          <w:sz w:val="18"/>
          <w:szCs w:val="20"/>
        </w:rPr>
        <w:t>一税收</w:t>
      </w:r>
      <w:proofErr w:type="gramEnd"/>
      <w:r w:rsidRPr="00F614F9">
        <w:rPr>
          <w:rFonts w:ascii="Times New Roman" w:eastAsia="宋体" w:hAnsi="Times New Roman" w:hint="eastAsia"/>
          <w:sz w:val="18"/>
          <w:szCs w:val="20"/>
        </w:rPr>
        <w:t>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时，本集团递延所得税资产及递延所得税负债以</w:t>
      </w:r>
      <w:proofErr w:type="gramStart"/>
      <w:r w:rsidRPr="00F614F9">
        <w:rPr>
          <w:rFonts w:ascii="Times New Roman" w:eastAsia="宋体" w:hAnsi="Times New Roman" w:hint="eastAsia"/>
          <w:sz w:val="18"/>
          <w:szCs w:val="20"/>
        </w:rPr>
        <w:t>抵销</w:t>
      </w:r>
      <w:proofErr w:type="gramEnd"/>
      <w:r w:rsidRPr="00F614F9">
        <w:rPr>
          <w:rFonts w:ascii="Times New Roman" w:eastAsia="宋体" w:hAnsi="Times New Roman" w:hint="eastAsia"/>
          <w:sz w:val="18"/>
          <w:szCs w:val="20"/>
        </w:rPr>
        <w:t>后的净额列报。</w:t>
      </w:r>
    </w:p>
    <w:p w14:paraId="515C4D56" w14:textId="77777777" w:rsidR="001D26E7" w:rsidRPr="00F614F9" w:rsidRDefault="00000000">
      <w:pPr>
        <w:pStyle w:val="3"/>
        <w:spacing w:line="280" w:lineRule="exact"/>
        <w:jc w:val="left"/>
        <w:rPr>
          <w:rFonts w:ascii="Times New Roman" w:hAnsi="Times New Roman" w:cs="宋体"/>
          <w:b/>
          <w:bCs/>
        </w:rPr>
      </w:pPr>
      <w:bookmarkStart w:id="300" w:name="_Toc989115"/>
      <w:r w:rsidRPr="00F614F9">
        <w:rPr>
          <w:rFonts w:ascii="Times New Roman" w:hAnsi="Times New Roman" w:cs="宋体"/>
          <w:b/>
          <w:bCs/>
        </w:rPr>
        <w:t>41</w:t>
      </w:r>
      <w:r w:rsidRPr="00F614F9">
        <w:rPr>
          <w:rFonts w:ascii="Times New Roman" w:hAnsi="Times New Roman" w:cs="宋体"/>
          <w:b/>
          <w:bCs/>
        </w:rPr>
        <w:t>、租赁</w:t>
      </w:r>
      <w:bookmarkEnd w:id="300"/>
    </w:p>
    <w:p w14:paraId="5D0FB5B5"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01" w:name="_Toc989116"/>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作为承租方租赁的会计处理方法</w:t>
      </w:r>
      <w:bookmarkEnd w:id="301"/>
    </w:p>
    <w:p w14:paraId="3EBAB5F3"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初始确认</w:t>
      </w:r>
    </w:p>
    <w:p w14:paraId="1BE2F2E9"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在本公司作为承租人对租赁确认使用权资产和租赁负债。</w:t>
      </w:r>
    </w:p>
    <w:p w14:paraId="6C8DA0FE"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租赁变更</w:t>
      </w:r>
    </w:p>
    <w:p w14:paraId="10663400"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租赁变更，是指原合同条款之外的租赁范围、租赁对价、租赁期限的变更，包括增加或终止一项或多项租赁资产的使用权，延长或缩短合同规定的租赁期等。租赁变更生效日，是指双方就租赁变更达成一致的日期。</w:t>
      </w:r>
    </w:p>
    <w:p w14:paraId="3BE5A410"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租赁发生变更且同时符合下列条件的，本公司将该租赁变更作为一项单独租赁进行会计处理：</w:t>
      </w:r>
    </w:p>
    <w:p w14:paraId="73D3DF43"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）该租赁变更通过增加一项或多项租赁资产的使用权而扩大了租赁范围；</w:t>
      </w:r>
    </w:p>
    <w:p w14:paraId="22290B4C"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）增加的对价与租赁范围扩大部分的单独价格按该合同情况调整后的金额相当。</w:t>
      </w:r>
    </w:p>
    <w:p w14:paraId="1BA32320"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租赁变更未作为一项单独租赁进行会计处理的，在租赁变更生效日，本公司按照租赁准则有关租赁分拆的规定对变更后合同的对价进行分摊，重新确定变更后的租赁期；并采用修订后的折现率对变更后的租赁付款额进行折现，以重新计量租赁负债。在计算变更后租赁付款额的现值时，本公司采用剩余租赁期间的租赁内含利率作为折现率；无法确定剩余租赁期间的租赁内含利率的，本公司采用租赁变更生效日的承租人增量借款利率作为折现率。就上述租赁负债调整的影响，本</w:t>
      </w:r>
      <w:r w:rsidRPr="00F614F9">
        <w:rPr>
          <w:rFonts w:ascii="Times New Roman" w:eastAsia="宋体" w:hAnsi="Times New Roman" w:hint="eastAsia"/>
          <w:sz w:val="18"/>
          <w:szCs w:val="18"/>
        </w:rPr>
        <w:lastRenderedPageBreak/>
        <w:t>公司区分以下情形进行会计处理：</w:t>
      </w:r>
    </w:p>
    <w:p w14:paraId="5C874529"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）租赁变更导致租赁范围缩小或租赁期缩短的，承租人应当调减使用权资产的账面价值，并将部分终止或完全终止租赁的相关利得或损失计入当期损益。</w:t>
      </w:r>
    </w:p>
    <w:p w14:paraId="4C751B1F"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）其他租赁变更导致租赁负债重新计量的，承租人相应调整使用权资产的账面价值。</w:t>
      </w:r>
    </w:p>
    <w:p w14:paraId="439E5D50"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短期租赁和低价值资产租赁</w:t>
      </w:r>
    </w:p>
    <w:p w14:paraId="2D6E92DE"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对于租赁期不超过</w:t>
      </w:r>
      <w:r w:rsidRPr="00F614F9">
        <w:rPr>
          <w:rFonts w:ascii="Times New Roman" w:eastAsia="宋体" w:hAnsi="Times New Roman" w:hint="eastAsia"/>
          <w:sz w:val="18"/>
          <w:szCs w:val="18"/>
        </w:rPr>
        <w:t>12</w:t>
      </w:r>
      <w:r w:rsidRPr="00F614F9">
        <w:rPr>
          <w:rFonts w:ascii="Times New Roman" w:eastAsia="宋体" w:hAnsi="Times New Roman" w:hint="eastAsia"/>
          <w:sz w:val="18"/>
          <w:szCs w:val="18"/>
        </w:rPr>
        <w:t>个月的短期租赁和单项租赁资产为全新资产时价值较低的低价值资产租赁，本公司选择不确认使用权资产和租赁负债。本公司将短期租赁和低价值资产租赁的租赁付款额，在租赁期内各个期间按照直线法或其他系统合理的方法计入相关资产成本或当期损益。</w:t>
      </w:r>
    </w:p>
    <w:p w14:paraId="06050919"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使用权资产</w:t>
      </w:r>
    </w:p>
    <w:p w14:paraId="0A3AAB46"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使用权资产，是指本公司作为承租人可在租赁期内使用租赁资产的权利。</w:t>
      </w:r>
    </w:p>
    <w:p w14:paraId="07C94FD6"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在租赁期开始日，本公司按照成本对使用权资产进行初始计量。</w:t>
      </w:r>
      <w:proofErr w:type="gramStart"/>
      <w:r w:rsidRPr="00F614F9">
        <w:rPr>
          <w:rFonts w:ascii="Times New Roman" w:eastAsia="宋体" w:hAnsi="Times New Roman" w:hint="eastAsia"/>
          <w:sz w:val="18"/>
          <w:szCs w:val="18"/>
        </w:rPr>
        <w:t>该成本</w:t>
      </w:r>
      <w:proofErr w:type="gramEnd"/>
      <w:r w:rsidRPr="00F614F9">
        <w:rPr>
          <w:rFonts w:ascii="Times New Roman" w:eastAsia="宋体" w:hAnsi="Times New Roman" w:hint="eastAsia"/>
          <w:sz w:val="18"/>
          <w:szCs w:val="18"/>
        </w:rPr>
        <w:t>包括下列四项：</w:t>
      </w:r>
    </w:p>
    <w:p w14:paraId="51086915"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）租赁负债的初始计量金额；</w:t>
      </w:r>
    </w:p>
    <w:p w14:paraId="4AB42824"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）在租赁期开始日或之前支付的租赁付款额，存在租赁激励的，扣除已享受的租赁激励相关金额；</w:t>
      </w:r>
    </w:p>
    <w:p w14:paraId="7C74BAED"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3</w:t>
      </w:r>
      <w:r w:rsidRPr="00F614F9">
        <w:rPr>
          <w:rFonts w:ascii="Times New Roman" w:eastAsia="宋体" w:hAnsi="Times New Roman" w:hint="eastAsia"/>
          <w:sz w:val="18"/>
          <w:szCs w:val="18"/>
        </w:rPr>
        <w:t>）承租人发生的初始直接费用；</w:t>
      </w:r>
    </w:p>
    <w:p w14:paraId="25340BBD"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4</w:t>
      </w:r>
      <w:r w:rsidRPr="00F614F9">
        <w:rPr>
          <w:rFonts w:ascii="Times New Roman" w:eastAsia="宋体" w:hAnsi="Times New Roman" w:hint="eastAsia"/>
          <w:sz w:val="18"/>
          <w:szCs w:val="18"/>
        </w:rPr>
        <w:t>）承租人为拆卸及移除租赁资产、复原租赁资产所在场地或将租赁资产恢复至租赁条款约定状态预计将发生的成本，属于为生产存货而发生的除外。</w:t>
      </w:r>
    </w:p>
    <w:p w14:paraId="58B30C07"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在租赁期开始日后，本公司采用成本模式对使用权资产进行后续计量，即以成本减累计折旧及累计减值损失计量使用权资产。</w:t>
      </w:r>
    </w:p>
    <w:p w14:paraId="67E1557D"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本公司按照租赁准则有关规定重新计量租赁负债的，相应调整使用权资产的账面价值。</w:t>
      </w:r>
    </w:p>
    <w:p w14:paraId="4A997A4C"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自租赁期开始日起，本公司对使用权资产计提折旧。使用权资产通常自租赁期开始的当月计提折旧。计提的折旧金额根据使用权资产的用途，计入相关资产的成本或者当期损益。</w:t>
      </w:r>
    </w:p>
    <w:p w14:paraId="7CF57FEF"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本公司在确定使用权资产的折旧方法时，根据与使用权资产有关的经济利益的预期实现方式做出决定，以直线法对使用权资产计提折旧。</w:t>
      </w:r>
    </w:p>
    <w:p w14:paraId="7139FB38"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公司在确定使用权资产的折旧年限时，遵循以下原则：能够合理确定租赁期届满时取得租赁资产所有权的，在租赁资产剩余使用寿命内计提折旧；无法合理确定租赁期届满时能够取得租赁资产所有权的，在租赁期与租赁资产剩余使用寿命两者孰短的期间内计提折旧。</w:t>
      </w:r>
    </w:p>
    <w:p w14:paraId="586775E0"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如果使用权资产发生减值，本公司按照扣除减值损失之后的使用权资产的账面价值，进行后续折旧。</w:t>
      </w:r>
    </w:p>
    <w:p w14:paraId="1421E6D2"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租赁负债</w:t>
      </w:r>
    </w:p>
    <w:p w14:paraId="73A0D4F6"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本公司按照租赁期开始日尚未支付的租赁付款额的现值对租赁负债进行初始计量。</w:t>
      </w:r>
    </w:p>
    <w:p w14:paraId="7C16D6ED"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租赁付款额，是指本公司向出租人支付的与在租赁期内使用租赁资产的权利相关的款项，包括：</w:t>
      </w:r>
    </w:p>
    <w:p w14:paraId="13404227"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）固定付款额及实质固定付款额，存在租赁激励的，扣除租赁激励相关金额；</w:t>
      </w:r>
    </w:p>
    <w:p w14:paraId="233695FB"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）取决于指数或比率的可变租赁付款额，该款额在初始计量时根据租赁期开始日的指数或比率确定；</w:t>
      </w:r>
    </w:p>
    <w:p w14:paraId="0024806D"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3</w:t>
      </w:r>
      <w:r w:rsidRPr="00F614F9">
        <w:rPr>
          <w:rFonts w:ascii="Times New Roman" w:eastAsia="宋体" w:hAnsi="Times New Roman" w:hint="eastAsia"/>
          <w:sz w:val="18"/>
          <w:szCs w:val="18"/>
        </w:rPr>
        <w:t>）本公司合理确定将行使购买选择权时，购买选择权的行权价格；</w:t>
      </w:r>
    </w:p>
    <w:p w14:paraId="135F7898"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4</w:t>
      </w:r>
      <w:r w:rsidRPr="00F614F9">
        <w:rPr>
          <w:rFonts w:ascii="Times New Roman" w:eastAsia="宋体" w:hAnsi="Times New Roman" w:hint="eastAsia"/>
          <w:sz w:val="18"/>
          <w:szCs w:val="18"/>
        </w:rPr>
        <w:t>）租赁</w:t>
      </w:r>
      <w:proofErr w:type="gramStart"/>
      <w:r w:rsidRPr="00F614F9">
        <w:rPr>
          <w:rFonts w:ascii="Times New Roman" w:eastAsia="宋体" w:hAnsi="Times New Roman" w:hint="eastAsia"/>
          <w:sz w:val="18"/>
          <w:szCs w:val="18"/>
        </w:rPr>
        <w:t>期反映</w:t>
      </w:r>
      <w:proofErr w:type="gramEnd"/>
      <w:r w:rsidRPr="00F614F9">
        <w:rPr>
          <w:rFonts w:ascii="Times New Roman" w:eastAsia="宋体" w:hAnsi="Times New Roman" w:hint="eastAsia"/>
          <w:sz w:val="18"/>
          <w:szCs w:val="18"/>
        </w:rPr>
        <w:t>出本公司将行使终止租赁选择权时，行使终止租赁选择权需支付的款项；</w:t>
      </w:r>
    </w:p>
    <w:p w14:paraId="50A20C07"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5</w:t>
      </w:r>
      <w:r w:rsidRPr="00F614F9">
        <w:rPr>
          <w:rFonts w:ascii="Times New Roman" w:eastAsia="宋体" w:hAnsi="Times New Roman" w:hint="eastAsia"/>
          <w:sz w:val="18"/>
          <w:szCs w:val="18"/>
        </w:rPr>
        <w:t>）根据本公司提供的担保余值预计应支付的款项。</w:t>
      </w:r>
    </w:p>
    <w:p w14:paraId="73B44236"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在计算租赁付款额的现值时，本公司采用租赁内含利率作为折现率，该利率是指使出租人的</w:t>
      </w:r>
      <w:proofErr w:type="gramStart"/>
      <w:r w:rsidRPr="00F614F9">
        <w:rPr>
          <w:rFonts w:ascii="Times New Roman" w:eastAsia="宋体" w:hAnsi="Times New Roman" w:hint="eastAsia"/>
          <w:sz w:val="18"/>
          <w:szCs w:val="18"/>
        </w:rPr>
        <w:t>租赁收</w:t>
      </w:r>
      <w:proofErr w:type="gramEnd"/>
      <w:r w:rsidRPr="00F614F9">
        <w:rPr>
          <w:rFonts w:ascii="Times New Roman" w:eastAsia="宋体" w:hAnsi="Times New Roman" w:hint="eastAsia"/>
          <w:sz w:val="18"/>
          <w:szCs w:val="18"/>
        </w:rPr>
        <w:t>款额的现值与未担保余值的现值之和等于租赁资产公允价值与出租人的初始直接费用之和的利率。本公司因无法确定租赁内含利率的，采用增量借款利率作为折现率。该增量借款利率，是指本公司在类似经济环境下为获得与使用权资产价值接近的资产，在类似期间以类似抵押条件借入资金须支付的利率。该利率与下列事项相关：</w:t>
      </w:r>
    </w:p>
    <w:p w14:paraId="655D0395"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lastRenderedPageBreak/>
        <w:t>1</w:t>
      </w:r>
      <w:r w:rsidRPr="00F614F9">
        <w:rPr>
          <w:rFonts w:ascii="Times New Roman" w:eastAsia="宋体" w:hAnsi="Times New Roman" w:hint="eastAsia"/>
          <w:sz w:val="18"/>
          <w:szCs w:val="18"/>
        </w:rPr>
        <w:t>）本公司自身情况，</w:t>
      </w:r>
      <w:proofErr w:type="gramStart"/>
      <w:r w:rsidRPr="00F614F9">
        <w:rPr>
          <w:rFonts w:ascii="Times New Roman" w:eastAsia="宋体" w:hAnsi="Times New Roman" w:hint="eastAsia"/>
          <w:sz w:val="18"/>
          <w:szCs w:val="18"/>
        </w:rPr>
        <w:t>即集团</w:t>
      </w:r>
      <w:proofErr w:type="gramEnd"/>
      <w:r w:rsidRPr="00F614F9">
        <w:rPr>
          <w:rFonts w:ascii="Times New Roman" w:eastAsia="宋体" w:hAnsi="Times New Roman" w:hint="eastAsia"/>
          <w:sz w:val="18"/>
          <w:szCs w:val="18"/>
        </w:rPr>
        <w:t>的偿债能力和信用状况；</w:t>
      </w:r>
    </w:p>
    <w:p w14:paraId="3C5F4F9C"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）“借款”的期限，即租赁期；</w:t>
      </w:r>
    </w:p>
    <w:p w14:paraId="2F7DDD67"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3</w:t>
      </w:r>
      <w:r w:rsidRPr="00F614F9">
        <w:rPr>
          <w:rFonts w:ascii="Times New Roman" w:eastAsia="宋体" w:hAnsi="Times New Roman" w:hint="eastAsia"/>
          <w:sz w:val="18"/>
          <w:szCs w:val="18"/>
        </w:rPr>
        <w:t>）“借入”资金的金额，即租赁负债的金额；</w:t>
      </w:r>
    </w:p>
    <w:p w14:paraId="0AA38812"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4</w:t>
      </w:r>
      <w:r w:rsidRPr="00F614F9">
        <w:rPr>
          <w:rFonts w:ascii="Times New Roman" w:eastAsia="宋体" w:hAnsi="Times New Roman" w:hint="eastAsia"/>
          <w:sz w:val="18"/>
          <w:szCs w:val="18"/>
        </w:rPr>
        <w:t>）“抵押条件”，即标的资产的性质和质量；</w:t>
      </w:r>
    </w:p>
    <w:p w14:paraId="3EA7D13D"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5</w:t>
      </w:r>
      <w:r w:rsidRPr="00F614F9">
        <w:rPr>
          <w:rFonts w:ascii="Times New Roman" w:eastAsia="宋体" w:hAnsi="Times New Roman" w:hint="eastAsia"/>
          <w:sz w:val="18"/>
          <w:szCs w:val="18"/>
        </w:rPr>
        <w:t>）经济环境，包括承租人所处的司法管辖区、计价货币、合同签订时间等。</w:t>
      </w:r>
    </w:p>
    <w:p w14:paraId="4712DB90"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本公司以银行贷款利率为基础，考虑上述因素进行调整而得出该增量借款利率。</w:t>
      </w:r>
    </w:p>
    <w:p w14:paraId="397E0B50"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在租赁期开始日后，本公司按以下原则对租赁负债进行后续计量：</w:t>
      </w:r>
    </w:p>
    <w:p w14:paraId="3384DA66"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）确认租赁负债的利息时，增加租赁负债的账面金额；</w:t>
      </w:r>
    </w:p>
    <w:p w14:paraId="0ABB48D5"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）支付租赁付款额时，减少租赁负债的账面金额；</w:t>
      </w:r>
    </w:p>
    <w:p w14:paraId="4DE5DBAF"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3</w:t>
      </w:r>
      <w:r w:rsidRPr="00F614F9">
        <w:rPr>
          <w:rFonts w:ascii="Times New Roman" w:eastAsia="宋体" w:hAnsi="Times New Roman" w:hint="eastAsia"/>
          <w:sz w:val="18"/>
          <w:szCs w:val="18"/>
        </w:rPr>
        <w:t>）因重估或租赁变更等原因导致租赁付款额发生变动时，重新计量租赁负债的账面价值。</w:t>
      </w:r>
    </w:p>
    <w:p w14:paraId="0629AD48"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按照固定的周期性利率计算租赁负债在租赁期内各期间的利息费用，并计入当期损益，但应当资本化的除外。周期性利率是指本公司对租赁负债进行初始计量时所采用的折现率，或者因租赁付款额发生变动或因租赁变更而需按照修订后的折现率对租赁负债进行重新计量时，本公司所采用的修订后的折现率。</w:t>
      </w:r>
    </w:p>
    <w:p w14:paraId="07E95B6E"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在租赁期开始日后，发生下列情形时，本公司按照变动后租赁付款额和修订后的折现率计算的现值重新计量租赁负债，并相应调整使用权资产的账面价值。使用权资产的账面价值已调减至零，但租赁负债仍需进一步调减的，本公司将剩余金额计入当期损益。</w:t>
      </w:r>
    </w:p>
    <w:p w14:paraId="1E654E40"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1</w:t>
      </w:r>
      <w:r w:rsidRPr="00F614F9">
        <w:rPr>
          <w:rFonts w:ascii="Times New Roman" w:eastAsia="宋体" w:hAnsi="Times New Roman" w:hint="eastAsia"/>
          <w:sz w:val="18"/>
          <w:szCs w:val="18"/>
        </w:rPr>
        <w:t>）实质固定付款额发生变动；</w:t>
      </w:r>
    </w:p>
    <w:p w14:paraId="2F77A513"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2</w:t>
      </w:r>
      <w:r w:rsidRPr="00F614F9">
        <w:rPr>
          <w:rFonts w:ascii="Times New Roman" w:eastAsia="宋体" w:hAnsi="Times New Roman" w:hint="eastAsia"/>
          <w:sz w:val="18"/>
          <w:szCs w:val="18"/>
        </w:rPr>
        <w:t>）担保余值预计的应付金额发生变动；</w:t>
      </w:r>
    </w:p>
    <w:p w14:paraId="1C0489BE"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3</w:t>
      </w:r>
      <w:r w:rsidRPr="00F614F9">
        <w:rPr>
          <w:rFonts w:ascii="Times New Roman" w:eastAsia="宋体" w:hAnsi="Times New Roman" w:hint="eastAsia"/>
          <w:sz w:val="18"/>
          <w:szCs w:val="18"/>
        </w:rPr>
        <w:t>）用于确定租赁付款额的指数或比率发生变动；</w:t>
      </w:r>
    </w:p>
    <w:p w14:paraId="75250E92"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4</w:t>
      </w:r>
      <w:r w:rsidRPr="00F614F9">
        <w:rPr>
          <w:rFonts w:ascii="Times New Roman" w:eastAsia="宋体" w:hAnsi="Times New Roman" w:hint="eastAsia"/>
          <w:sz w:val="18"/>
          <w:szCs w:val="18"/>
        </w:rPr>
        <w:t>）购买选择权的评估结果发生变化；</w:t>
      </w:r>
    </w:p>
    <w:p w14:paraId="29ACDAFF"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5</w:t>
      </w:r>
      <w:r w:rsidRPr="00F614F9">
        <w:rPr>
          <w:rFonts w:ascii="Times New Roman" w:eastAsia="宋体" w:hAnsi="Times New Roman" w:hint="eastAsia"/>
          <w:sz w:val="18"/>
          <w:szCs w:val="18"/>
        </w:rPr>
        <w:t>）续租选择权或终止租赁选择权的评估结果或实际行使情况发生变化。</w:t>
      </w:r>
    </w:p>
    <w:p w14:paraId="675A2819" w14:textId="77777777" w:rsidR="001D26E7" w:rsidRPr="00F614F9" w:rsidRDefault="00000000" w:rsidP="007C0164">
      <w:pPr>
        <w:spacing w:line="276" w:lineRule="auto"/>
        <w:ind w:firstLineChars="200" w:firstLine="360"/>
        <w:rPr>
          <w:rFonts w:ascii="Times New Roman" w:eastAsia="宋体" w:hAnsi="Times New Roman"/>
          <w:sz w:val="18"/>
          <w:szCs w:val="18"/>
        </w:rPr>
      </w:pPr>
      <w:bookmarkStart w:id="302" w:name="_Toc989117"/>
      <w:r w:rsidRPr="00F614F9">
        <w:rPr>
          <w:rFonts w:ascii="Times New Roman" w:eastAsia="宋体" w:hAnsi="Times New Roman"/>
          <w:sz w:val="18"/>
          <w:szCs w:val="18"/>
        </w:rPr>
        <w:t>（</w:t>
      </w:r>
      <w:r w:rsidRPr="00F614F9">
        <w:rPr>
          <w:rFonts w:ascii="Times New Roman" w:eastAsia="宋体" w:hAnsi="Times New Roman"/>
          <w:sz w:val="18"/>
          <w:szCs w:val="18"/>
        </w:rPr>
        <w:t>2</w:t>
      </w:r>
      <w:r w:rsidRPr="00F614F9">
        <w:rPr>
          <w:rFonts w:ascii="Times New Roman" w:eastAsia="宋体" w:hAnsi="Times New Roman"/>
          <w:sz w:val="18"/>
          <w:szCs w:val="18"/>
        </w:rPr>
        <w:t>）</w:t>
      </w:r>
      <w:r w:rsidRPr="00F614F9">
        <w:rPr>
          <w:rFonts w:ascii="Times New Roman" w:eastAsia="宋体" w:hAnsi="Times New Roman"/>
          <w:sz w:val="18"/>
          <w:szCs w:val="18"/>
        </w:rPr>
        <w:t xml:space="preserve"> </w:t>
      </w:r>
      <w:r w:rsidRPr="00F614F9">
        <w:rPr>
          <w:rFonts w:ascii="Times New Roman" w:eastAsia="宋体" w:hAnsi="Times New Roman"/>
          <w:sz w:val="18"/>
          <w:szCs w:val="18"/>
        </w:rPr>
        <w:t>作为出租方租赁的会计处理方法</w:t>
      </w:r>
      <w:bookmarkEnd w:id="302"/>
    </w:p>
    <w:p w14:paraId="08C14185"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在租赁开始日，本公司将租赁分为融资租赁和经营租赁。</w:t>
      </w:r>
    </w:p>
    <w:p w14:paraId="78FB3725"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如果一项租赁实质上转移了与租赁资产所有权有关的几乎全部风险和报酬，出租人将该项租赁分类为融资租赁，除融资租赁以外的其他租赁分类为经营租赁。</w:t>
      </w:r>
    </w:p>
    <w:p w14:paraId="587F909C"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经营租赁的会计处理</w:t>
      </w:r>
    </w:p>
    <w:p w14:paraId="30DB886A"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在租赁期内各个期间，本公司采用直线法或其他系统合理的方法将经营租赁的</w:t>
      </w:r>
      <w:proofErr w:type="gramStart"/>
      <w:r w:rsidRPr="00F614F9">
        <w:rPr>
          <w:rFonts w:ascii="Times New Roman" w:eastAsia="宋体" w:hAnsi="Times New Roman" w:hint="eastAsia"/>
          <w:sz w:val="18"/>
          <w:szCs w:val="18"/>
        </w:rPr>
        <w:t>租赁收</w:t>
      </w:r>
      <w:proofErr w:type="gramEnd"/>
      <w:r w:rsidRPr="00F614F9">
        <w:rPr>
          <w:rFonts w:ascii="Times New Roman" w:eastAsia="宋体" w:hAnsi="Times New Roman" w:hint="eastAsia"/>
          <w:sz w:val="18"/>
          <w:szCs w:val="18"/>
        </w:rPr>
        <w:t>款额确认为租金收入。</w:t>
      </w:r>
    </w:p>
    <w:p w14:paraId="710D18E1"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提供免租期的，本公司将租金总额在不扣除免租期的整个租赁期内，按直线法进行分配，免租期内应当确认租金收入。本公司承担了承租人某些费用的，将该费用自租金收入总额中扣除，按扣除后的租金收入余额在租赁期内进行分配。</w:t>
      </w:r>
    </w:p>
    <w:p w14:paraId="1E806FCB"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本公司发生的与经营租赁有关的初始直接费用应当资本化至租赁标的资产的成本，在租赁期内按照与租金收入相同的确认基础分期计入当期损益。</w:t>
      </w:r>
    </w:p>
    <w:p w14:paraId="404D828E"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对于经营租赁资产中的固定资产，本公司采用类似资产的折旧政策计提折旧；对于其他经营租赁资产，采用系统合理的方法进行摊销。</w:t>
      </w:r>
    </w:p>
    <w:p w14:paraId="78966A2F"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本公司取得的与经营租赁有关的未计入</w:t>
      </w:r>
      <w:proofErr w:type="gramStart"/>
      <w:r w:rsidRPr="00F614F9">
        <w:rPr>
          <w:rFonts w:ascii="Times New Roman" w:eastAsia="宋体" w:hAnsi="Times New Roman" w:hint="eastAsia"/>
          <w:sz w:val="18"/>
          <w:szCs w:val="18"/>
        </w:rPr>
        <w:t>租赁收</w:t>
      </w:r>
      <w:proofErr w:type="gramEnd"/>
      <w:r w:rsidRPr="00F614F9">
        <w:rPr>
          <w:rFonts w:ascii="Times New Roman" w:eastAsia="宋体" w:hAnsi="Times New Roman" w:hint="eastAsia"/>
          <w:sz w:val="18"/>
          <w:szCs w:val="18"/>
        </w:rPr>
        <w:t>款额的可变租赁付款额，在实际发生时计入当期损益。经营租赁发生变更的，本公司自变更生效日开始，将其作为一项新的租赁进行会计处理，与变更前租赁有关的预收或应收</w:t>
      </w:r>
      <w:proofErr w:type="gramStart"/>
      <w:r w:rsidRPr="00F614F9">
        <w:rPr>
          <w:rFonts w:ascii="Times New Roman" w:eastAsia="宋体" w:hAnsi="Times New Roman" w:hint="eastAsia"/>
          <w:sz w:val="18"/>
          <w:szCs w:val="18"/>
        </w:rPr>
        <w:t>租赁收</w:t>
      </w:r>
      <w:proofErr w:type="gramEnd"/>
      <w:r w:rsidRPr="00F614F9">
        <w:rPr>
          <w:rFonts w:ascii="Times New Roman" w:eastAsia="宋体" w:hAnsi="Times New Roman" w:hint="eastAsia"/>
          <w:sz w:val="18"/>
          <w:szCs w:val="18"/>
        </w:rPr>
        <w:t>款额视为新租赁的收款额。</w:t>
      </w:r>
    </w:p>
    <w:p w14:paraId="3D747CCB"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融资租赁会计处理</w:t>
      </w:r>
    </w:p>
    <w:p w14:paraId="38E44AFE"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在租赁开始日，本公司对融资租赁确认应收融资租赁款，并终止确认融资租赁资产。本公司对应收融资租赁款进行初始计量时，将租赁投资净额作为应收融资租赁款的入账价值。租赁投资净额为未担保余值和租赁期开始日尚未收到的</w:t>
      </w:r>
      <w:proofErr w:type="gramStart"/>
      <w:r w:rsidRPr="00F614F9">
        <w:rPr>
          <w:rFonts w:ascii="Times New Roman" w:eastAsia="宋体" w:hAnsi="Times New Roman" w:hint="eastAsia"/>
          <w:sz w:val="18"/>
          <w:szCs w:val="18"/>
        </w:rPr>
        <w:t>租赁</w:t>
      </w:r>
      <w:r w:rsidRPr="00F614F9">
        <w:rPr>
          <w:rFonts w:ascii="Times New Roman" w:eastAsia="宋体" w:hAnsi="Times New Roman" w:hint="eastAsia"/>
          <w:sz w:val="18"/>
          <w:szCs w:val="18"/>
        </w:rPr>
        <w:lastRenderedPageBreak/>
        <w:t>收</w:t>
      </w:r>
      <w:proofErr w:type="gramEnd"/>
      <w:r w:rsidRPr="00F614F9">
        <w:rPr>
          <w:rFonts w:ascii="Times New Roman" w:eastAsia="宋体" w:hAnsi="Times New Roman" w:hint="eastAsia"/>
          <w:sz w:val="18"/>
          <w:szCs w:val="18"/>
        </w:rPr>
        <w:t>款额按照租赁内含利率折现的现值之</w:t>
      </w:r>
      <w:proofErr w:type="gramStart"/>
      <w:r w:rsidRPr="00F614F9">
        <w:rPr>
          <w:rFonts w:ascii="Times New Roman" w:eastAsia="宋体" w:hAnsi="Times New Roman" w:hint="eastAsia"/>
          <w:sz w:val="18"/>
          <w:szCs w:val="18"/>
        </w:rPr>
        <w:t>和</w:t>
      </w:r>
      <w:proofErr w:type="gramEnd"/>
      <w:r w:rsidRPr="00F614F9">
        <w:rPr>
          <w:rFonts w:ascii="Times New Roman" w:eastAsia="宋体" w:hAnsi="Times New Roman" w:hint="eastAsia"/>
          <w:sz w:val="18"/>
          <w:szCs w:val="18"/>
        </w:rPr>
        <w:t>。</w:t>
      </w:r>
    </w:p>
    <w:p w14:paraId="291DC48C"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本公司按照固定的周期性利率计算并确认租赁期内各个期间的利息收入。本公司取得的未纳入租赁投资净额计量的可变租赁付款额在实际发生时计入当期损益。</w:t>
      </w:r>
    </w:p>
    <w:p w14:paraId="7609F344"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转租赁</w:t>
      </w:r>
    </w:p>
    <w:p w14:paraId="76C671AF"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本公司作为转租出租人，将原租赁及转租赁合同作为两个合同单独核算。本公司基于原租赁产生的使用权资产，而不是租赁资产，对转租赁进行分类。</w:t>
      </w:r>
    </w:p>
    <w:p w14:paraId="36043BB0"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售后租回</w:t>
      </w:r>
    </w:p>
    <w:p w14:paraId="5B72A52E"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本公司按照“收入”附注所述原则评估确定售后租回交易中的资产转让是否属于销售。</w:t>
      </w:r>
    </w:p>
    <w:p w14:paraId="5837B22C"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售后租回交易中的资产转让属于销售的，本公司作为承租人按原资产账面价值中与租回获得的使用权有关的部分，计量售后租回所形成的使用权资产，并仅就转让至出租人的权利确认相关利得或损失；售后租回交易中的资产转让不属于销售的，本公司作为承租人继续确认被转让资产，同时确认一项与转让收入等额的金融负债。金融负债的会计处理详见“附注五、</w:t>
      </w:r>
      <w:r w:rsidRPr="00F614F9">
        <w:rPr>
          <w:rFonts w:ascii="Times New Roman" w:eastAsia="宋体" w:hAnsi="Times New Roman" w:hint="eastAsia"/>
          <w:sz w:val="18"/>
          <w:szCs w:val="18"/>
        </w:rPr>
        <w:t>11</w:t>
      </w:r>
      <w:r w:rsidRPr="00F614F9">
        <w:rPr>
          <w:rFonts w:ascii="Times New Roman" w:eastAsia="宋体" w:hAnsi="Times New Roman" w:hint="eastAsia"/>
          <w:sz w:val="18"/>
          <w:szCs w:val="18"/>
        </w:rPr>
        <w:t>金融工具”。</w:t>
      </w:r>
    </w:p>
    <w:p w14:paraId="6BBB215E"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售后租回交易中的资产转让属于销售的，本公司作为出租人对资产购买进行会计处理，并根据前述“本公司作为出租人”的政策对资产出租进行会计处理；售后租回交易中的资产转让不属于销售的，本公司作为出租人不确认被转让资产，但确认一项与转让收入等额的金融资产。金融资产的会计处理详见“附注五、</w:t>
      </w:r>
      <w:r w:rsidRPr="00F614F9">
        <w:rPr>
          <w:rFonts w:ascii="Times New Roman" w:eastAsia="宋体" w:hAnsi="Times New Roman" w:hint="eastAsia"/>
          <w:sz w:val="18"/>
          <w:szCs w:val="18"/>
        </w:rPr>
        <w:t>11</w:t>
      </w:r>
      <w:r w:rsidRPr="00F614F9">
        <w:rPr>
          <w:rFonts w:ascii="Times New Roman" w:eastAsia="宋体" w:hAnsi="Times New Roman" w:hint="eastAsia"/>
          <w:sz w:val="18"/>
          <w:szCs w:val="18"/>
        </w:rPr>
        <w:t>金融工具”附注。</w:t>
      </w:r>
    </w:p>
    <w:p w14:paraId="04FBF5C2" w14:textId="77777777" w:rsidR="001D26E7" w:rsidRPr="00F614F9" w:rsidRDefault="00000000">
      <w:pPr>
        <w:pStyle w:val="3"/>
        <w:spacing w:line="280" w:lineRule="exact"/>
        <w:jc w:val="left"/>
        <w:rPr>
          <w:rFonts w:ascii="Times New Roman" w:hAnsi="Times New Roman" w:cs="宋体"/>
          <w:b/>
          <w:bCs/>
        </w:rPr>
      </w:pPr>
      <w:bookmarkStart w:id="303" w:name="_Toc989118"/>
      <w:r w:rsidRPr="00F614F9">
        <w:rPr>
          <w:rFonts w:ascii="Times New Roman" w:hAnsi="Times New Roman" w:cs="宋体"/>
          <w:b/>
          <w:bCs/>
        </w:rPr>
        <w:t>42</w:t>
      </w:r>
      <w:r w:rsidRPr="00F614F9">
        <w:rPr>
          <w:rFonts w:ascii="Times New Roman" w:hAnsi="Times New Roman" w:cs="宋体"/>
          <w:b/>
          <w:bCs/>
        </w:rPr>
        <w:t>、其他重要的会计政策和会计估计</w:t>
      </w:r>
      <w:bookmarkEnd w:id="303"/>
    </w:p>
    <w:p w14:paraId="510FC873"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终止经营</w:t>
      </w:r>
    </w:p>
    <w:p w14:paraId="6589CDB9"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终止经营，是指满足下列条件之一的、能够单独区分且已被本集团处置或划分为持有待售类别的组成部分：①该组成部分代表一项独立的主要业务或一个单独的主要经营地区；②该组成部分是拟对一项独立的主要业务或一个单独的主要经营地区进行处置的一项相关联计划的一部分；③该组成部分是专为了转售而取得的子公司。</w:t>
      </w:r>
    </w:p>
    <w:p w14:paraId="72A62C43"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终止经营的会计处理方法参见本附注五、</w:t>
      </w:r>
      <w:r w:rsidRPr="00F614F9">
        <w:rPr>
          <w:rFonts w:ascii="Times New Roman" w:eastAsia="宋体" w:hAnsi="Times New Roman" w:hint="eastAsia"/>
          <w:sz w:val="18"/>
          <w:szCs w:val="20"/>
        </w:rPr>
        <w:t>18</w:t>
      </w:r>
      <w:r w:rsidRPr="00F614F9">
        <w:rPr>
          <w:rFonts w:ascii="Times New Roman" w:eastAsia="宋体" w:hAnsi="Times New Roman" w:hint="eastAsia"/>
          <w:sz w:val="18"/>
          <w:szCs w:val="20"/>
        </w:rPr>
        <w:t>“持有待售资产”相关描述。</w:t>
      </w:r>
    </w:p>
    <w:p w14:paraId="6BFD026B"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回购股份</w:t>
      </w:r>
    </w:p>
    <w:p w14:paraId="6452BB47"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股份回购中支付的对价和交易费用减少股东权益，回购、转让或注销本公司股份时，不确认利得或损失。</w:t>
      </w:r>
    </w:p>
    <w:p w14:paraId="54E78F19"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转让库存股，按实际收到的金额与库存股账面金额的差额，计入资本公积，资本公</w:t>
      </w:r>
      <w:proofErr w:type="gramStart"/>
      <w:r w:rsidRPr="00F614F9">
        <w:rPr>
          <w:rFonts w:ascii="Times New Roman" w:eastAsia="宋体" w:hAnsi="Times New Roman" w:hint="eastAsia"/>
          <w:sz w:val="18"/>
          <w:szCs w:val="20"/>
        </w:rPr>
        <w:t>积不足</w:t>
      </w:r>
      <w:proofErr w:type="gramEnd"/>
      <w:r w:rsidRPr="00F614F9">
        <w:rPr>
          <w:rFonts w:ascii="Times New Roman" w:eastAsia="宋体" w:hAnsi="Times New Roman" w:hint="eastAsia"/>
          <w:sz w:val="18"/>
          <w:szCs w:val="20"/>
        </w:rPr>
        <w:t>冲减的，冲减盈余公积和未分配利润。注销库存股，按股票面值和注销股数减少股本，按注销库存股的账面余额与面值的差额，冲减资本公积，资本公</w:t>
      </w:r>
      <w:proofErr w:type="gramStart"/>
      <w:r w:rsidRPr="00F614F9">
        <w:rPr>
          <w:rFonts w:ascii="Times New Roman" w:eastAsia="宋体" w:hAnsi="Times New Roman" w:hint="eastAsia"/>
          <w:sz w:val="18"/>
          <w:szCs w:val="20"/>
        </w:rPr>
        <w:t>积不足</w:t>
      </w:r>
      <w:proofErr w:type="gramEnd"/>
      <w:r w:rsidRPr="00F614F9">
        <w:rPr>
          <w:rFonts w:ascii="Times New Roman" w:eastAsia="宋体" w:hAnsi="Times New Roman" w:hint="eastAsia"/>
          <w:sz w:val="18"/>
          <w:szCs w:val="20"/>
        </w:rPr>
        <w:t>冲减的，冲减盈余公积和未分配利润。</w:t>
      </w:r>
    </w:p>
    <w:p w14:paraId="52699908"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分部报告</w:t>
      </w:r>
    </w:p>
    <w:p w14:paraId="3820B7C6"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本集团以内部组织结构、管理要求、内部报告制度为依据确定经营分部，以经营分部为基础确定报告分部并披露分部信息。</w:t>
      </w:r>
    </w:p>
    <w:p w14:paraId="5A370809" w14:textId="77777777" w:rsidR="00872599" w:rsidRPr="00F614F9" w:rsidRDefault="00000000" w:rsidP="007C0164">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经营分部是指本集团内同时满足下列条件的组成部分：①该组成部分能够在日常活动中产生收入、发生费用；②本集团管理层能够定期评价该组成部分的经营成果，以决定向其配置资源、评价其业绩；③本集团能够取得该组成部分的财务状况、经营成果和现金流量等有关会计信息。两个或多个经营分部具有相似的经济特征，并且满足一定条件的，则可合并为一个经营分部。</w:t>
      </w:r>
    </w:p>
    <w:p w14:paraId="0C3C2AB2" w14:textId="77777777" w:rsidR="001D26E7" w:rsidRPr="00F614F9" w:rsidRDefault="00000000">
      <w:pPr>
        <w:pStyle w:val="3"/>
        <w:spacing w:line="280" w:lineRule="exact"/>
        <w:jc w:val="left"/>
        <w:rPr>
          <w:rFonts w:ascii="Times New Roman" w:hAnsi="Times New Roman" w:cs="宋体"/>
          <w:b/>
          <w:bCs/>
        </w:rPr>
      </w:pPr>
      <w:bookmarkStart w:id="304" w:name="_Toc989119"/>
      <w:r w:rsidRPr="00F614F9">
        <w:rPr>
          <w:rFonts w:ascii="Times New Roman" w:hAnsi="Times New Roman" w:cs="宋体"/>
          <w:b/>
          <w:bCs/>
        </w:rPr>
        <w:lastRenderedPageBreak/>
        <w:t>43</w:t>
      </w:r>
      <w:r w:rsidRPr="00F614F9">
        <w:rPr>
          <w:rFonts w:ascii="Times New Roman" w:hAnsi="Times New Roman" w:cs="宋体"/>
          <w:b/>
          <w:bCs/>
        </w:rPr>
        <w:t>、重要会计政策和会计估计变更</w:t>
      </w:r>
      <w:bookmarkEnd w:id="304"/>
    </w:p>
    <w:p w14:paraId="7B3EB7F1"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305" w:name="_Toc989120"/>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重要会计政策变更</w:t>
      </w:r>
      <w:bookmarkEnd w:id="305"/>
    </w:p>
    <w:p w14:paraId="30238B1E"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5E9CCD65"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749962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80912E" w14:textId="77777777" w:rsidR="001D26E7" w:rsidRPr="00F614F9" w:rsidRDefault="00000000" w:rsidP="007C0164">
            <w:pPr>
              <w:rPr>
                <w:rFonts w:ascii="Times New Roman" w:eastAsia="宋体" w:hAnsi="Times New Roman"/>
                <w:sz w:val="18"/>
                <w:szCs w:val="20"/>
              </w:rPr>
            </w:pPr>
            <w:r w:rsidRPr="00F614F9">
              <w:rPr>
                <w:rFonts w:ascii="Times New Roman" w:eastAsia="宋体" w:hAnsi="Times New Roman"/>
                <w:sz w:val="18"/>
                <w:szCs w:val="20"/>
              </w:rPr>
              <w:t>会计政策变更的内容和原因</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4E645C" w14:textId="77777777" w:rsidR="001D26E7" w:rsidRPr="00F614F9" w:rsidRDefault="00000000" w:rsidP="007C0164">
            <w:pPr>
              <w:rPr>
                <w:rFonts w:ascii="Times New Roman" w:eastAsia="宋体" w:hAnsi="Times New Roman"/>
                <w:sz w:val="18"/>
                <w:szCs w:val="20"/>
              </w:rPr>
            </w:pPr>
            <w:proofErr w:type="gramStart"/>
            <w:r w:rsidRPr="00F614F9">
              <w:rPr>
                <w:rFonts w:ascii="Times New Roman" w:eastAsia="宋体" w:hAnsi="Times New Roman"/>
                <w:sz w:val="18"/>
                <w:szCs w:val="20"/>
              </w:rPr>
              <w:t>受重要</w:t>
            </w:r>
            <w:proofErr w:type="gramEnd"/>
            <w:r w:rsidRPr="00F614F9">
              <w:rPr>
                <w:rFonts w:ascii="Times New Roman" w:eastAsia="宋体" w:hAnsi="Times New Roman"/>
                <w:sz w:val="18"/>
                <w:szCs w:val="20"/>
              </w:rPr>
              <w:t>影响的报表项目名称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6CDE50" w14:textId="77777777" w:rsidR="001D26E7" w:rsidRPr="00F614F9" w:rsidRDefault="00000000" w:rsidP="007C0164">
            <w:pPr>
              <w:rPr>
                <w:rFonts w:ascii="Times New Roman" w:eastAsia="宋体" w:hAnsi="Times New Roman"/>
                <w:sz w:val="18"/>
                <w:szCs w:val="20"/>
              </w:rPr>
            </w:pPr>
            <w:r w:rsidRPr="00F614F9">
              <w:rPr>
                <w:rFonts w:ascii="Times New Roman" w:eastAsia="宋体" w:hAnsi="Times New Roman"/>
                <w:sz w:val="18"/>
                <w:szCs w:val="20"/>
              </w:rPr>
              <w:t>影响金额</w:t>
            </w:r>
          </w:p>
        </w:tc>
      </w:tr>
      <w:tr w:rsidR="001D26E7" w:rsidRPr="00F614F9" w14:paraId="06570A3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B5469E4" w14:textId="77777777" w:rsidR="001D26E7" w:rsidRPr="00F614F9" w:rsidRDefault="00000000" w:rsidP="007C0164">
            <w:pPr>
              <w:rPr>
                <w:rFonts w:ascii="Times New Roman" w:eastAsia="宋体" w:hAnsi="Times New Roman"/>
                <w:sz w:val="18"/>
                <w:szCs w:val="20"/>
              </w:rPr>
            </w:pPr>
            <w:r w:rsidRPr="00F614F9">
              <w:rPr>
                <w:rFonts w:ascii="Times New Roman" w:eastAsia="宋体" w:hAnsi="Times New Roman"/>
                <w:sz w:val="18"/>
                <w:szCs w:val="20"/>
              </w:rPr>
              <w:t>财政部于</w:t>
            </w:r>
            <w:r w:rsidRPr="00F614F9">
              <w:rPr>
                <w:rFonts w:ascii="Times New Roman" w:eastAsia="宋体" w:hAnsi="Times New Roman"/>
                <w:sz w:val="18"/>
                <w:szCs w:val="20"/>
              </w:rPr>
              <w:t>2022</w:t>
            </w:r>
            <w:r w:rsidRPr="00F614F9">
              <w:rPr>
                <w:rFonts w:ascii="Times New Roman" w:eastAsia="宋体" w:hAnsi="Times New Roman"/>
                <w:sz w:val="18"/>
                <w:szCs w:val="20"/>
              </w:rPr>
              <w:t>年</w:t>
            </w:r>
            <w:r w:rsidRPr="00F614F9">
              <w:rPr>
                <w:rFonts w:ascii="Times New Roman" w:eastAsia="宋体" w:hAnsi="Times New Roman"/>
                <w:sz w:val="18"/>
                <w:szCs w:val="20"/>
              </w:rPr>
              <w:t>12</w:t>
            </w:r>
            <w:r w:rsidRPr="00F614F9">
              <w:rPr>
                <w:rFonts w:ascii="Times New Roman" w:eastAsia="宋体" w:hAnsi="Times New Roman"/>
                <w:sz w:val="18"/>
                <w:szCs w:val="20"/>
              </w:rPr>
              <w:t>月</w:t>
            </w:r>
            <w:r w:rsidRPr="00F614F9">
              <w:rPr>
                <w:rFonts w:ascii="Times New Roman" w:eastAsia="宋体" w:hAnsi="Times New Roman"/>
                <w:sz w:val="18"/>
                <w:szCs w:val="20"/>
              </w:rPr>
              <w:t>13</w:t>
            </w:r>
            <w:r w:rsidRPr="00F614F9">
              <w:rPr>
                <w:rFonts w:ascii="Times New Roman" w:eastAsia="宋体" w:hAnsi="Times New Roman"/>
                <w:sz w:val="18"/>
                <w:szCs w:val="20"/>
              </w:rPr>
              <w:t>日发布了《企业会计准则解释第</w:t>
            </w:r>
            <w:r w:rsidRPr="00F614F9">
              <w:rPr>
                <w:rFonts w:ascii="Times New Roman" w:eastAsia="宋体" w:hAnsi="Times New Roman"/>
                <w:sz w:val="18"/>
                <w:szCs w:val="20"/>
              </w:rPr>
              <w:t>16</w:t>
            </w:r>
            <w:r w:rsidRPr="00F614F9">
              <w:rPr>
                <w:rFonts w:ascii="Times New Roman" w:eastAsia="宋体" w:hAnsi="Times New Roman"/>
                <w:sz w:val="18"/>
                <w:szCs w:val="20"/>
              </w:rPr>
              <w:t>号》（以下简称</w:t>
            </w:r>
            <w:r w:rsidRPr="00F614F9">
              <w:rPr>
                <w:rFonts w:ascii="Times New Roman" w:eastAsia="宋体" w:hAnsi="Times New Roman"/>
                <w:sz w:val="18"/>
                <w:szCs w:val="20"/>
              </w:rPr>
              <w:t>“</w:t>
            </w:r>
            <w:r w:rsidRPr="00F614F9">
              <w:rPr>
                <w:rFonts w:ascii="Times New Roman" w:eastAsia="宋体" w:hAnsi="Times New Roman"/>
                <w:sz w:val="18"/>
                <w:szCs w:val="20"/>
              </w:rPr>
              <w:t>解释</w:t>
            </w:r>
            <w:r w:rsidRPr="00F614F9">
              <w:rPr>
                <w:rFonts w:ascii="Times New Roman" w:eastAsia="宋体" w:hAnsi="Times New Roman"/>
                <w:sz w:val="18"/>
                <w:szCs w:val="20"/>
              </w:rPr>
              <w:t>16</w:t>
            </w:r>
            <w:r w:rsidRPr="00F614F9">
              <w:rPr>
                <w:rFonts w:ascii="Times New Roman" w:eastAsia="宋体" w:hAnsi="Times New Roman"/>
                <w:sz w:val="18"/>
                <w:szCs w:val="20"/>
              </w:rPr>
              <w:t>号</w:t>
            </w:r>
            <w:r w:rsidRPr="00F614F9">
              <w:rPr>
                <w:rFonts w:ascii="Times New Roman" w:eastAsia="宋体" w:hAnsi="Times New Roman"/>
                <w:sz w:val="18"/>
                <w:szCs w:val="20"/>
              </w:rPr>
              <w:t>”</w:t>
            </w:r>
            <w:r w:rsidRPr="00F614F9">
              <w:rPr>
                <w:rFonts w:ascii="Times New Roman" w:eastAsia="宋体" w:hAnsi="Times New Roman"/>
                <w:sz w:val="18"/>
                <w:szCs w:val="20"/>
              </w:rPr>
              <w:t>）</w:t>
            </w:r>
          </w:p>
        </w:tc>
        <w:tc>
          <w:tcPr>
            <w:tcW w:w="3213" w:type="dxa"/>
            <w:tcBorders>
              <w:top w:val="single" w:sz="2" w:space="0" w:color="auto"/>
              <w:left w:val="single" w:sz="2" w:space="0" w:color="auto"/>
              <w:bottom w:val="single" w:sz="2" w:space="0" w:color="auto"/>
              <w:right w:val="single" w:sz="2" w:space="0" w:color="auto"/>
            </w:tcBorders>
            <w:vAlign w:val="center"/>
          </w:tcPr>
          <w:p w14:paraId="306F1464" w14:textId="77777777" w:rsidR="001D26E7" w:rsidRPr="00F614F9" w:rsidRDefault="00000000" w:rsidP="007C0164">
            <w:pPr>
              <w:rPr>
                <w:rFonts w:ascii="Times New Roman" w:eastAsia="宋体" w:hAnsi="Times New Roman"/>
                <w:sz w:val="18"/>
                <w:szCs w:val="20"/>
              </w:rPr>
            </w:pPr>
            <w:r w:rsidRPr="00F614F9">
              <w:rPr>
                <w:rFonts w:ascii="Times New Roman" w:eastAsia="宋体" w:hAnsi="Times New Roman"/>
                <w:sz w:val="18"/>
                <w:szCs w:val="20"/>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306DFB86" w14:textId="77777777" w:rsidR="001D26E7" w:rsidRPr="00F614F9" w:rsidRDefault="00000000" w:rsidP="007C0164">
            <w:pPr>
              <w:rPr>
                <w:rFonts w:ascii="Times New Roman" w:eastAsia="宋体" w:hAnsi="Times New Roman"/>
                <w:sz w:val="18"/>
                <w:szCs w:val="20"/>
              </w:rPr>
            </w:pPr>
            <w:r w:rsidRPr="00F614F9">
              <w:rPr>
                <w:rFonts w:ascii="Times New Roman" w:eastAsia="宋体" w:hAnsi="Times New Roman"/>
                <w:sz w:val="18"/>
                <w:szCs w:val="20"/>
              </w:rPr>
              <w:t>3,698,345.47</w:t>
            </w:r>
          </w:p>
        </w:tc>
      </w:tr>
      <w:tr w:rsidR="001D26E7" w:rsidRPr="00F614F9" w14:paraId="175ADE1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42EAA5A" w14:textId="77777777" w:rsidR="001D26E7" w:rsidRPr="00F614F9" w:rsidRDefault="00000000" w:rsidP="007C0164">
            <w:pPr>
              <w:rPr>
                <w:rFonts w:ascii="Times New Roman" w:eastAsia="宋体" w:hAnsi="Times New Roman"/>
                <w:sz w:val="18"/>
                <w:szCs w:val="20"/>
              </w:rPr>
            </w:pPr>
            <w:r w:rsidRPr="00F614F9">
              <w:rPr>
                <w:rFonts w:ascii="Times New Roman" w:eastAsia="宋体" w:hAnsi="Times New Roman"/>
                <w:sz w:val="18"/>
                <w:szCs w:val="20"/>
              </w:rPr>
              <w:t>财政部于</w:t>
            </w:r>
            <w:r w:rsidRPr="00F614F9">
              <w:rPr>
                <w:rFonts w:ascii="Times New Roman" w:eastAsia="宋体" w:hAnsi="Times New Roman"/>
                <w:sz w:val="18"/>
                <w:szCs w:val="20"/>
              </w:rPr>
              <w:t>2022</w:t>
            </w:r>
            <w:r w:rsidRPr="00F614F9">
              <w:rPr>
                <w:rFonts w:ascii="Times New Roman" w:eastAsia="宋体" w:hAnsi="Times New Roman"/>
                <w:sz w:val="18"/>
                <w:szCs w:val="20"/>
              </w:rPr>
              <w:t>年</w:t>
            </w:r>
            <w:r w:rsidRPr="00F614F9">
              <w:rPr>
                <w:rFonts w:ascii="Times New Roman" w:eastAsia="宋体" w:hAnsi="Times New Roman"/>
                <w:sz w:val="18"/>
                <w:szCs w:val="20"/>
              </w:rPr>
              <w:t>12</w:t>
            </w:r>
            <w:r w:rsidRPr="00F614F9">
              <w:rPr>
                <w:rFonts w:ascii="Times New Roman" w:eastAsia="宋体" w:hAnsi="Times New Roman"/>
                <w:sz w:val="18"/>
                <w:szCs w:val="20"/>
              </w:rPr>
              <w:t>月</w:t>
            </w:r>
            <w:r w:rsidRPr="00F614F9">
              <w:rPr>
                <w:rFonts w:ascii="Times New Roman" w:eastAsia="宋体" w:hAnsi="Times New Roman"/>
                <w:sz w:val="18"/>
                <w:szCs w:val="20"/>
              </w:rPr>
              <w:t>13</w:t>
            </w:r>
            <w:r w:rsidRPr="00F614F9">
              <w:rPr>
                <w:rFonts w:ascii="Times New Roman" w:eastAsia="宋体" w:hAnsi="Times New Roman"/>
                <w:sz w:val="18"/>
                <w:szCs w:val="20"/>
              </w:rPr>
              <w:t>日发布了《企业会计准则解释第</w:t>
            </w:r>
            <w:r w:rsidRPr="00F614F9">
              <w:rPr>
                <w:rFonts w:ascii="Times New Roman" w:eastAsia="宋体" w:hAnsi="Times New Roman"/>
                <w:sz w:val="18"/>
                <w:szCs w:val="20"/>
              </w:rPr>
              <w:t>16</w:t>
            </w:r>
            <w:r w:rsidRPr="00F614F9">
              <w:rPr>
                <w:rFonts w:ascii="Times New Roman" w:eastAsia="宋体" w:hAnsi="Times New Roman"/>
                <w:sz w:val="18"/>
                <w:szCs w:val="20"/>
              </w:rPr>
              <w:t>号》（以下简称</w:t>
            </w:r>
            <w:r w:rsidRPr="00F614F9">
              <w:rPr>
                <w:rFonts w:ascii="Times New Roman" w:eastAsia="宋体" w:hAnsi="Times New Roman"/>
                <w:sz w:val="18"/>
                <w:szCs w:val="20"/>
              </w:rPr>
              <w:t>“</w:t>
            </w:r>
            <w:r w:rsidRPr="00F614F9">
              <w:rPr>
                <w:rFonts w:ascii="Times New Roman" w:eastAsia="宋体" w:hAnsi="Times New Roman"/>
                <w:sz w:val="18"/>
                <w:szCs w:val="20"/>
              </w:rPr>
              <w:t>解释</w:t>
            </w:r>
            <w:r w:rsidRPr="00F614F9">
              <w:rPr>
                <w:rFonts w:ascii="Times New Roman" w:eastAsia="宋体" w:hAnsi="Times New Roman"/>
                <w:sz w:val="18"/>
                <w:szCs w:val="20"/>
              </w:rPr>
              <w:t>16</w:t>
            </w:r>
            <w:r w:rsidRPr="00F614F9">
              <w:rPr>
                <w:rFonts w:ascii="Times New Roman" w:eastAsia="宋体" w:hAnsi="Times New Roman"/>
                <w:sz w:val="18"/>
                <w:szCs w:val="20"/>
              </w:rPr>
              <w:t>号</w:t>
            </w:r>
            <w:r w:rsidRPr="00F614F9">
              <w:rPr>
                <w:rFonts w:ascii="Times New Roman" w:eastAsia="宋体" w:hAnsi="Times New Roman"/>
                <w:sz w:val="18"/>
                <w:szCs w:val="20"/>
              </w:rPr>
              <w:t>”</w:t>
            </w:r>
            <w:r w:rsidRPr="00F614F9">
              <w:rPr>
                <w:rFonts w:ascii="Times New Roman" w:eastAsia="宋体" w:hAnsi="Times New Roman"/>
                <w:sz w:val="18"/>
                <w:szCs w:val="20"/>
              </w:rPr>
              <w:t>）</w:t>
            </w:r>
          </w:p>
        </w:tc>
        <w:tc>
          <w:tcPr>
            <w:tcW w:w="3213" w:type="dxa"/>
            <w:tcBorders>
              <w:top w:val="single" w:sz="2" w:space="0" w:color="auto"/>
              <w:left w:val="single" w:sz="2" w:space="0" w:color="auto"/>
              <w:bottom w:val="single" w:sz="2" w:space="0" w:color="auto"/>
              <w:right w:val="single" w:sz="2" w:space="0" w:color="auto"/>
            </w:tcBorders>
            <w:vAlign w:val="center"/>
          </w:tcPr>
          <w:p w14:paraId="1D4A3383" w14:textId="77777777" w:rsidR="001D26E7" w:rsidRPr="00F614F9" w:rsidRDefault="00000000" w:rsidP="007C0164">
            <w:pPr>
              <w:rPr>
                <w:rFonts w:ascii="Times New Roman" w:eastAsia="宋体" w:hAnsi="Times New Roman"/>
                <w:sz w:val="18"/>
                <w:szCs w:val="20"/>
              </w:rPr>
            </w:pPr>
            <w:r w:rsidRPr="00F614F9">
              <w:rPr>
                <w:rFonts w:ascii="Times New Roman" w:eastAsia="宋体" w:hAnsi="Times New Roman"/>
                <w:sz w:val="18"/>
                <w:szCs w:val="20"/>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42A6E2E2" w14:textId="77777777" w:rsidR="001D26E7" w:rsidRPr="00F614F9" w:rsidRDefault="00000000" w:rsidP="007C0164">
            <w:pPr>
              <w:rPr>
                <w:rFonts w:ascii="Times New Roman" w:eastAsia="宋体" w:hAnsi="Times New Roman"/>
                <w:sz w:val="18"/>
                <w:szCs w:val="20"/>
              </w:rPr>
            </w:pPr>
            <w:r w:rsidRPr="00F614F9">
              <w:rPr>
                <w:rFonts w:ascii="Times New Roman" w:eastAsia="宋体" w:hAnsi="Times New Roman"/>
                <w:sz w:val="18"/>
                <w:szCs w:val="20"/>
              </w:rPr>
              <w:t>3,771,572.25</w:t>
            </w:r>
          </w:p>
        </w:tc>
      </w:tr>
      <w:tr w:rsidR="001D26E7" w:rsidRPr="00F614F9" w14:paraId="3C59F53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4068746" w14:textId="77777777" w:rsidR="001D26E7" w:rsidRPr="00F614F9" w:rsidRDefault="00000000" w:rsidP="007C0164">
            <w:pPr>
              <w:rPr>
                <w:rFonts w:ascii="Times New Roman" w:eastAsia="宋体" w:hAnsi="Times New Roman"/>
                <w:sz w:val="18"/>
                <w:szCs w:val="20"/>
              </w:rPr>
            </w:pPr>
            <w:r w:rsidRPr="00F614F9">
              <w:rPr>
                <w:rFonts w:ascii="Times New Roman" w:eastAsia="宋体" w:hAnsi="Times New Roman"/>
                <w:sz w:val="18"/>
                <w:szCs w:val="20"/>
              </w:rPr>
              <w:t>财政部于</w:t>
            </w:r>
            <w:r w:rsidRPr="00F614F9">
              <w:rPr>
                <w:rFonts w:ascii="Times New Roman" w:eastAsia="宋体" w:hAnsi="Times New Roman"/>
                <w:sz w:val="18"/>
                <w:szCs w:val="20"/>
              </w:rPr>
              <w:t>2022</w:t>
            </w:r>
            <w:r w:rsidRPr="00F614F9">
              <w:rPr>
                <w:rFonts w:ascii="Times New Roman" w:eastAsia="宋体" w:hAnsi="Times New Roman"/>
                <w:sz w:val="18"/>
                <w:szCs w:val="20"/>
              </w:rPr>
              <w:t>年</w:t>
            </w:r>
            <w:r w:rsidRPr="00F614F9">
              <w:rPr>
                <w:rFonts w:ascii="Times New Roman" w:eastAsia="宋体" w:hAnsi="Times New Roman"/>
                <w:sz w:val="18"/>
                <w:szCs w:val="20"/>
              </w:rPr>
              <w:t>12</w:t>
            </w:r>
            <w:r w:rsidRPr="00F614F9">
              <w:rPr>
                <w:rFonts w:ascii="Times New Roman" w:eastAsia="宋体" w:hAnsi="Times New Roman"/>
                <w:sz w:val="18"/>
                <w:szCs w:val="20"/>
              </w:rPr>
              <w:t>月</w:t>
            </w:r>
            <w:r w:rsidRPr="00F614F9">
              <w:rPr>
                <w:rFonts w:ascii="Times New Roman" w:eastAsia="宋体" w:hAnsi="Times New Roman"/>
                <w:sz w:val="18"/>
                <w:szCs w:val="20"/>
              </w:rPr>
              <w:t>13</w:t>
            </w:r>
            <w:r w:rsidRPr="00F614F9">
              <w:rPr>
                <w:rFonts w:ascii="Times New Roman" w:eastAsia="宋体" w:hAnsi="Times New Roman"/>
                <w:sz w:val="18"/>
                <w:szCs w:val="20"/>
              </w:rPr>
              <w:t>日发布了《企业会计准则解释第</w:t>
            </w:r>
            <w:r w:rsidRPr="00F614F9">
              <w:rPr>
                <w:rFonts w:ascii="Times New Roman" w:eastAsia="宋体" w:hAnsi="Times New Roman"/>
                <w:sz w:val="18"/>
                <w:szCs w:val="20"/>
              </w:rPr>
              <w:t>16</w:t>
            </w:r>
            <w:r w:rsidRPr="00F614F9">
              <w:rPr>
                <w:rFonts w:ascii="Times New Roman" w:eastAsia="宋体" w:hAnsi="Times New Roman"/>
                <w:sz w:val="18"/>
                <w:szCs w:val="20"/>
              </w:rPr>
              <w:t>号》（以下简称</w:t>
            </w:r>
            <w:r w:rsidRPr="00F614F9">
              <w:rPr>
                <w:rFonts w:ascii="Times New Roman" w:eastAsia="宋体" w:hAnsi="Times New Roman"/>
                <w:sz w:val="18"/>
                <w:szCs w:val="20"/>
              </w:rPr>
              <w:t>“</w:t>
            </w:r>
            <w:r w:rsidRPr="00F614F9">
              <w:rPr>
                <w:rFonts w:ascii="Times New Roman" w:eastAsia="宋体" w:hAnsi="Times New Roman"/>
                <w:sz w:val="18"/>
                <w:szCs w:val="20"/>
              </w:rPr>
              <w:t>解释</w:t>
            </w:r>
            <w:r w:rsidRPr="00F614F9">
              <w:rPr>
                <w:rFonts w:ascii="Times New Roman" w:eastAsia="宋体" w:hAnsi="Times New Roman"/>
                <w:sz w:val="18"/>
                <w:szCs w:val="20"/>
              </w:rPr>
              <w:t>16</w:t>
            </w:r>
            <w:r w:rsidRPr="00F614F9">
              <w:rPr>
                <w:rFonts w:ascii="Times New Roman" w:eastAsia="宋体" w:hAnsi="Times New Roman"/>
                <w:sz w:val="18"/>
                <w:szCs w:val="20"/>
              </w:rPr>
              <w:t>号</w:t>
            </w:r>
            <w:r w:rsidRPr="00F614F9">
              <w:rPr>
                <w:rFonts w:ascii="Times New Roman" w:eastAsia="宋体" w:hAnsi="Times New Roman"/>
                <w:sz w:val="18"/>
                <w:szCs w:val="20"/>
              </w:rPr>
              <w:t>”</w:t>
            </w:r>
            <w:r w:rsidRPr="00F614F9">
              <w:rPr>
                <w:rFonts w:ascii="Times New Roman" w:eastAsia="宋体" w:hAnsi="Times New Roman"/>
                <w:sz w:val="18"/>
                <w:szCs w:val="20"/>
              </w:rPr>
              <w:t>）</w:t>
            </w:r>
          </w:p>
        </w:tc>
        <w:tc>
          <w:tcPr>
            <w:tcW w:w="3213" w:type="dxa"/>
            <w:tcBorders>
              <w:top w:val="single" w:sz="2" w:space="0" w:color="auto"/>
              <w:left w:val="single" w:sz="2" w:space="0" w:color="auto"/>
              <w:bottom w:val="single" w:sz="2" w:space="0" w:color="auto"/>
              <w:right w:val="single" w:sz="2" w:space="0" w:color="auto"/>
            </w:tcBorders>
            <w:vAlign w:val="center"/>
          </w:tcPr>
          <w:p w14:paraId="59805262" w14:textId="77777777" w:rsidR="001D26E7" w:rsidRPr="00F614F9" w:rsidRDefault="00000000" w:rsidP="007C0164">
            <w:pPr>
              <w:rPr>
                <w:rFonts w:ascii="Times New Roman" w:eastAsia="宋体" w:hAnsi="Times New Roman"/>
                <w:sz w:val="18"/>
                <w:szCs w:val="20"/>
              </w:rPr>
            </w:pPr>
            <w:r w:rsidRPr="00F614F9">
              <w:rPr>
                <w:rFonts w:ascii="Times New Roman" w:eastAsia="宋体" w:hAnsi="Times New Roman"/>
                <w:sz w:val="18"/>
                <w:szCs w:val="20"/>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2AE55E28" w14:textId="77777777" w:rsidR="001D26E7" w:rsidRPr="00F614F9" w:rsidRDefault="00000000" w:rsidP="007C0164">
            <w:pPr>
              <w:rPr>
                <w:rFonts w:ascii="Times New Roman" w:eastAsia="宋体" w:hAnsi="Times New Roman"/>
                <w:sz w:val="18"/>
                <w:szCs w:val="20"/>
              </w:rPr>
            </w:pPr>
            <w:r w:rsidRPr="00F614F9">
              <w:rPr>
                <w:rFonts w:ascii="Times New Roman" w:eastAsia="宋体" w:hAnsi="Times New Roman"/>
                <w:sz w:val="18"/>
                <w:szCs w:val="20"/>
              </w:rPr>
              <w:t>-72,221.95</w:t>
            </w:r>
          </w:p>
        </w:tc>
      </w:tr>
      <w:tr w:rsidR="001D26E7" w:rsidRPr="00F614F9" w14:paraId="55DE903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221A3F6" w14:textId="77777777" w:rsidR="001D26E7" w:rsidRPr="00F614F9" w:rsidRDefault="00000000" w:rsidP="007C0164">
            <w:pPr>
              <w:rPr>
                <w:rFonts w:ascii="Times New Roman" w:eastAsia="宋体" w:hAnsi="Times New Roman"/>
                <w:sz w:val="18"/>
                <w:szCs w:val="20"/>
              </w:rPr>
            </w:pPr>
            <w:r w:rsidRPr="00F614F9">
              <w:rPr>
                <w:rFonts w:ascii="Times New Roman" w:eastAsia="宋体" w:hAnsi="Times New Roman"/>
                <w:sz w:val="18"/>
                <w:szCs w:val="20"/>
              </w:rPr>
              <w:t>财政部于</w:t>
            </w:r>
            <w:r w:rsidRPr="00F614F9">
              <w:rPr>
                <w:rFonts w:ascii="Times New Roman" w:eastAsia="宋体" w:hAnsi="Times New Roman"/>
                <w:sz w:val="18"/>
                <w:szCs w:val="20"/>
              </w:rPr>
              <w:t>2022</w:t>
            </w:r>
            <w:r w:rsidRPr="00F614F9">
              <w:rPr>
                <w:rFonts w:ascii="Times New Roman" w:eastAsia="宋体" w:hAnsi="Times New Roman"/>
                <w:sz w:val="18"/>
                <w:szCs w:val="20"/>
              </w:rPr>
              <w:t>年</w:t>
            </w:r>
            <w:r w:rsidRPr="00F614F9">
              <w:rPr>
                <w:rFonts w:ascii="Times New Roman" w:eastAsia="宋体" w:hAnsi="Times New Roman"/>
                <w:sz w:val="18"/>
                <w:szCs w:val="20"/>
              </w:rPr>
              <w:t>12</w:t>
            </w:r>
            <w:r w:rsidRPr="00F614F9">
              <w:rPr>
                <w:rFonts w:ascii="Times New Roman" w:eastAsia="宋体" w:hAnsi="Times New Roman"/>
                <w:sz w:val="18"/>
                <w:szCs w:val="20"/>
              </w:rPr>
              <w:t>月</w:t>
            </w:r>
            <w:r w:rsidRPr="00F614F9">
              <w:rPr>
                <w:rFonts w:ascii="Times New Roman" w:eastAsia="宋体" w:hAnsi="Times New Roman"/>
                <w:sz w:val="18"/>
                <w:szCs w:val="20"/>
              </w:rPr>
              <w:t>13</w:t>
            </w:r>
            <w:r w:rsidRPr="00F614F9">
              <w:rPr>
                <w:rFonts w:ascii="Times New Roman" w:eastAsia="宋体" w:hAnsi="Times New Roman"/>
                <w:sz w:val="18"/>
                <w:szCs w:val="20"/>
              </w:rPr>
              <w:t>日发布了《企业会计准则解释第</w:t>
            </w:r>
            <w:r w:rsidRPr="00F614F9">
              <w:rPr>
                <w:rFonts w:ascii="Times New Roman" w:eastAsia="宋体" w:hAnsi="Times New Roman"/>
                <w:sz w:val="18"/>
                <w:szCs w:val="20"/>
              </w:rPr>
              <w:t>16</w:t>
            </w:r>
            <w:r w:rsidRPr="00F614F9">
              <w:rPr>
                <w:rFonts w:ascii="Times New Roman" w:eastAsia="宋体" w:hAnsi="Times New Roman"/>
                <w:sz w:val="18"/>
                <w:szCs w:val="20"/>
              </w:rPr>
              <w:t>号》（以下简称</w:t>
            </w:r>
            <w:r w:rsidRPr="00F614F9">
              <w:rPr>
                <w:rFonts w:ascii="Times New Roman" w:eastAsia="宋体" w:hAnsi="Times New Roman"/>
                <w:sz w:val="18"/>
                <w:szCs w:val="20"/>
              </w:rPr>
              <w:t>“</w:t>
            </w:r>
            <w:r w:rsidRPr="00F614F9">
              <w:rPr>
                <w:rFonts w:ascii="Times New Roman" w:eastAsia="宋体" w:hAnsi="Times New Roman"/>
                <w:sz w:val="18"/>
                <w:szCs w:val="20"/>
              </w:rPr>
              <w:t>解释</w:t>
            </w:r>
            <w:r w:rsidRPr="00F614F9">
              <w:rPr>
                <w:rFonts w:ascii="Times New Roman" w:eastAsia="宋体" w:hAnsi="Times New Roman"/>
                <w:sz w:val="18"/>
                <w:szCs w:val="20"/>
              </w:rPr>
              <w:t>16</w:t>
            </w:r>
            <w:r w:rsidRPr="00F614F9">
              <w:rPr>
                <w:rFonts w:ascii="Times New Roman" w:eastAsia="宋体" w:hAnsi="Times New Roman"/>
                <w:sz w:val="18"/>
                <w:szCs w:val="20"/>
              </w:rPr>
              <w:t>号</w:t>
            </w:r>
            <w:r w:rsidRPr="00F614F9">
              <w:rPr>
                <w:rFonts w:ascii="Times New Roman" w:eastAsia="宋体" w:hAnsi="Times New Roman"/>
                <w:sz w:val="18"/>
                <w:szCs w:val="20"/>
              </w:rPr>
              <w:t>”</w:t>
            </w:r>
            <w:r w:rsidRPr="00F614F9">
              <w:rPr>
                <w:rFonts w:ascii="Times New Roman" w:eastAsia="宋体" w:hAnsi="Times New Roman"/>
                <w:sz w:val="18"/>
                <w:szCs w:val="20"/>
              </w:rPr>
              <w:t>）</w:t>
            </w:r>
          </w:p>
        </w:tc>
        <w:tc>
          <w:tcPr>
            <w:tcW w:w="3213" w:type="dxa"/>
            <w:tcBorders>
              <w:top w:val="single" w:sz="2" w:space="0" w:color="auto"/>
              <w:left w:val="single" w:sz="2" w:space="0" w:color="auto"/>
              <w:bottom w:val="single" w:sz="2" w:space="0" w:color="auto"/>
              <w:right w:val="single" w:sz="2" w:space="0" w:color="auto"/>
            </w:tcBorders>
            <w:vAlign w:val="center"/>
          </w:tcPr>
          <w:p w14:paraId="3F9BF1CE" w14:textId="77777777" w:rsidR="001D26E7" w:rsidRPr="00F614F9" w:rsidRDefault="00000000" w:rsidP="007C0164">
            <w:pPr>
              <w:rPr>
                <w:rFonts w:ascii="Times New Roman" w:eastAsia="宋体" w:hAnsi="Times New Roman"/>
                <w:sz w:val="18"/>
                <w:szCs w:val="20"/>
              </w:rPr>
            </w:pPr>
            <w:r w:rsidRPr="00F614F9">
              <w:rPr>
                <w:rFonts w:ascii="Times New Roman" w:eastAsia="宋体" w:hAnsi="Times New Roman"/>
                <w:sz w:val="18"/>
                <w:szCs w:val="20"/>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5C9832B7" w14:textId="77777777" w:rsidR="001D26E7" w:rsidRPr="00F614F9" w:rsidRDefault="00000000" w:rsidP="007C0164">
            <w:pPr>
              <w:rPr>
                <w:rFonts w:ascii="Times New Roman" w:eastAsia="宋体" w:hAnsi="Times New Roman"/>
                <w:sz w:val="18"/>
                <w:szCs w:val="20"/>
              </w:rPr>
            </w:pPr>
            <w:r w:rsidRPr="00F614F9">
              <w:rPr>
                <w:rFonts w:ascii="Times New Roman" w:eastAsia="宋体" w:hAnsi="Times New Roman"/>
                <w:sz w:val="18"/>
                <w:szCs w:val="20"/>
              </w:rPr>
              <w:t>-1,004.82</w:t>
            </w:r>
          </w:p>
        </w:tc>
      </w:tr>
    </w:tbl>
    <w:p w14:paraId="5650545E" w14:textId="77777777" w:rsidR="001D26E7" w:rsidRPr="00F614F9" w:rsidRDefault="001D26E7">
      <w:pPr>
        <w:spacing w:before="100" w:after="100" w:line="0" w:lineRule="atLeast"/>
        <w:rPr>
          <w:rFonts w:ascii="Times New Roman" w:hAnsi="Times New Roman"/>
        </w:rPr>
      </w:pPr>
    </w:p>
    <w:p w14:paraId="62C17CAD" w14:textId="77777777" w:rsidR="00872599" w:rsidRPr="00F614F9" w:rsidRDefault="00000000" w:rsidP="007C0164">
      <w:pPr>
        <w:pStyle w:val="a3"/>
        <w:spacing w:before="0" w:beforeAutospacing="0" w:after="0" w:afterAutospacing="0" w:line="276" w:lineRule="auto"/>
        <w:ind w:firstLine="360"/>
        <w:jc w:val="both"/>
        <w:divId w:val="1839272536"/>
        <w:rPr>
          <w:rFonts w:ascii="Times New Roman" w:hAnsi="Times New Roman" w:cs="Times New Roman"/>
          <w:sz w:val="21"/>
          <w:szCs w:val="21"/>
        </w:rPr>
      </w:pPr>
      <w:r w:rsidRPr="00F614F9">
        <w:rPr>
          <w:rFonts w:ascii="Times New Roman" w:hAnsi="Times New Roman" w:cs="Times New Roman" w:hint="eastAsia"/>
          <w:sz w:val="18"/>
          <w:szCs w:val="18"/>
        </w:rPr>
        <w:t>财政部于</w:t>
      </w:r>
      <w:r w:rsidRPr="00F614F9">
        <w:rPr>
          <w:rFonts w:ascii="Times New Roman" w:hAnsi="Times New Roman" w:cs="Times New Roman" w:hint="eastAsia"/>
          <w:sz w:val="18"/>
          <w:szCs w:val="18"/>
        </w:rPr>
        <w:t>2022</w:t>
      </w:r>
      <w:r w:rsidRPr="00F614F9">
        <w:rPr>
          <w:rFonts w:ascii="Times New Roman" w:hAnsi="Times New Roman" w:cs="Times New Roman" w:hint="eastAsia"/>
          <w:sz w:val="18"/>
          <w:szCs w:val="18"/>
        </w:rPr>
        <w:t>年</w:t>
      </w:r>
      <w:r w:rsidRPr="00F614F9">
        <w:rPr>
          <w:rFonts w:ascii="Times New Roman" w:hAnsi="Times New Roman" w:cs="Times New Roman" w:hint="eastAsia"/>
          <w:sz w:val="18"/>
          <w:szCs w:val="18"/>
        </w:rPr>
        <w:t>12</w:t>
      </w:r>
      <w:r w:rsidRPr="00F614F9">
        <w:rPr>
          <w:rFonts w:ascii="Times New Roman" w:hAnsi="Times New Roman" w:cs="Times New Roman" w:hint="eastAsia"/>
          <w:sz w:val="18"/>
          <w:szCs w:val="18"/>
        </w:rPr>
        <w:t>月</w:t>
      </w:r>
      <w:r w:rsidRPr="00F614F9">
        <w:rPr>
          <w:rFonts w:ascii="Times New Roman" w:hAnsi="Times New Roman" w:cs="Times New Roman" w:hint="eastAsia"/>
          <w:sz w:val="18"/>
          <w:szCs w:val="18"/>
        </w:rPr>
        <w:t>13</w:t>
      </w:r>
      <w:r w:rsidRPr="00F614F9">
        <w:rPr>
          <w:rFonts w:ascii="Times New Roman" w:hAnsi="Times New Roman" w:cs="Times New Roman" w:hint="eastAsia"/>
          <w:sz w:val="18"/>
          <w:szCs w:val="18"/>
        </w:rPr>
        <w:t>日发布了《企业会计准则解释第</w:t>
      </w:r>
      <w:r w:rsidRPr="00F614F9">
        <w:rPr>
          <w:rFonts w:ascii="Times New Roman" w:hAnsi="Times New Roman" w:cs="Times New Roman" w:hint="eastAsia"/>
          <w:sz w:val="18"/>
          <w:szCs w:val="18"/>
        </w:rPr>
        <w:t>16</w:t>
      </w:r>
      <w:r w:rsidRPr="00F614F9">
        <w:rPr>
          <w:rFonts w:ascii="Times New Roman" w:hAnsi="Times New Roman" w:cs="Times New Roman" w:hint="eastAsia"/>
          <w:sz w:val="18"/>
          <w:szCs w:val="18"/>
        </w:rPr>
        <w:t>号》（以下简称“解释</w:t>
      </w:r>
      <w:r w:rsidRPr="00F614F9">
        <w:rPr>
          <w:rFonts w:ascii="Times New Roman" w:hAnsi="Times New Roman" w:cs="Times New Roman" w:hint="eastAsia"/>
          <w:sz w:val="18"/>
          <w:szCs w:val="18"/>
        </w:rPr>
        <w:t>16</w:t>
      </w:r>
      <w:r w:rsidRPr="00F614F9">
        <w:rPr>
          <w:rFonts w:ascii="Times New Roman" w:hAnsi="Times New Roman" w:cs="Times New Roman" w:hint="eastAsia"/>
          <w:sz w:val="18"/>
          <w:szCs w:val="18"/>
        </w:rPr>
        <w:t>号”）。根据解释</w:t>
      </w:r>
      <w:r w:rsidRPr="00F614F9">
        <w:rPr>
          <w:rFonts w:ascii="Times New Roman" w:hAnsi="Times New Roman" w:cs="Times New Roman" w:hint="eastAsia"/>
          <w:sz w:val="18"/>
          <w:szCs w:val="18"/>
        </w:rPr>
        <w:t>16</w:t>
      </w:r>
      <w:r w:rsidRPr="00F614F9">
        <w:rPr>
          <w:rFonts w:ascii="Times New Roman" w:hAnsi="Times New Roman" w:cs="Times New Roman" w:hint="eastAsia"/>
          <w:sz w:val="18"/>
          <w:szCs w:val="18"/>
        </w:rPr>
        <w:t>号：</w:t>
      </w:r>
    </w:p>
    <w:p w14:paraId="33D8F395" w14:textId="77777777" w:rsidR="00872599" w:rsidRPr="00F614F9" w:rsidRDefault="00000000" w:rsidP="007C0164">
      <w:pPr>
        <w:pStyle w:val="a3"/>
        <w:spacing w:before="0" w:beforeAutospacing="0" w:after="0" w:afterAutospacing="0" w:line="276" w:lineRule="auto"/>
        <w:ind w:firstLine="360"/>
        <w:jc w:val="both"/>
        <w:divId w:val="1839272536"/>
        <w:rPr>
          <w:rFonts w:ascii="Times New Roman" w:hAnsi="Times New Roman" w:cs="Times New Roman"/>
          <w:sz w:val="21"/>
          <w:szCs w:val="21"/>
        </w:rPr>
      </w:pPr>
      <w:r w:rsidRPr="00F614F9">
        <w:rPr>
          <w:rFonts w:ascii="Times New Roman" w:hAnsi="Times New Roman" w:cs="Times New Roman" w:hint="eastAsia"/>
          <w:sz w:val="18"/>
          <w:szCs w:val="18"/>
        </w:rPr>
        <w:t>A</w:t>
      </w:r>
      <w:r w:rsidRPr="00F614F9">
        <w:rPr>
          <w:rFonts w:ascii="Times New Roman" w:hAnsi="Times New Roman" w:cs="Times New Roman" w:hint="eastAsia"/>
          <w:sz w:val="18"/>
          <w:szCs w:val="18"/>
        </w:rPr>
        <w:t>、对于不是企业合并、交易发生时既不影响会计利润也不影响应纳税所得额（或可抵扣亏损）、且初始确认的资产和负债导致产生等额应纳税暂时性差异和可抵扣暂时性差异的单项交易，不再豁免初始确认递延所得税负债和递延所得税资产。本集团对该类交易因资产和负债的初始确认所产生的应纳税暂时性差异和可抵扣暂时性差异，在交易发生时分别确认相应的递延所得税负债和递延所得税资产。根据解释</w:t>
      </w:r>
      <w:r w:rsidRPr="00F614F9">
        <w:rPr>
          <w:rFonts w:ascii="Times New Roman" w:hAnsi="Times New Roman" w:cs="Times New Roman" w:hint="eastAsia"/>
          <w:sz w:val="18"/>
          <w:szCs w:val="18"/>
        </w:rPr>
        <w:t>16</w:t>
      </w:r>
      <w:r w:rsidRPr="00F614F9">
        <w:rPr>
          <w:rFonts w:ascii="Times New Roman" w:hAnsi="Times New Roman" w:cs="Times New Roman" w:hint="eastAsia"/>
          <w:sz w:val="18"/>
          <w:szCs w:val="18"/>
        </w:rPr>
        <w:t>号的规定允许，本集团决定于</w:t>
      </w:r>
      <w:r w:rsidRPr="00F614F9">
        <w:rPr>
          <w:rFonts w:ascii="Times New Roman" w:hAnsi="Times New Roman" w:cs="Times New Roman" w:hint="eastAsia"/>
          <w:sz w:val="18"/>
          <w:szCs w:val="18"/>
        </w:rPr>
        <w:t>2023</w:t>
      </w:r>
      <w:r w:rsidRPr="00F614F9">
        <w:rPr>
          <w:rFonts w:ascii="Times New Roman" w:hAnsi="Times New Roman" w:cs="Times New Roman" w:hint="eastAsia"/>
          <w:sz w:val="18"/>
          <w:szCs w:val="18"/>
        </w:rPr>
        <w:t>年</w:t>
      </w:r>
      <w:r w:rsidRPr="00F614F9">
        <w:rPr>
          <w:rFonts w:ascii="Times New Roman" w:hAnsi="Times New Roman" w:cs="Times New Roman" w:hint="eastAsia"/>
          <w:sz w:val="18"/>
          <w:szCs w:val="18"/>
        </w:rPr>
        <w:t>1</w:t>
      </w:r>
      <w:r w:rsidRPr="00F614F9">
        <w:rPr>
          <w:rFonts w:ascii="Times New Roman" w:hAnsi="Times New Roman" w:cs="Times New Roman" w:hint="eastAsia"/>
          <w:sz w:val="18"/>
          <w:szCs w:val="18"/>
        </w:rPr>
        <w:t>月</w:t>
      </w:r>
      <w:r w:rsidRPr="00F614F9">
        <w:rPr>
          <w:rFonts w:ascii="Times New Roman" w:hAnsi="Times New Roman" w:cs="Times New Roman" w:hint="eastAsia"/>
          <w:sz w:val="18"/>
          <w:szCs w:val="18"/>
        </w:rPr>
        <w:t>1</w:t>
      </w:r>
      <w:r w:rsidRPr="00F614F9">
        <w:rPr>
          <w:rFonts w:ascii="Times New Roman" w:hAnsi="Times New Roman" w:cs="Times New Roman" w:hint="eastAsia"/>
          <w:sz w:val="18"/>
          <w:szCs w:val="18"/>
        </w:rPr>
        <w:t>日执行上述规定。</w:t>
      </w:r>
    </w:p>
    <w:p w14:paraId="250562D6"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306" w:name="_Toc989121"/>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2</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重要会计估计变更</w:t>
      </w:r>
      <w:bookmarkEnd w:id="306"/>
    </w:p>
    <w:p w14:paraId="5AAD7F10"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CF0620D"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307" w:name="_Toc989122"/>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3</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2023</w:t>
      </w:r>
      <w:r w:rsidRPr="00F614F9">
        <w:rPr>
          <w:rFonts w:ascii="Times New Roman" w:eastAsia="宋体" w:hAnsi="Times New Roman" w:cs="宋体"/>
          <w:b/>
          <w:bCs/>
          <w:sz w:val="18"/>
          <w:szCs w:val="18"/>
        </w:rPr>
        <w:t>年起首次执行新会计准则调整首次执行当年年初财务报表相关项目情况</w:t>
      </w:r>
      <w:bookmarkEnd w:id="307"/>
    </w:p>
    <w:p w14:paraId="3CEE736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22CCFDD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调整情况说明</w:t>
      </w:r>
    </w:p>
    <w:p w14:paraId="2D341F3E" w14:textId="77777777" w:rsidR="00872599" w:rsidRPr="00F614F9" w:rsidRDefault="00000000">
      <w:pPr>
        <w:pStyle w:val="a3"/>
        <w:spacing w:before="0" w:beforeAutospacing="0" w:after="0" w:afterAutospacing="0" w:line="460" w:lineRule="atLeast"/>
        <w:ind w:firstLine="360"/>
        <w:jc w:val="both"/>
        <w:divId w:val="1694647166"/>
        <w:rPr>
          <w:rFonts w:ascii="Times New Roman" w:hAnsi="Times New Roman" w:cs="Times New Roman"/>
          <w:sz w:val="21"/>
          <w:szCs w:val="21"/>
        </w:rPr>
      </w:pPr>
      <w:r w:rsidRPr="00F614F9">
        <w:rPr>
          <w:rFonts w:ascii="Times New Roman" w:hAnsi="Times New Roman" w:cs="Times New Roman" w:hint="eastAsia"/>
          <w:sz w:val="18"/>
          <w:szCs w:val="18"/>
        </w:rPr>
        <w:t>根据《解释</w:t>
      </w:r>
      <w:r w:rsidRPr="00F614F9">
        <w:rPr>
          <w:rFonts w:ascii="Times New Roman" w:hAnsi="Times New Roman" w:cs="Times New Roman" w:hint="eastAsia"/>
          <w:sz w:val="18"/>
          <w:szCs w:val="18"/>
        </w:rPr>
        <w:t>16</w:t>
      </w:r>
      <w:r w:rsidRPr="00F614F9">
        <w:rPr>
          <w:rFonts w:ascii="Times New Roman" w:hAnsi="Times New Roman" w:cs="Times New Roman" w:hint="eastAsia"/>
          <w:sz w:val="18"/>
          <w:szCs w:val="18"/>
        </w:rPr>
        <w:t>号》的相关规定，其会计政策变更对</w:t>
      </w:r>
      <w:r w:rsidRPr="00F614F9">
        <w:rPr>
          <w:rFonts w:ascii="Times New Roman" w:hAnsi="Times New Roman" w:cs="Times New Roman" w:hint="eastAsia"/>
          <w:sz w:val="18"/>
          <w:szCs w:val="18"/>
        </w:rPr>
        <w:t>2023</w:t>
      </w:r>
      <w:r w:rsidRPr="00F614F9">
        <w:rPr>
          <w:rFonts w:ascii="Times New Roman" w:hAnsi="Times New Roman" w:cs="Times New Roman" w:hint="eastAsia"/>
          <w:sz w:val="18"/>
          <w:szCs w:val="18"/>
        </w:rPr>
        <w:t>年</w:t>
      </w:r>
      <w:r w:rsidRPr="00F614F9">
        <w:rPr>
          <w:rFonts w:ascii="Times New Roman" w:hAnsi="Times New Roman" w:cs="Times New Roman" w:hint="eastAsia"/>
          <w:sz w:val="18"/>
          <w:szCs w:val="18"/>
        </w:rPr>
        <w:t>1</w:t>
      </w:r>
      <w:r w:rsidRPr="00F614F9">
        <w:rPr>
          <w:rFonts w:ascii="Times New Roman" w:hAnsi="Times New Roman" w:cs="Times New Roman" w:hint="eastAsia"/>
          <w:sz w:val="18"/>
          <w:szCs w:val="18"/>
        </w:rPr>
        <w:t>月</w:t>
      </w:r>
      <w:r w:rsidRPr="00F614F9">
        <w:rPr>
          <w:rFonts w:ascii="Times New Roman" w:hAnsi="Times New Roman" w:cs="Times New Roman" w:hint="eastAsia"/>
          <w:sz w:val="18"/>
          <w:szCs w:val="18"/>
        </w:rPr>
        <w:t>1</w:t>
      </w:r>
      <w:r w:rsidRPr="00F614F9">
        <w:rPr>
          <w:rFonts w:ascii="Times New Roman" w:hAnsi="Times New Roman" w:cs="Times New Roman" w:hint="eastAsia"/>
          <w:sz w:val="18"/>
          <w:szCs w:val="18"/>
        </w:rPr>
        <w:t>日财务报表的影响如下：</w:t>
      </w:r>
    </w:p>
    <w:tbl>
      <w:tblPr>
        <w:tblW w:w="9204" w:type="dxa"/>
        <w:jc w:val="center"/>
        <w:tblCellMar>
          <w:top w:w="15" w:type="dxa"/>
          <w:left w:w="15" w:type="dxa"/>
          <w:bottom w:w="15" w:type="dxa"/>
          <w:right w:w="15" w:type="dxa"/>
        </w:tblCellMar>
        <w:tblLook w:val="04A0" w:firstRow="1" w:lastRow="0" w:firstColumn="1" w:lastColumn="0" w:noHBand="0" w:noVBand="1"/>
      </w:tblPr>
      <w:tblGrid>
        <w:gridCol w:w="1559"/>
        <w:gridCol w:w="2117"/>
        <w:gridCol w:w="1860"/>
        <w:gridCol w:w="1825"/>
        <w:gridCol w:w="1843"/>
      </w:tblGrid>
      <w:tr w:rsidR="00872599" w:rsidRPr="00BE4446" w14:paraId="121C66B9" w14:textId="77777777" w:rsidTr="00BE4446">
        <w:trPr>
          <w:divId w:val="1694647166"/>
          <w:trHeight w:val="312"/>
          <w:jc w:val="center"/>
        </w:trPr>
        <w:tc>
          <w:tcPr>
            <w:tcW w:w="1559"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39F4F16" w14:textId="77777777" w:rsidR="00872599" w:rsidRPr="00BE4446" w:rsidRDefault="00000000" w:rsidP="00BE4446">
            <w:pPr>
              <w:rPr>
                <w:rFonts w:ascii="宋体" w:eastAsia="宋体" w:hAnsi="宋体"/>
                <w:sz w:val="18"/>
                <w:szCs w:val="18"/>
              </w:rPr>
            </w:pPr>
            <w:r w:rsidRPr="00BE4446">
              <w:rPr>
                <w:rFonts w:ascii="宋体" w:eastAsia="宋体" w:hAnsi="宋体" w:hint="eastAsia"/>
                <w:sz w:val="18"/>
                <w:szCs w:val="18"/>
              </w:rPr>
              <w:t>报表项目</w:t>
            </w:r>
          </w:p>
        </w:tc>
        <w:tc>
          <w:tcPr>
            <w:tcW w:w="3977"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1A9D65C" w14:textId="77777777" w:rsidR="00872599" w:rsidRPr="00BE4446" w:rsidRDefault="00000000" w:rsidP="00BE4446">
            <w:pPr>
              <w:rPr>
                <w:rFonts w:ascii="宋体" w:eastAsia="宋体" w:hAnsi="宋体"/>
                <w:sz w:val="18"/>
                <w:szCs w:val="18"/>
              </w:rPr>
            </w:pPr>
            <w:r w:rsidRPr="00BE4446">
              <w:rPr>
                <w:rFonts w:ascii="宋体" w:eastAsia="宋体" w:hAnsi="宋体" w:hint="eastAsia"/>
                <w:sz w:val="18"/>
                <w:szCs w:val="18"/>
              </w:rPr>
              <w:t>2022年12月31日（变更前）金额</w:t>
            </w:r>
          </w:p>
        </w:tc>
        <w:tc>
          <w:tcPr>
            <w:tcW w:w="3668"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B915951" w14:textId="77777777" w:rsidR="00872599" w:rsidRPr="00BE4446" w:rsidRDefault="00000000" w:rsidP="00BE4446">
            <w:pPr>
              <w:rPr>
                <w:rFonts w:ascii="宋体" w:eastAsia="宋体" w:hAnsi="宋体"/>
                <w:sz w:val="18"/>
                <w:szCs w:val="18"/>
              </w:rPr>
            </w:pPr>
            <w:r w:rsidRPr="00BE4446">
              <w:rPr>
                <w:rFonts w:ascii="宋体" w:eastAsia="宋体" w:hAnsi="宋体" w:hint="eastAsia"/>
                <w:sz w:val="18"/>
                <w:szCs w:val="18"/>
              </w:rPr>
              <w:t>2023年1月1日（变更后）金额</w:t>
            </w:r>
          </w:p>
        </w:tc>
      </w:tr>
      <w:tr w:rsidR="00872599" w:rsidRPr="00BE4446" w14:paraId="21E33B0E" w14:textId="77777777" w:rsidTr="00BE4446">
        <w:trPr>
          <w:divId w:val="1694647166"/>
          <w:trHeight w:val="312"/>
          <w:jc w:val="center"/>
        </w:trPr>
        <w:tc>
          <w:tcPr>
            <w:tcW w:w="1559" w:type="dxa"/>
            <w:vMerge/>
            <w:tcBorders>
              <w:top w:val="single" w:sz="8" w:space="0" w:color="auto"/>
              <w:left w:val="single" w:sz="8" w:space="0" w:color="auto"/>
              <w:bottom w:val="single" w:sz="8" w:space="0" w:color="auto"/>
              <w:right w:val="single" w:sz="8" w:space="0" w:color="auto"/>
            </w:tcBorders>
            <w:vAlign w:val="center"/>
            <w:hideMark/>
          </w:tcPr>
          <w:p w14:paraId="669D8911" w14:textId="77777777" w:rsidR="00872599" w:rsidRPr="00BE4446" w:rsidRDefault="00872599" w:rsidP="00BE4446">
            <w:pPr>
              <w:rPr>
                <w:rFonts w:ascii="宋体" w:eastAsia="宋体" w:hAnsi="宋体"/>
                <w:sz w:val="18"/>
                <w:szCs w:val="18"/>
              </w:rPr>
            </w:pPr>
          </w:p>
        </w:tc>
        <w:tc>
          <w:tcPr>
            <w:tcW w:w="21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4A0446A" w14:textId="77777777" w:rsidR="00872599" w:rsidRPr="00BE4446" w:rsidRDefault="00000000" w:rsidP="00BE4446">
            <w:pPr>
              <w:rPr>
                <w:rFonts w:ascii="宋体" w:eastAsia="宋体" w:hAnsi="宋体"/>
                <w:sz w:val="18"/>
                <w:szCs w:val="18"/>
              </w:rPr>
            </w:pPr>
            <w:r w:rsidRPr="00BE4446">
              <w:rPr>
                <w:rFonts w:ascii="宋体" w:eastAsia="宋体" w:hAnsi="宋体" w:hint="eastAsia"/>
                <w:sz w:val="18"/>
                <w:szCs w:val="18"/>
              </w:rPr>
              <w:t>合并报表</w:t>
            </w:r>
          </w:p>
        </w:tc>
        <w:tc>
          <w:tcPr>
            <w:tcW w:w="1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6D7E48" w14:textId="77777777" w:rsidR="00872599" w:rsidRPr="00BE4446" w:rsidRDefault="00000000" w:rsidP="00BE4446">
            <w:pPr>
              <w:rPr>
                <w:rFonts w:ascii="宋体" w:eastAsia="宋体" w:hAnsi="宋体"/>
                <w:sz w:val="18"/>
                <w:szCs w:val="18"/>
              </w:rPr>
            </w:pPr>
            <w:r w:rsidRPr="00BE4446">
              <w:rPr>
                <w:rFonts w:ascii="宋体" w:eastAsia="宋体" w:hAnsi="宋体" w:hint="eastAsia"/>
                <w:sz w:val="18"/>
                <w:szCs w:val="18"/>
              </w:rPr>
              <w:t>公司报表</w:t>
            </w:r>
          </w:p>
        </w:tc>
        <w:tc>
          <w:tcPr>
            <w:tcW w:w="18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927FF3" w14:textId="77777777" w:rsidR="00872599" w:rsidRPr="00BE4446" w:rsidRDefault="00000000" w:rsidP="00BE4446">
            <w:pPr>
              <w:rPr>
                <w:rFonts w:ascii="宋体" w:eastAsia="宋体" w:hAnsi="宋体"/>
                <w:sz w:val="18"/>
                <w:szCs w:val="18"/>
              </w:rPr>
            </w:pPr>
            <w:r w:rsidRPr="00BE4446">
              <w:rPr>
                <w:rFonts w:ascii="宋体" w:eastAsia="宋体" w:hAnsi="宋体" w:hint="eastAsia"/>
                <w:sz w:val="18"/>
                <w:szCs w:val="18"/>
              </w:rPr>
              <w:t>合并报表</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43676A" w14:textId="77777777" w:rsidR="00872599" w:rsidRPr="00BE4446" w:rsidRDefault="00000000" w:rsidP="00BE4446">
            <w:pPr>
              <w:rPr>
                <w:rFonts w:ascii="宋体" w:eastAsia="宋体" w:hAnsi="宋体"/>
                <w:sz w:val="18"/>
                <w:szCs w:val="18"/>
              </w:rPr>
            </w:pPr>
            <w:r w:rsidRPr="00BE4446">
              <w:rPr>
                <w:rFonts w:ascii="宋体" w:eastAsia="宋体" w:hAnsi="宋体" w:hint="eastAsia"/>
                <w:sz w:val="18"/>
                <w:szCs w:val="18"/>
              </w:rPr>
              <w:t>公司报表</w:t>
            </w:r>
          </w:p>
        </w:tc>
      </w:tr>
      <w:tr w:rsidR="00872599" w:rsidRPr="00BE4446" w14:paraId="5A8E5860" w14:textId="77777777" w:rsidTr="00BE4446">
        <w:trPr>
          <w:divId w:val="1694647166"/>
          <w:trHeight w:val="312"/>
          <w:jc w:val="center"/>
        </w:trPr>
        <w:tc>
          <w:tcPr>
            <w:tcW w:w="1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55D50FE" w14:textId="77777777" w:rsidR="00872599" w:rsidRPr="00BE4446" w:rsidRDefault="00000000" w:rsidP="00BE4446">
            <w:pPr>
              <w:rPr>
                <w:rFonts w:ascii="宋体" w:eastAsia="宋体" w:hAnsi="宋体"/>
                <w:sz w:val="18"/>
                <w:szCs w:val="18"/>
              </w:rPr>
            </w:pPr>
            <w:r w:rsidRPr="00BE4446">
              <w:rPr>
                <w:rFonts w:ascii="宋体" w:eastAsia="宋体" w:hAnsi="宋体" w:hint="eastAsia"/>
                <w:sz w:val="18"/>
                <w:szCs w:val="18"/>
              </w:rPr>
              <w:t>递延所得税资产</w:t>
            </w:r>
          </w:p>
        </w:tc>
        <w:tc>
          <w:tcPr>
            <w:tcW w:w="21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F8F000" w14:textId="77777777" w:rsidR="00872599" w:rsidRPr="00BE4446" w:rsidRDefault="00000000" w:rsidP="00BE4446">
            <w:pPr>
              <w:jc w:val="right"/>
              <w:rPr>
                <w:rFonts w:ascii="Times New Roman" w:eastAsia="宋体" w:hAnsi="Times New Roman" w:cs="Times New Roman"/>
                <w:sz w:val="18"/>
                <w:szCs w:val="18"/>
              </w:rPr>
            </w:pPr>
            <w:r w:rsidRPr="00BE4446">
              <w:rPr>
                <w:rFonts w:ascii="Times New Roman" w:eastAsia="宋体" w:hAnsi="Times New Roman" w:cs="Times New Roman"/>
                <w:sz w:val="18"/>
                <w:szCs w:val="18"/>
              </w:rPr>
              <w:t>68,493,416.37</w:t>
            </w:r>
          </w:p>
        </w:tc>
        <w:tc>
          <w:tcPr>
            <w:tcW w:w="1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1BEDAA" w14:textId="77777777" w:rsidR="00872599" w:rsidRPr="00BE4446" w:rsidRDefault="00000000" w:rsidP="00BE4446">
            <w:pPr>
              <w:jc w:val="right"/>
              <w:rPr>
                <w:rFonts w:ascii="Times New Roman" w:eastAsia="宋体" w:hAnsi="Times New Roman" w:cs="Times New Roman"/>
                <w:sz w:val="18"/>
                <w:szCs w:val="18"/>
              </w:rPr>
            </w:pPr>
            <w:r w:rsidRPr="00BE4446">
              <w:rPr>
                <w:rFonts w:ascii="Times New Roman" w:eastAsia="宋体" w:hAnsi="Times New Roman" w:cs="Times New Roman"/>
                <w:sz w:val="18"/>
                <w:szCs w:val="18"/>
              </w:rPr>
              <w:t>37,737,115.09</w:t>
            </w:r>
          </w:p>
        </w:tc>
        <w:tc>
          <w:tcPr>
            <w:tcW w:w="18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797F67" w14:textId="77777777" w:rsidR="00872599" w:rsidRPr="00BE4446" w:rsidRDefault="00000000" w:rsidP="00BE4446">
            <w:pPr>
              <w:jc w:val="right"/>
              <w:rPr>
                <w:rFonts w:ascii="Times New Roman" w:eastAsia="宋体" w:hAnsi="Times New Roman" w:cs="Times New Roman"/>
                <w:sz w:val="18"/>
                <w:szCs w:val="18"/>
              </w:rPr>
            </w:pPr>
            <w:r w:rsidRPr="00BE4446">
              <w:rPr>
                <w:rFonts w:ascii="Times New Roman" w:eastAsia="宋体" w:hAnsi="Times New Roman" w:cs="Times New Roman"/>
                <w:sz w:val="18"/>
                <w:szCs w:val="18"/>
              </w:rPr>
              <w:t>68,566,643.14</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197AF1" w14:textId="77777777" w:rsidR="00872599" w:rsidRPr="00BE4446" w:rsidRDefault="00000000" w:rsidP="00BE4446">
            <w:pPr>
              <w:jc w:val="right"/>
              <w:rPr>
                <w:rFonts w:ascii="Times New Roman" w:eastAsia="宋体" w:hAnsi="Times New Roman" w:cs="Times New Roman"/>
                <w:sz w:val="18"/>
                <w:szCs w:val="18"/>
              </w:rPr>
            </w:pPr>
            <w:r w:rsidRPr="00BE4446">
              <w:rPr>
                <w:rFonts w:ascii="Times New Roman" w:eastAsia="宋体" w:hAnsi="Times New Roman" w:cs="Times New Roman"/>
                <w:sz w:val="18"/>
                <w:szCs w:val="18"/>
              </w:rPr>
              <w:t>37,795,318.74</w:t>
            </w:r>
          </w:p>
        </w:tc>
      </w:tr>
      <w:tr w:rsidR="00872599" w:rsidRPr="00BE4446" w14:paraId="188391E8" w14:textId="77777777" w:rsidTr="00BE4446">
        <w:trPr>
          <w:divId w:val="1694647166"/>
          <w:trHeight w:val="312"/>
          <w:jc w:val="center"/>
        </w:trPr>
        <w:tc>
          <w:tcPr>
            <w:tcW w:w="1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E13923" w14:textId="77777777" w:rsidR="00872599" w:rsidRPr="00BE4446" w:rsidRDefault="00000000" w:rsidP="00BE4446">
            <w:pPr>
              <w:rPr>
                <w:rFonts w:ascii="宋体" w:eastAsia="宋体" w:hAnsi="宋体"/>
                <w:sz w:val="18"/>
                <w:szCs w:val="18"/>
              </w:rPr>
            </w:pPr>
            <w:r w:rsidRPr="00BE4446">
              <w:rPr>
                <w:rFonts w:ascii="宋体" w:eastAsia="宋体" w:hAnsi="宋体" w:hint="eastAsia"/>
                <w:sz w:val="18"/>
                <w:szCs w:val="18"/>
              </w:rPr>
              <w:t>资产总额</w:t>
            </w:r>
          </w:p>
        </w:tc>
        <w:tc>
          <w:tcPr>
            <w:tcW w:w="21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59BA85" w14:textId="77777777" w:rsidR="00872599" w:rsidRPr="00BE4446" w:rsidRDefault="00000000" w:rsidP="00BE4446">
            <w:pPr>
              <w:jc w:val="right"/>
              <w:rPr>
                <w:rFonts w:ascii="Times New Roman" w:eastAsia="宋体" w:hAnsi="Times New Roman" w:cs="Times New Roman"/>
                <w:sz w:val="18"/>
                <w:szCs w:val="18"/>
              </w:rPr>
            </w:pPr>
            <w:r w:rsidRPr="00BE4446">
              <w:rPr>
                <w:rFonts w:ascii="Times New Roman" w:eastAsia="宋体" w:hAnsi="Times New Roman" w:cs="Times New Roman"/>
                <w:sz w:val="18"/>
                <w:szCs w:val="18"/>
              </w:rPr>
              <w:t>7,977,125,571.16</w:t>
            </w:r>
          </w:p>
        </w:tc>
        <w:tc>
          <w:tcPr>
            <w:tcW w:w="1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55731C" w14:textId="77777777" w:rsidR="00872599" w:rsidRPr="00BE4446" w:rsidRDefault="00000000" w:rsidP="00BE4446">
            <w:pPr>
              <w:jc w:val="right"/>
              <w:rPr>
                <w:rFonts w:ascii="Times New Roman" w:eastAsia="宋体" w:hAnsi="Times New Roman" w:cs="Times New Roman"/>
                <w:sz w:val="18"/>
                <w:szCs w:val="18"/>
              </w:rPr>
            </w:pPr>
            <w:r w:rsidRPr="00BE4446">
              <w:rPr>
                <w:rFonts w:ascii="Times New Roman" w:eastAsia="宋体" w:hAnsi="Times New Roman" w:cs="Times New Roman"/>
                <w:sz w:val="18"/>
                <w:szCs w:val="18"/>
              </w:rPr>
              <w:t>5,829,439,308.22</w:t>
            </w:r>
          </w:p>
        </w:tc>
        <w:tc>
          <w:tcPr>
            <w:tcW w:w="18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2DB723" w14:textId="77777777" w:rsidR="00872599" w:rsidRPr="00BE4446" w:rsidRDefault="00000000" w:rsidP="00BE4446">
            <w:pPr>
              <w:jc w:val="right"/>
              <w:rPr>
                <w:rFonts w:ascii="Times New Roman" w:eastAsia="宋体" w:hAnsi="Times New Roman" w:cs="Times New Roman"/>
                <w:sz w:val="18"/>
                <w:szCs w:val="18"/>
              </w:rPr>
            </w:pPr>
            <w:r w:rsidRPr="00BE4446">
              <w:rPr>
                <w:rFonts w:ascii="Times New Roman" w:eastAsia="宋体" w:hAnsi="Times New Roman" w:cs="Times New Roman"/>
                <w:sz w:val="18"/>
                <w:szCs w:val="18"/>
              </w:rPr>
              <w:t>7,977,198,797.93</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D79BE0" w14:textId="77777777" w:rsidR="00872599" w:rsidRPr="00BE4446" w:rsidRDefault="00000000" w:rsidP="00BE4446">
            <w:pPr>
              <w:jc w:val="right"/>
              <w:rPr>
                <w:rFonts w:ascii="Times New Roman" w:eastAsia="宋体" w:hAnsi="Times New Roman" w:cs="Times New Roman"/>
                <w:sz w:val="18"/>
                <w:szCs w:val="18"/>
              </w:rPr>
            </w:pPr>
            <w:r w:rsidRPr="00BE4446">
              <w:rPr>
                <w:rFonts w:ascii="Times New Roman" w:eastAsia="宋体" w:hAnsi="Times New Roman" w:cs="Times New Roman"/>
                <w:sz w:val="18"/>
                <w:szCs w:val="18"/>
              </w:rPr>
              <w:t>5,829,497,511.87</w:t>
            </w:r>
          </w:p>
        </w:tc>
      </w:tr>
      <w:tr w:rsidR="00872599" w:rsidRPr="00BE4446" w14:paraId="00F41486" w14:textId="77777777" w:rsidTr="00BE4446">
        <w:trPr>
          <w:divId w:val="1694647166"/>
          <w:trHeight w:val="312"/>
          <w:jc w:val="center"/>
        </w:trPr>
        <w:tc>
          <w:tcPr>
            <w:tcW w:w="1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81273C" w14:textId="77777777" w:rsidR="00872599" w:rsidRPr="00BE4446" w:rsidRDefault="00000000" w:rsidP="00BE4446">
            <w:pPr>
              <w:rPr>
                <w:rFonts w:ascii="宋体" w:eastAsia="宋体" w:hAnsi="宋体"/>
                <w:sz w:val="18"/>
                <w:szCs w:val="18"/>
              </w:rPr>
            </w:pPr>
            <w:r w:rsidRPr="00BE4446">
              <w:rPr>
                <w:rFonts w:ascii="宋体" w:eastAsia="宋体" w:hAnsi="宋体" w:hint="eastAsia"/>
                <w:sz w:val="18"/>
                <w:szCs w:val="18"/>
              </w:rPr>
              <w:t>未分配利润</w:t>
            </w:r>
          </w:p>
        </w:tc>
        <w:tc>
          <w:tcPr>
            <w:tcW w:w="21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CAD3E2" w14:textId="77777777" w:rsidR="00872599" w:rsidRPr="00BE4446" w:rsidRDefault="00000000" w:rsidP="00BE4446">
            <w:pPr>
              <w:jc w:val="right"/>
              <w:rPr>
                <w:rFonts w:ascii="Times New Roman" w:eastAsia="宋体" w:hAnsi="Times New Roman" w:cs="Times New Roman"/>
                <w:sz w:val="18"/>
                <w:szCs w:val="18"/>
              </w:rPr>
            </w:pPr>
            <w:r w:rsidRPr="00BE4446">
              <w:rPr>
                <w:rFonts w:ascii="Times New Roman" w:eastAsia="宋体" w:hAnsi="Times New Roman" w:cs="Times New Roman"/>
                <w:sz w:val="18"/>
                <w:szCs w:val="18"/>
              </w:rPr>
              <w:t>1,022,982,107.97</w:t>
            </w:r>
          </w:p>
        </w:tc>
        <w:tc>
          <w:tcPr>
            <w:tcW w:w="1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2F4996" w14:textId="77777777" w:rsidR="00872599" w:rsidRPr="00BE4446" w:rsidRDefault="00000000" w:rsidP="00BE4446">
            <w:pPr>
              <w:jc w:val="right"/>
              <w:rPr>
                <w:rFonts w:ascii="Times New Roman" w:eastAsia="宋体" w:hAnsi="Times New Roman" w:cs="Times New Roman"/>
                <w:sz w:val="18"/>
                <w:szCs w:val="18"/>
              </w:rPr>
            </w:pPr>
            <w:r w:rsidRPr="00BE4446">
              <w:rPr>
                <w:rFonts w:ascii="Times New Roman" w:eastAsia="宋体" w:hAnsi="Times New Roman" w:cs="Times New Roman"/>
                <w:sz w:val="18"/>
                <w:szCs w:val="18"/>
              </w:rPr>
              <w:t>15,171,713.72</w:t>
            </w:r>
          </w:p>
        </w:tc>
        <w:tc>
          <w:tcPr>
            <w:tcW w:w="18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26DA15" w14:textId="77777777" w:rsidR="00872599" w:rsidRPr="00BE4446" w:rsidRDefault="00000000" w:rsidP="00BE4446">
            <w:pPr>
              <w:jc w:val="right"/>
              <w:rPr>
                <w:rFonts w:ascii="Times New Roman" w:eastAsia="宋体" w:hAnsi="Times New Roman" w:cs="Times New Roman"/>
                <w:sz w:val="18"/>
                <w:szCs w:val="18"/>
              </w:rPr>
            </w:pPr>
            <w:r w:rsidRPr="00BE4446">
              <w:rPr>
                <w:rFonts w:ascii="Times New Roman" w:eastAsia="宋体" w:hAnsi="Times New Roman" w:cs="Times New Roman"/>
                <w:sz w:val="18"/>
                <w:szCs w:val="18"/>
              </w:rPr>
              <w:t>1,023,054,329.92</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892242" w14:textId="77777777" w:rsidR="00872599" w:rsidRPr="00BE4446" w:rsidRDefault="00000000" w:rsidP="00BE4446">
            <w:pPr>
              <w:jc w:val="right"/>
              <w:rPr>
                <w:rFonts w:ascii="Times New Roman" w:eastAsia="宋体" w:hAnsi="Times New Roman" w:cs="Times New Roman"/>
                <w:sz w:val="18"/>
                <w:szCs w:val="18"/>
              </w:rPr>
            </w:pPr>
            <w:r w:rsidRPr="00BE4446">
              <w:rPr>
                <w:rFonts w:ascii="Times New Roman" w:eastAsia="宋体" w:hAnsi="Times New Roman" w:cs="Times New Roman"/>
                <w:sz w:val="18"/>
                <w:szCs w:val="18"/>
              </w:rPr>
              <w:t>15,229,917.37</w:t>
            </w:r>
          </w:p>
        </w:tc>
      </w:tr>
      <w:tr w:rsidR="00872599" w:rsidRPr="00BE4446" w14:paraId="154AABEC" w14:textId="77777777" w:rsidTr="00BE4446">
        <w:trPr>
          <w:divId w:val="1694647166"/>
          <w:trHeight w:val="312"/>
          <w:jc w:val="center"/>
        </w:trPr>
        <w:tc>
          <w:tcPr>
            <w:tcW w:w="1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C4044A" w14:textId="77777777" w:rsidR="00872599" w:rsidRPr="00BE4446" w:rsidRDefault="00000000" w:rsidP="00BE4446">
            <w:pPr>
              <w:rPr>
                <w:rFonts w:ascii="宋体" w:eastAsia="宋体" w:hAnsi="宋体"/>
                <w:sz w:val="18"/>
                <w:szCs w:val="18"/>
              </w:rPr>
            </w:pPr>
            <w:r w:rsidRPr="00BE4446">
              <w:rPr>
                <w:rFonts w:ascii="宋体" w:eastAsia="宋体" w:hAnsi="宋体" w:hint="eastAsia"/>
                <w:sz w:val="18"/>
                <w:szCs w:val="18"/>
              </w:rPr>
              <w:t>少数股权权益</w:t>
            </w:r>
          </w:p>
        </w:tc>
        <w:tc>
          <w:tcPr>
            <w:tcW w:w="21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E559C9" w14:textId="77777777" w:rsidR="00872599" w:rsidRPr="00BE4446" w:rsidRDefault="00000000" w:rsidP="00BE4446">
            <w:pPr>
              <w:jc w:val="right"/>
              <w:rPr>
                <w:rFonts w:ascii="Times New Roman" w:eastAsia="宋体" w:hAnsi="Times New Roman" w:cs="Times New Roman"/>
                <w:sz w:val="18"/>
                <w:szCs w:val="18"/>
              </w:rPr>
            </w:pPr>
            <w:r w:rsidRPr="00BE4446">
              <w:rPr>
                <w:rFonts w:ascii="Times New Roman" w:eastAsia="宋体" w:hAnsi="Times New Roman" w:cs="Times New Roman"/>
                <w:sz w:val="18"/>
                <w:szCs w:val="18"/>
              </w:rPr>
              <w:t>183,512,363.61</w:t>
            </w:r>
          </w:p>
        </w:tc>
        <w:tc>
          <w:tcPr>
            <w:tcW w:w="1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B23D42" w14:textId="77777777" w:rsidR="00872599" w:rsidRPr="00BE4446" w:rsidRDefault="00000000" w:rsidP="00BE4446">
            <w:pPr>
              <w:jc w:val="right"/>
              <w:rPr>
                <w:rFonts w:ascii="Times New Roman" w:eastAsia="宋体" w:hAnsi="Times New Roman" w:cs="Times New Roman"/>
                <w:sz w:val="18"/>
                <w:szCs w:val="18"/>
              </w:rPr>
            </w:pPr>
            <w:r w:rsidRPr="00BE4446">
              <w:rPr>
                <w:rFonts w:ascii="Times New Roman" w:eastAsia="宋体" w:hAnsi="Times New Roman" w:cs="Times New Roman"/>
                <w:sz w:val="18"/>
                <w:szCs w:val="18"/>
              </w:rPr>
              <w:t> </w:t>
            </w:r>
          </w:p>
        </w:tc>
        <w:tc>
          <w:tcPr>
            <w:tcW w:w="18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E50F3D" w14:textId="77777777" w:rsidR="00872599" w:rsidRPr="00BE4446" w:rsidRDefault="00000000" w:rsidP="00BE4446">
            <w:pPr>
              <w:jc w:val="right"/>
              <w:rPr>
                <w:rFonts w:ascii="Times New Roman" w:eastAsia="宋体" w:hAnsi="Times New Roman" w:cs="Times New Roman"/>
                <w:sz w:val="18"/>
                <w:szCs w:val="18"/>
              </w:rPr>
            </w:pPr>
            <w:r w:rsidRPr="00BE4446">
              <w:rPr>
                <w:rFonts w:ascii="Times New Roman" w:eastAsia="宋体" w:hAnsi="Times New Roman" w:cs="Times New Roman"/>
                <w:sz w:val="18"/>
                <w:szCs w:val="18"/>
              </w:rPr>
              <w:t>183,513,368.43</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867BDC" w14:textId="77777777" w:rsidR="00872599" w:rsidRPr="00BE4446" w:rsidRDefault="00000000" w:rsidP="00BE4446">
            <w:pPr>
              <w:jc w:val="right"/>
              <w:rPr>
                <w:rFonts w:ascii="Times New Roman" w:eastAsia="宋体" w:hAnsi="Times New Roman" w:cs="Times New Roman"/>
                <w:sz w:val="18"/>
                <w:szCs w:val="18"/>
              </w:rPr>
            </w:pPr>
            <w:r w:rsidRPr="00BE4446">
              <w:rPr>
                <w:rFonts w:ascii="Times New Roman" w:eastAsia="宋体" w:hAnsi="Times New Roman" w:cs="Times New Roman"/>
                <w:sz w:val="18"/>
                <w:szCs w:val="18"/>
              </w:rPr>
              <w:t> </w:t>
            </w:r>
          </w:p>
        </w:tc>
      </w:tr>
      <w:tr w:rsidR="00872599" w:rsidRPr="00BE4446" w14:paraId="4FB64791" w14:textId="77777777" w:rsidTr="00BE4446">
        <w:trPr>
          <w:divId w:val="1694647166"/>
          <w:trHeight w:val="312"/>
          <w:jc w:val="center"/>
        </w:trPr>
        <w:tc>
          <w:tcPr>
            <w:tcW w:w="1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CB24018" w14:textId="77777777" w:rsidR="00872599" w:rsidRPr="00BE4446" w:rsidRDefault="00000000" w:rsidP="00BE4446">
            <w:pPr>
              <w:rPr>
                <w:rFonts w:ascii="宋体" w:eastAsia="宋体" w:hAnsi="宋体"/>
                <w:sz w:val="18"/>
                <w:szCs w:val="18"/>
              </w:rPr>
            </w:pPr>
            <w:r w:rsidRPr="00BE4446">
              <w:rPr>
                <w:rFonts w:ascii="宋体" w:eastAsia="宋体" w:hAnsi="宋体" w:hint="eastAsia"/>
                <w:sz w:val="18"/>
                <w:szCs w:val="18"/>
              </w:rPr>
              <w:t>股东权益合计</w:t>
            </w:r>
          </w:p>
        </w:tc>
        <w:tc>
          <w:tcPr>
            <w:tcW w:w="21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51BDE0" w14:textId="77777777" w:rsidR="00872599" w:rsidRPr="00BE4446" w:rsidRDefault="00000000" w:rsidP="00BE4446">
            <w:pPr>
              <w:jc w:val="right"/>
              <w:rPr>
                <w:rFonts w:ascii="Times New Roman" w:eastAsia="宋体" w:hAnsi="Times New Roman" w:cs="Times New Roman"/>
                <w:sz w:val="18"/>
                <w:szCs w:val="18"/>
              </w:rPr>
            </w:pPr>
            <w:r w:rsidRPr="00BE4446">
              <w:rPr>
                <w:rFonts w:ascii="Times New Roman" w:eastAsia="宋体" w:hAnsi="Times New Roman" w:cs="Times New Roman"/>
                <w:sz w:val="18"/>
                <w:szCs w:val="18"/>
              </w:rPr>
              <w:t>3,503,720,791.22</w:t>
            </w:r>
          </w:p>
        </w:tc>
        <w:tc>
          <w:tcPr>
            <w:tcW w:w="1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EDF63F" w14:textId="77777777" w:rsidR="00872599" w:rsidRPr="00BE4446" w:rsidRDefault="00000000" w:rsidP="00BE4446">
            <w:pPr>
              <w:jc w:val="right"/>
              <w:rPr>
                <w:rFonts w:ascii="Times New Roman" w:eastAsia="宋体" w:hAnsi="Times New Roman" w:cs="Times New Roman"/>
                <w:sz w:val="18"/>
                <w:szCs w:val="18"/>
              </w:rPr>
            </w:pPr>
            <w:r w:rsidRPr="00BE4446">
              <w:rPr>
                <w:rFonts w:ascii="Times New Roman" w:eastAsia="宋体" w:hAnsi="Times New Roman" w:cs="Times New Roman"/>
                <w:sz w:val="18"/>
                <w:szCs w:val="18"/>
              </w:rPr>
              <w:t>2,310,813,828.19</w:t>
            </w:r>
          </w:p>
        </w:tc>
        <w:tc>
          <w:tcPr>
            <w:tcW w:w="18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0C8762" w14:textId="77777777" w:rsidR="00872599" w:rsidRPr="00BE4446" w:rsidRDefault="00000000" w:rsidP="00BE4446">
            <w:pPr>
              <w:jc w:val="right"/>
              <w:rPr>
                <w:rFonts w:ascii="Times New Roman" w:eastAsia="宋体" w:hAnsi="Times New Roman" w:cs="Times New Roman"/>
                <w:sz w:val="18"/>
                <w:szCs w:val="18"/>
              </w:rPr>
            </w:pPr>
            <w:r w:rsidRPr="00BE4446">
              <w:rPr>
                <w:rFonts w:ascii="Times New Roman" w:eastAsia="宋体" w:hAnsi="Times New Roman" w:cs="Times New Roman"/>
                <w:sz w:val="18"/>
                <w:szCs w:val="18"/>
              </w:rPr>
              <w:t>3,503,794,017.99</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B292CB" w14:textId="77777777" w:rsidR="00872599" w:rsidRPr="00BE4446" w:rsidRDefault="00000000" w:rsidP="00BE4446">
            <w:pPr>
              <w:jc w:val="right"/>
              <w:rPr>
                <w:rFonts w:ascii="Times New Roman" w:eastAsia="宋体" w:hAnsi="Times New Roman" w:cs="Times New Roman"/>
                <w:sz w:val="18"/>
                <w:szCs w:val="18"/>
              </w:rPr>
            </w:pPr>
            <w:r w:rsidRPr="00BE4446">
              <w:rPr>
                <w:rFonts w:ascii="Times New Roman" w:eastAsia="宋体" w:hAnsi="Times New Roman" w:cs="Times New Roman"/>
                <w:sz w:val="18"/>
                <w:szCs w:val="18"/>
              </w:rPr>
              <w:t>2,310,872,031.84</w:t>
            </w:r>
          </w:p>
        </w:tc>
      </w:tr>
    </w:tbl>
    <w:p w14:paraId="1EE46D01" w14:textId="77777777" w:rsidR="00872599" w:rsidRPr="00F614F9" w:rsidRDefault="00872599">
      <w:pPr>
        <w:divId w:val="1694647166"/>
        <w:rPr>
          <w:rFonts w:ascii="Times New Roman" w:hAnsi="Times New Roman"/>
        </w:rPr>
      </w:pPr>
    </w:p>
    <w:p w14:paraId="3C368559" w14:textId="77777777" w:rsidR="001D26E7" w:rsidRPr="00F614F9" w:rsidRDefault="00000000">
      <w:pPr>
        <w:pStyle w:val="3"/>
        <w:spacing w:line="280" w:lineRule="exact"/>
        <w:jc w:val="left"/>
        <w:rPr>
          <w:rFonts w:ascii="Times New Roman" w:hAnsi="Times New Roman" w:cs="宋体"/>
          <w:b/>
          <w:bCs/>
        </w:rPr>
      </w:pPr>
      <w:bookmarkStart w:id="308" w:name="_Toc989123"/>
      <w:r w:rsidRPr="00F614F9">
        <w:rPr>
          <w:rFonts w:ascii="Times New Roman" w:hAnsi="Times New Roman" w:cs="宋体"/>
          <w:b/>
          <w:bCs/>
        </w:rPr>
        <w:t>44</w:t>
      </w:r>
      <w:r w:rsidRPr="00F614F9">
        <w:rPr>
          <w:rFonts w:ascii="Times New Roman" w:hAnsi="Times New Roman" w:cs="宋体"/>
          <w:b/>
          <w:bCs/>
        </w:rPr>
        <w:t>、其他</w:t>
      </w:r>
      <w:bookmarkEnd w:id="308"/>
    </w:p>
    <w:p w14:paraId="12A673D6"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本集团在运用会计政策过程中，由于经营活动内在的不确定性，需要对无法准确计量的报表项目的账面价值进行判</w:t>
      </w:r>
      <w:r w:rsidRPr="00F614F9">
        <w:rPr>
          <w:rFonts w:ascii="Times New Roman" w:eastAsia="宋体" w:hAnsi="Times New Roman" w:hint="eastAsia"/>
          <w:sz w:val="18"/>
          <w:szCs w:val="18"/>
        </w:rPr>
        <w:lastRenderedPageBreak/>
        <w:t>断、估计和假设。这些判断、估计和假设是基于本集团管理</w:t>
      </w:r>
      <w:proofErr w:type="gramStart"/>
      <w:r w:rsidRPr="00F614F9">
        <w:rPr>
          <w:rFonts w:ascii="Times New Roman" w:eastAsia="宋体" w:hAnsi="Times New Roman" w:hint="eastAsia"/>
          <w:sz w:val="18"/>
          <w:szCs w:val="18"/>
        </w:rPr>
        <w:t>层过去</w:t>
      </w:r>
      <w:proofErr w:type="gramEnd"/>
      <w:r w:rsidRPr="00F614F9">
        <w:rPr>
          <w:rFonts w:ascii="Times New Roman" w:eastAsia="宋体" w:hAnsi="Times New Roman" w:hint="eastAsia"/>
          <w:sz w:val="18"/>
          <w:szCs w:val="18"/>
        </w:rPr>
        <w:t>的历史经验，并在考虑其他相关因素的基础上做出的。这些判断、估计和假设会影响收入、费用、资产和负债的报告金额以及资产负债表日或有负债的披露。然而，这些估计的不确定性所导致的实际结果可能与本集团管理</w:t>
      </w:r>
      <w:proofErr w:type="gramStart"/>
      <w:r w:rsidRPr="00F614F9">
        <w:rPr>
          <w:rFonts w:ascii="Times New Roman" w:eastAsia="宋体" w:hAnsi="Times New Roman" w:hint="eastAsia"/>
          <w:sz w:val="18"/>
          <w:szCs w:val="18"/>
        </w:rPr>
        <w:t>层当前</w:t>
      </w:r>
      <w:proofErr w:type="gramEnd"/>
      <w:r w:rsidRPr="00F614F9">
        <w:rPr>
          <w:rFonts w:ascii="Times New Roman" w:eastAsia="宋体" w:hAnsi="Times New Roman" w:hint="eastAsia"/>
          <w:sz w:val="18"/>
          <w:szCs w:val="18"/>
        </w:rPr>
        <w:t>的估计存在差异，进而造成对未来受影响的资产或负债的账面金额进行重大调整。</w:t>
      </w:r>
    </w:p>
    <w:p w14:paraId="16B69DAE"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本集团对前述判断、估计和假设在持续经营的基础上进行定期复核，会计估计的</w:t>
      </w:r>
      <w:proofErr w:type="gramStart"/>
      <w:r w:rsidRPr="00F614F9">
        <w:rPr>
          <w:rFonts w:ascii="Times New Roman" w:eastAsia="宋体" w:hAnsi="Times New Roman" w:hint="eastAsia"/>
          <w:sz w:val="18"/>
          <w:szCs w:val="18"/>
        </w:rPr>
        <w:t>变更仅</w:t>
      </w:r>
      <w:proofErr w:type="gramEnd"/>
      <w:r w:rsidRPr="00F614F9">
        <w:rPr>
          <w:rFonts w:ascii="Times New Roman" w:eastAsia="宋体" w:hAnsi="Times New Roman" w:hint="eastAsia"/>
          <w:sz w:val="18"/>
          <w:szCs w:val="18"/>
        </w:rPr>
        <w:t>影响变更当期的，其影响数在变更当期予以确认；既影响变更当期又影响未来期间的，其影响数在变更当期和未来期间予以确认。</w:t>
      </w:r>
    </w:p>
    <w:p w14:paraId="76CBD3E1"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于资产负债表日，本集团需对财务报表项目金额进行判断、估计和假设的重要领域如下：</w:t>
      </w:r>
    </w:p>
    <w:p w14:paraId="048C5D5F"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收入确认</w:t>
      </w:r>
    </w:p>
    <w:p w14:paraId="17E6B817"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如本附注五、</w:t>
      </w:r>
      <w:r w:rsidRPr="00F614F9">
        <w:rPr>
          <w:rFonts w:ascii="Times New Roman" w:eastAsia="宋体" w:hAnsi="Times New Roman" w:hint="eastAsia"/>
          <w:sz w:val="18"/>
          <w:szCs w:val="18"/>
        </w:rPr>
        <w:t>37</w:t>
      </w:r>
      <w:r w:rsidRPr="00F614F9">
        <w:rPr>
          <w:rFonts w:ascii="Times New Roman" w:eastAsia="宋体" w:hAnsi="Times New Roman" w:hint="eastAsia"/>
          <w:sz w:val="18"/>
          <w:szCs w:val="18"/>
        </w:rPr>
        <w:t>“收入”所述，本集团在收入确认方面涉及到如下重大的会计判断和估计：识别客户合同；估计因向客户转让商品而有权取得的对价的可收回性；识别合同中的履约义务；估计合同中存在的可变对价以及在相关不确定性消除时累计已确认</w:t>
      </w:r>
      <w:proofErr w:type="gramStart"/>
      <w:r w:rsidRPr="00F614F9">
        <w:rPr>
          <w:rFonts w:ascii="Times New Roman" w:eastAsia="宋体" w:hAnsi="Times New Roman" w:hint="eastAsia"/>
          <w:sz w:val="18"/>
          <w:szCs w:val="18"/>
        </w:rPr>
        <w:t>收入极</w:t>
      </w:r>
      <w:proofErr w:type="gramEnd"/>
      <w:r w:rsidRPr="00F614F9">
        <w:rPr>
          <w:rFonts w:ascii="Times New Roman" w:eastAsia="宋体" w:hAnsi="Times New Roman" w:hint="eastAsia"/>
          <w:sz w:val="18"/>
          <w:szCs w:val="18"/>
        </w:rPr>
        <w:t>可能不会发生重大转回的金额；合同中是否存在重大融资成分；估计合同中单项履约义务的单独售价；确定履约义务是在某一时段内履行还是在某一时点履行；履约进度的确定，等等。</w:t>
      </w:r>
    </w:p>
    <w:p w14:paraId="09311523"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本集团主要依靠过去的经验和工作</w:t>
      </w:r>
      <w:proofErr w:type="gramStart"/>
      <w:r w:rsidRPr="00F614F9">
        <w:rPr>
          <w:rFonts w:ascii="Times New Roman" w:eastAsia="宋体" w:hAnsi="Times New Roman" w:hint="eastAsia"/>
          <w:sz w:val="18"/>
          <w:szCs w:val="18"/>
        </w:rPr>
        <w:t>作出</w:t>
      </w:r>
      <w:proofErr w:type="gramEnd"/>
      <w:r w:rsidRPr="00F614F9">
        <w:rPr>
          <w:rFonts w:ascii="Times New Roman" w:eastAsia="宋体" w:hAnsi="Times New Roman" w:hint="eastAsia"/>
          <w:sz w:val="18"/>
          <w:szCs w:val="18"/>
        </w:rPr>
        <w:t>判断，这些重大判断和估计变更都可能对变更当期或以后期间的营业收入、营业成本，以及期间损益产生影响，且可能构成重大影响。</w:t>
      </w:r>
    </w:p>
    <w:p w14:paraId="3B049DD5"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租赁</w:t>
      </w:r>
    </w:p>
    <w:p w14:paraId="3B27BE1C" w14:textId="77777777" w:rsidR="00872599" w:rsidRPr="00F614F9" w:rsidRDefault="00000000" w:rsidP="007C0164">
      <w:pPr>
        <w:spacing w:line="276" w:lineRule="auto"/>
        <w:ind w:firstLineChars="200" w:firstLine="360"/>
        <w:rPr>
          <w:rFonts w:ascii="Times New Roman" w:eastAsia="宋体" w:hAnsi="Times New Roman"/>
          <w:sz w:val="18"/>
          <w:szCs w:val="18"/>
        </w:rPr>
      </w:pPr>
      <w:bookmarkStart w:id="309" w:name="_Hlk86070671"/>
      <w:bookmarkEnd w:id="309"/>
      <w:r w:rsidRPr="00F614F9">
        <w:rPr>
          <w:rFonts w:ascii="Times New Roman" w:eastAsia="宋体" w:hAnsi="Times New Roman" w:hint="eastAsia"/>
          <w:sz w:val="18"/>
          <w:szCs w:val="18"/>
        </w:rPr>
        <w:t>①租赁的识别</w:t>
      </w:r>
    </w:p>
    <w:p w14:paraId="7EB507D1"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集团在识别一项合同是否为租赁或包含租赁时，需要评估是否存在一项已识别资产，且客户控制了该资产在一定期间内的使用权。在评估时，需要考虑资产的性质、实质性替换权、以及客户是否有权获得因在该期间使用该资产所产生的几乎全部经济利益，并能够主导该资产的使用。</w:t>
      </w:r>
    </w:p>
    <w:p w14:paraId="01F9E05B"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②租赁的分类</w:t>
      </w:r>
    </w:p>
    <w:p w14:paraId="6A20A73F"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本集团作为出租人时，将租赁分类为经营租赁和融资租赁。在进行分类时，管理层需要对是否已将与租出资产所有权有关的全部风险和报酬实质上转移给承租人</w:t>
      </w:r>
      <w:proofErr w:type="gramStart"/>
      <w:r w:rsidRPr="00F614F9">
        <w:rPr>
          <w:rFonts w:ascii="Times New Roman" w:eastAsia="宋体" w:hAnsi="Times New Roman" w:hint="eastAsia"/>
          <w:sz w:val="18"/>
          <w:szCs w:val="18"/>
        </w:rPr>
        <w:t>作出</w:t>
      </w:r>
      <w:proofErr w:type="gramEnd"/>
      <w:r w:rsidRPr="00F614F9">
        <w:rPr>
          <w:rFonts w:ascii="Times New Roman" w:eastAsia="宋体" w:hAnsi="Times New Roman" w:hint="eastAsia"/>
          <w:sz w:val="18"/>
          <w:szCs w:val="18"/>
        </w:rPr>
        <w:t>分析和判断。</w:t>
      </w:r>
    </w:p>
    <w:p w14:paraId="01BD11D5"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③租赁负债</w:t>
      </w:r>
    </w:p>
    <w:p w14:paraId="4D61B8BF"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集团作为承租人时，租赁负债按照租赁期开始日尚未支付的租赁付款额的现值进行初始计量。在计量租赁付款额的现值时，本集团对使用的折现率以及存在续租选择权或终止选择权的租赁合同的租赁期进行估计。在评估租赁期时，本集团综合考虑与本集团行使选择权带来经济利益的所有相关事实和情况，包括自租赁期开始日至选择权行使日之间的事实和情况的预期变化等。不同的判断及估计可能会影响租赁负债和使用权资产的确认，并将影响后续期间的损益。</w:t>
      </w:r>
    </w:p>
    <w:p w14:paraId="38F96336"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金融资产减值</w:t>
      </w:r>
    </w:p>
    <w:p w14:paraId="525FE7B5" w14:textId="77777777" w:rsidR="00872599" w:rsidRPr="00F614F9" w:rsidRDefault="00000000" w:rsidP="007C0164">
      <w:pPr>
        <w:spacing w:line="276" w:lineRule="auto"/>
        <w:ind w:firstLineChars="200" w:firstLine="360"/>
        <w:rPr>
          <w:rFonts w:ascii="Times New Roman" w:eastAsia="宋体" w:hAnsi="Times New Roman"/>
          <w:sz w:val="18"/>
          <w:szCs w:val="18"/>
        </w:rPr>
      </w:pPr>
      <w:bookmarkStart w:id="310" w:name="_Hlk86070720"/>
      <w:bookmarkEnd w:id="310"/>
      <w:r w:rsidRPr="00F614F9">
        <w:rPr>
          <w:rFonts w:ascii="Times New Roman" w:eastAsia="宋体" w:hAnsi="Times New Roman" w:hint="eastAsia"/>
          <w:sz w:val="18"/>
          <w:szCs w:val="18"/>
        </w:rPr>
        <w:t>本集团采用预期信用损失模型对金融工具的减值进行评估，应用预期信用损失模型需要做出重大判断和估计，需考虑所有合理且有依据的信息，包括前瞻性信息。在做出该等判断和估计时，本集团根据历史数据结合经济政策、宏观经济指标、行业风险、外部市场环境、技术环境、客户情况的变化等因素推断债务人信用风险的预期变动。</w:t>
      </w:r>
    </w:p>
    <w:p w14:paraId="4448E378"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存货跌价准备</w:t>
      </w:r>
    </w:p>
    <w:p w14:paraId="3B4B4ED5"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集团根据存货会计政策，按照成本与可变现净值孰低计量，对成本高于可变现净值及陈旧和滞销的存货，计提存货跌价准备。存货减值至可变现净值是基于评估存货的可售性及其可变现净值。鉴定存货减值要求管理层在取得确凿证据，并且考虑持有存货的目的、资产负债表日后事项的影响等因素的基础上</w:t>
      </w:r>
      <w:proofErr w:type="gramStart"/>
      <w:r w:rsidRPr="00F614F9">
        <w:rPr>
          <w:rFonts w:ascii="Times New Roman" w:eastAsia="宋体" w:hAnsi="Times New Roman" w:hint="eastAsia"/>
          <w:sz w:val="18"/>
          <w:szCs w:val="18"/>
        </w:rPr>
        <w:t>作出</w:t>
      </w:r>
      <w:proofErr w:type="gramEnd"/>
      <w:r w:rsidRPr="00F614F9">
        <w:rPr>
          <w:rFonts w:ascii="Times New Roman" w:eastAsia="宋体" w:hAnsi="Times New Roman" w:hint="eastAsia"/>
          <w:sz w:val="18"/>
          <w:szCs w:val="18"/>
        </w:rPr>
        <w:t>判断和估计。实际的结果与原先估计的差异将在估计被改变的期间影响存货的账面价值及存货跌价准备的计提或转回。</w:t>
      </w:r>
    </w:p>
    <w:p w14:paraId="531C0BDB"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金融工具公允价值</w:t>
      </w:r>
    </w:p>
    <w:p w14:paraId="75FFBF86" w14:textId="77777777" w:rsidR="00872599" w:rsidRPr="00F614F9" w:rsidRDefault="00000000" w:rsidP="007C0164">
      <w:pPr>
        <w:spacing w:line="276" w:lineRule="auto"/>
        <w:ind w:firstLineChars="200" w:firstLine="360"/>
        <w:rPr>
          <w:rFonts w:ascii="Times New Roman" w:eastAsia="宋体" w:hAnsi="Times New Roman"/>
          <w:sz w:val="18"/>
          <w:szCs w:val="18"/>
        </w:rPr>
      </w:pPr>
      <w:bookmarkStart w:id="311" w:name="_Hlk86070772"/>
      <w:bookmarkEnd w:id="311"/>
      <w:r w:rsidRPr="00F614F9">
        <w:rPr>
          <w:rFonts w:ascii="Times New Roman" w:eastAsia="宋体" w:hAnsi="Times New Roman" w:hint="eastAsia"/>
          <w:sz w:val="18"/>
          <w:szCs w:val="18"/>
        </w:rPr>
        <w:t>对不存在活跃交易市场的金融工具，本集团通过各种估值方法确定其公允价值。这些估值方法包括贴现现金流模型分析等。估值时本集团需对未来现金流量、信用风险、市场波动率和相关性等方面进行估计，并选择适当的折现率。这些相</w:t>
      </w:r>
      <w:r w:rsidRPr="00F614F9">
        <w:rPr>
          <w:rFonts w:ascii="Times New Roman" w:eastAsia="宋体" w:hAnsi="Times New Roman" w:hint="eastAsia"/>
          <w:sz w:val="18"/>
          <w:szCs w:val="18"/>
        </w:rPr>
        <w:lastRenderedPageBreak/>
        <w:t>关假设具有不确定性，其变化会对金融工具的公允价值产生影响。权益工具投资或合同有公开报价的，本集团不将成本作为其公允价值的最佳估计。</w:t>
      </w:r>
    </w:p>
    <w:p w14:paraId="6F637841"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长期资产减值准备</w:t>
      </w:r>
    </w:p>
    <w:p w14:paraId="56094A20" w14:textId="77777777" w:rsidR="00872599" w:rsidRPr="00F614F9" w:rsidRDefault="00000000" w:rsidP="007C0164">
      <w:pPr>
        <w:spacing w:line="276" w:lineRule="auto"/>
        <w:ind w:firstLineChars="200" w:firstLine="360"/>
        <w:rPr>
          <w:rFonts w:ascii="Times New Roman" w:eastAsia="宋体" w:hAnsi="Times New Roman"/>
          <w:sz w:val="18"/>
          <w:szCs w:val="18"/>
        </w:rPr>
      </w:pPr>
      <w:bookmarkStart w:id="312" w:name="_Hlk86070829"/>
      <w:bookmarkEnd w:id="312"/>
      <w:r w:rsidRPr="00F614F9">
        <w:rPr>
          <w:rFonts w:ascii="Times New Roman" w:eastAsia="宋体" w:hAnsi="Times New Roman" w:hint="eastAsia"/>
          <w:sz w:val="18"/>
          <w:szCs w:val="18"/>
        </w:rPr>
        <w:t>本集团于资产负债表日对除金融资产之外的非流动资产判断是否存在可能发生减值的迹象。对使用寿命不确定的无形资产，除每年进行的减值测试外，当其存在减值迹象时，也进行减值测试。其他除金融资产之外的非流动资产，当存在迹象表明其账面金额不可收回时，进行减值测试。</w:t>
      </w:r>
    </w:p>
    <w:p w14:paraId="3D6D98D9"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当资产或资产组的账面价值高于可收回金额，即公允价值减去处置费用后的净额和预计未来现金流量的现值中的较高者，表明发生了减值。</w:t>
      </w:r>
    </w:p>
    <w:p w14:paraId="308D93E6"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公允价值减去处置费用后的净额，参考公平交易中类似资产的销售协议价格或可观察到的市场价格，减去可直接归属于该资产处置的增量成本确定。</w:t>
      </w:r>
    </w:p>
    <w:p w14:paraId="426FBAF1"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在预计未来现金流量现值时，需要对该资产（或资产组）的产量、售价、相关经营成本以及计算现值时使用的折现率等</w:t>
      </w:r>
      <w:proofErr w:type="gramStart"/>
      <w:r w:rsidRPr="00F614F9">
        <w:rPr>
          <w:rFonts w:ascii="Times New Roman" w:eastAsia="宋体" w:hAnsi="Times New Roman" w:hint="eastAsia"/>
          <w:sz w:val="18"/>
          <w:szCs w:val="18"/>
        </w:rPr>
        <w:t>作出</w:t>
      </w:r>
      <w:proofErr w:type="gramEnd"/>
      <w:r w:rsidRPr="00F614F9">
        <w:rPr>
          <w:rFonts w:ascii="Times New Roman" w:eastAsia="宋体" w:hAnsi="Times New Roman" w:hint="eastAsia"/>
          <w:sz w:val="18"/>
          <w:szCs w:val="18"/>
        </w:rPr>
        <w:t>重大判断。本集团在估计可收回金额时会采用所有能够获得的相关资料，包括根据合理和</w:t>
      </w:r>
      <w:proofErr w:type="gramStart"/>
      <w:r w:rsidRPr="00F614F9">
        <w:rPr>
          <w:rFonts w:ascii="Times New Roman" w:eastAsia="宋体" w:hAnsi="Times New Roman" w:hint="eastAsia"/>
          <w:sz w:val="18"/>
          <w:szCs w:val="18"/>
        </w:rPr>
        <w:t>可</w:t>
      </w:r>
      <w:proofErr w:type="gramEnd"/>
      <w:r w:rsidRPr="00F614F9">
        <w:rPr>
          <w:rFonts w:ascii="Times New Roman" w:eastAsia="宋体" w:hAnsi="Times New Roman" w:hint="eastAsia"/>
          <w:sz w:val="18"/>
          <w:szCs w:val="18"/>
        </w:rPr>
        <w:t>支持的假设所</w:t>
      </w:r>
      <w:proofErr w:type="gramStart"/>
      <w:r w:rsidRPr="00F614F9">
        <w:rPr>
          <w:rFonts w:ascii="Times New Roman" w:eastAsia="宋体" w:hAnsi="Times New Roman" w:hint="eastAsia"/>
          <w:sz w:val="18"/>
          <w:szCs w:val="18"/>
        </w:rPr>
        <w:t>作出</w:t>
      </w:r>
      <w:proofErr w:type="gramEnd"/>
      <w:r w:rsidRPr="00F614F9">
        <w:rPr>
          <w:rFonts w:ascii="Times New Roman" w:eastAsia="宋体" w:hAnsi="Times New Roman" w:hint="eastAsia"/>
          <w:sz w:val="18"/>
          <w:szCs w:val="18"/>
        </w:rPr>
        <w:t>有关产量、售价和相关经营成本的预测。</w:t>
      </w:r>
    </w:p>
    <w:p w14:paraId="536387F7"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集团至少每年测试商誉是否发生减值。这要求对分配了商誉的资产组或者资产组组合的未来现金流量的现值进行预计。对未来现金流量的现值进行预计时，本集团需要预计未来资产组或者资产组组合产生的现金流量，同时选择恰当的折现率确定未来现金流量的现值。</w:t>
      </w:r>
    </w:p>
    <w:p w14:paraId="2C63F575"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折旧和摊销</w:t>
      </w:r>
    </w:p>
    <w:p w14:paraId="11CC6478"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集团对投资性房地产、固定资产和无形资产在考虑其残值后，在使用寿命内按直线法计提折旧和摊销。本集团定期复核使用寿命，以决定将计入每个报告期的折旧和摊销费用数额。使用寿命是本集团根据对同类资产的以往经验并结合预期的技术更新而确定的。如果以前的估计发生重大变化，则会在未来期间对折旧和摊销费用进行调整。</w:t>
      </w:r>
    </w:p>
    <w:p w14:paraId="693716B3"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递延所得税资产</w:t>
      </w:r>
    </w:p>
    <w:p w14:paraId="016EB955"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在很有可能有足够的应纳税利润来抵扣亏损的限度内，本集团就所有未利用的税务亏损确认递延所得税资产。这需要本集团管理层运用大量的判断来估计未来应纳税利润发生的时间和金额，结合纳税筹划策略，以决定应确认的递延所得税资产的金额。</w:t>
      </w:r>
    </w:p>
    <w:p w14:paraId="0FC89F5D"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所得税</w:t>
      </w:r>
    </w:p>
    <w:p w14:paraId="1E967014"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集团在正常的经营活动中，有部分交易其最终的税务处理和计算存在一定的不确定性。部分项目是否能够在税前列支需要税收主管机关的审批。如果这些税务事项的最终认定结果同最初估计的金额存在差异，则该差异将对其最终认定期间的当期所得税和递延所得税产生影响。</w:t>
      </w:r>
    </w:p>
    <w:p w14:paraId="0C568493"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公允价值计量</w:t>
      </w:r>
    </w:p>
    <w:p w14:paraId="6E28BA4D"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本集团的某些资产和负债在财务报表中按公允价值计量。</w:t>
      </w:r>
    </w:p>
    <w:p w14:paraId="2B801BB1"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公允价值，是指市场参与者在计量日发生的有序交易中，出售一项资产所能收到或者转移一项负债所需支付的价格。本集团以公允价值计量相关资产或负债，考虑该资产或负债的特征；假定市场参与者在计量日出售资产或者转移负债的交易，是在当前市场条件下的有序交易；假定出售资产或者转移负债的有序交易在相关资产或负债的主要市场进行；不存在主要市场的，假定该交易在相关资产或负债的最有利市场进行。</w:t>
      </w:r>
    </w:p>
    <w:p w14:paraId="6CB30CF8"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本集团采用市场参与者在对该资产或负债定价时为实现其经济利益最大化所使用的假设。</w:t>
      </w:r>
    </w:p>
    <w:p w14:paraId="2C0584B9"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本集团根据交易性质和相关资产或负债的特征等，判断初始确认时的公允价值是否与其交易价格相等；交易价格与公允价值不相等的，将相关利得或损失计入当期损益，但相关会计准则另有规定的除外。</w:t>
      </w:r>
    </w:p>
    <w:p w14:paraId="6AC18625"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集团采用在当前情况下适用并且有足够可利用数据和其他信息支持的估值技术，使用的估值技术主要包括市场法、收益法和成本法。在估值技术的应用中，优先使用相关可观察输入值，只有在相关可观察输入值无法取得或取得不切实可</w:t>
      </w:r>
      <w:r w:rsidRPr="00F614F9">
        <w:rPr>
          <w:rFonts w:ascii="Times New Roman" w:eastAsia="宋体" w:hAnsi="Times New Roman" w:hint="eastAsia"/>
          <w:sz w:val="18"/>
          <w:szCs w:val="18"/>
        </w:rPr>
        <w:lastRenderedPageBreak/>
        <w:t>行的情况下，才可以使用不可观察输入值。</w:t>
      </w:r>
    </w:p>
    <w:p w14:paraId="1D442A96"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本集团公允价值计量所使用的输入值划分为三个层次，并首先使用第一层次输入值，其次使用第二层次输入值，最后使用第三层次输入值。第一层次输入值是在计量</w:t>
      </w:r>
      <w:proofErr w:type="gramStart"/>
      <w:r w:rsidRPr="00F614F9">
        <w:rPr>
          <w:rFonts w:ascii="Times New Roman" w:eastAsia="宋体" w:hAnsi="Times New Roman" w:hint="eastAsia"/>
          <w:sz w:val="18"/>
          <w:szCs w:val="18"/>
        </w:rPr>
        <w:t>日能够</w:t>
      </w:r>
      <w:proofErr w:type="gramEnd"/>
      <w:r w:rsidRPr="00F614F9">
        <w:rPr>
          <w:rFonts w:ascii="Times New Roman" w:eastAsia="宋体" w:hAnsi="Times New Roman" w:hint="eastAsia"/>
          <w:sz w:val="18"/>
          <w:szCs w:val="18"/>
        </w:rPr>
        <w:t>取得的相同资产或负债在活跃市场上未经调整的报价；第二层次输入值是除第一层次输入</w:t>
      </w:r>
      <w:proofErr w:type="gramStart"/>
      <w:r w:rsidRPr="00F614F9">
        <w:rPr>
          <w:rFonts w:ascii="Times New Roman" w:eastAsia="宋体" w:hAnsi="Times New Roman" w:hint="eastAsia"/>
          <w:sz w:val="18"/>
          <w:szCs w:val="18"/>
        </w:rPr>
        <w:t>值外相关</w:t>
      </w:r>
      <w:proofErr w:type="gramEnd"/>
      <w:r w:rsidRPr="00F614F9">
        <w:rPr>
          <w:rFonts w:ascii="Times New Roman" w:eastAsia="宋体" w:hAnsi="Times New Roman" w:hint="eastAsia"/>
          <w:sz w:val="18"/>
          <w:szCs w:val="18"/>
        </w:rPr>
        <w:t>资产或负债直接或</w:t>
      </w:r>
      <w:proofErr w:type="gramStart"/>
      <w:r w:rsidRPr="00F614F9">
        <w:rPr>
          <w:rFonts w:ascii="Times New Roman" w:eastAsia="宋体" w:hAnsi="Times New Roman" w:hint="eastAsia"/>
          <w:sz w:val="18"/>
          <w:szCs w:val="18"/>
        </w:rPr>
        <w:t>间接可</w:t>
      </w:r>
      <w:proofErr w:type="gramEnd"/>
      <w:r w:rsidRPr="00F614F9">
        <w:rPr>
          <w:rFonts w:ascii="Times New Roman" w:eastAsia="宋体" w:hAnsi="Times New Roman" w:hint="eastAsia"/>
          <w:sz w:val="18"/>
          <w:szCs w:val="18"/>
        </w:rPr>
        <w:t>观察的输入值；第三层次输入值是相关资产或负债的不可观察输入值。</w:t>
      </w:r>
    </w:p>
    <w:p w14:paraId="5B227A9B"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集团以公允价值计量非金融资产，考虑市场参与者将该资产用于最佳用途产生经济利益的能力，或者将该资产出售给能够用于最佳用途的其他市场参与者产生经济利益的能力。以公允价值计量负债，假定在计量日将该负债转移给其他市场参与者，而且该负债在转移后继续存在，并由作为受让方的市场参与者履行义务。以公允价值计量自身权益工具，假定在计量日将该自身权益工具转移给其他市场参与者，而且该自身权益工具在转移后继续存在，并由作为受让方的市场参与者取得与该工具相关的权利、承担相应的义务。</w:t>
      </w:r>
    </w:p>
    <w:p w14:paraId="54C67C66" w14:textId="77777777" w:rsidR="00872599" w:rsidRPr="00F614F9" w:rsidRDefault="00000000" w:rsidP="007C0164">
      <w:pPr>
        <w:spacing w:line="276" w:lineRule="auto"/>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本集团以市场风险和信用风险的净敞口为基础管理金融资产和金融负债的，以计量日市场参与者在当前市场条件下有序交易中出售净多头（即资产）或者转移净空头（即负债）的价格为基础，计量该金融资产和金融负债组合的公允价值。</w:t>
      </w:r>
    </w:p>
    <w:p w14:paraId="5D9F4B11"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313" w:name="_Toc989124"/>
      <w:bookmarkStart w:id="314" w:name="_Toc164024827"/>
      <w:r w:rsidRPr="00F614F9">
        <w:rPr>
          <w:rFonts w:ascii="Times New Roman" w:eastAsia="宋体" w:hAnsi="Times New Roman" w:cs="宋体"/>
          <w:b/>
          <w:bCs/>
          <w:sz w:val="24"/>
          <w:szCs w:val="24"/>
        </w:rPr>
        <w:t>六、税项</w:t>
      </w:r>
      <w:bookmarkEnd w:id="313"/>
      <w:bookmarkEnd w:id="314"/>
    </w:p>
    <w:p w14:paraId="430FA83D" w14:textId="77777777" w:rsidR="001D26E7" w:rsidRPr="00F614F9" w:rsidRDefault="00000000">
      <w:pPr>
        <w:pStyle w:val="3"/>
        <w:spacing w:line="280" w:lineRule="exact"/>
        <w:jc w:val="left"/>
        <w:rPr>
          <w:rFonts w:ascii="Times New Roman" w:hAnsi="Times New Roman" w:cs="宋体"/>
          <w:b/>
          <w:bCs/>
        </w:rPr>
      </w:pPr>
      <w:bookmarkStart w:id="315" w:name="_Toc989125"/>
      <w:r w:rsidRPr="00F614F9">
        <w:rPr>
          <w:rFonts w:ascii="Times New Roman" w:hAnsi="Times New Roman" w:cs="宋体"/>
          <w:b/>
          <w:bCs/>
        </w:rPr>
        <w:t>1</w:t>
      </w:r>
      <w:r w:rsidRPr="00F614F9">
        <w:rPr>
          <w:rFonts w:ascii="Times New Roman" w:hAnsi="Times New Roman" w:cs="宋体"/>
          <w:b/>
          <w:bCs/>
        </w:rPr>
        <w:t>、主要税种及税率</w:t>
      </w:r>
      <w:bookmarkEnd w:id="315"/>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4B02CF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B5F69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税种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C0DA5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计税依据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840D6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税率</w:t>
            </w:r>
          </w:p>
        </w:tc>
      </w:tr>
      <w:tr w:rsidR="001D26E7" w:rsidRPr="00F614F9" w14:paraId="401B85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EBE6A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14:paraId="05FDAC4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销售货物或提供应税劳务</w:t>
            </w:r>
          </w:p>
        </w:tc>
        <w:tc>
          <w:tcPr>
            <w:tcW w:w="3213" w:type="dxa"/>
            <w:tcBorders>
              <w:top w:val="single" w:sz="2" w:space="0" w:color="auto"/>
              <w:left w:val="single" w:sz="2" w:space="0" w:color="auto"/>
              <w:bottom w:val="single" w:sz="2" w:space="0" w:color="auto"/>
              <w:right w:val="single" w:sz="2" w:space="0" w:color="auto"/>
            </w:tcBorders>
            <w:vAlign w:val="center"/>
          </w:tcPr>
          <w:p w14:paraId="6FC6FE6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w:t>
            </w:r>
            <w:proofErr w:type="gramStart"/>
            <w:r w:rsidRPr="00F614F9">
              <w:rPr>
                <w:rFonts w:ascii="Times New Roman" w:eastAsia="宋体" w:hAnsi="Times New Roman" w:cs="宋体"/>
                <w:sz w:val="18"/>
                <w:szCs w:val="18"/>
              </w:rPr>
              <w:t>税收入按相应</w:t>
            </w:r>
            <w:proofErr w:type="gramEnd"/>
            <w:r w:rsidRPr="00F614F9">
              <w:rPr>
                <w:rFonts w:ascii="Times New Roman" w:eastAsia="宋体" w:hAnsi="Times New Roman" w:cs="宋体"/>
                <w:sz w:val="18"/>
                <w:szCs w:val="18"/>
              </w:rPr>
              <w:t>的税率计算销项税，并按扣除当期允许抵扣的进项税额后</w:t>
            </w:r>
            <w:r w:rsidRPr="00F614F9">
              <w:rPr>
                <w:rFonts w:ascii="Times New Roman" w:eastAsia="宋体" w:hAnsi="Times New Roman" w:cs="宋体"/>
                <w:sz w:val="18"/>
                <w:szCs w:val="18"/>
              </w:rPr>
              <w:t> </w:t>
            </w:r>
            <w:r w:rsidRPr="00F614F9">
              <w:rPr>
                <w:rFonts w:ascii="Times New Roman" w:eastAsia="宋体" w:hAnsi="Times New Roman" w:cs="宋体"/>
                <w:sz w:val="18"/>
                <w:szCs w:val="18"/>
              </w:rPr>
              <w:t>的差额计缴增值税：生猪养殖及符合条件的饲料生产、技术开发、技术咨询、技术转让及技术服务免征增值税部分鲜活肉蛋产品免征流通环节增值税；从中央或地方财政取得的利息补贴收入和价差补贴收入免征增值税；初加工产品执行</w:t>
            </w:r>
            <w:r w:rsidRPr="00F614F9">
              <w:rPr>
                <w:rFonts w:ascii="Times New Roman" w:eastAsia="宋体" w:hAnsi="Times New Roman" w:cs="宋体"/>
                <w:sz w:val="18"/>
                <w:szCs w:val="18"/>
              </w:rPr>
              <w:t>9%</w:t>
            </w:r>
            <w:r w:rsidRPr="00F614F9">
              <w:rPr>
                <w:rFonts w:ascii="Times New Roman" w:eastAsia="宋体" w:hAnsi="Times New Roman" w:cs="宋体"/>
                <w:sz w:val="18"/>
                <w:szCs w:val="18"/>
              </w:rPr>
              <w:t>税率；深加工产品执行</w:t>
            </w:r>
            <w:r w:rsidRPr="00F614F9">
              <w:rPr>
                <w:rFonts w:ascii="Times New Roman" w:eastAsia="宋体" w:hAnsi="Times New Roman" w:cs="宋体"/>
                <w:sz w:val="18"/>
                <w:szCs w:val="18"/>
              </w:rPr>
              <w:t>13%</w:t>
            </w:r>
            <w:r w:rsidRPr="00F614F9">
              <w:rPr>
                <w:rFonts w:ascii="Times New Roman" w:eastAsia="宋体" w:hAnsi="Times New Roman" w:cs="宋体"/>
                <w:sz w:val="18"/>
                <w:szCs w:val="18"/>
              </w:rPr>
              <w:t>税率；利息收入执行</w:t>
            </w:r>
            <w:r w:rsidRPr="00F614F9">
              <w:rPr>
                <w:rFonts w:ascii="Times New Roman" w:eastAsia="宋体" w:hAnsi="Times New Roman" w:cs="宋体"/>
                <w:sz w:val="18"/>
                <w:szCs w:val="18"/>
              </w:rPr>
              <w:t>6%</w:t>
            </w:r>
            <w:r w:rsidRPr="00F614F9">
              <w:rPr>
                <w:rFonts w:ascii="Times New Roman" w:eastAsia="宋体" w:hAnsi="Times New Roman" w:cs="宋体"/>
                <w:sz w:val="18"/>
                <w:szCs w:val="18"/>
              </w:rPr>
              <w:t>税率。</w:t>
            </w:r>
          </w:p>
        </w:tc>
      </w:tr>
      <w:tr w:rsidR="001D26E7" w:rsidRPr="00F614F9" w14:paraId="662F222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D3A03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消费税</w:t>
            </w:r>
          </w:p>
        </w:tc>
        <w:tc>
          <w:tcPr>
            <w:tcW w:w="3213" w:type="dxa"/>
            <w:tcBorders>
              <w:top w:val="single" w:sz="2" w:space="0" w:color="auto"/>
              <w:left w:val="single" w:sz="2" w:space="0" w:color="auto"/>
              <w:bottom w:val="single" w:sz="2" w:space="0" w:color="auto"/>
              <w:right w:val="single" w:sz="2" w:space="0" w:color="auto"/>
            </w:tcBorders>
            <w:vAlign w:val="center"/>
          </w:tcPr>
          <w:p w14:paraId="23B6787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应纳流转税额</w:t>
            </w:r>
          </w:p>
        </w:tc>
        <w:tc>
          <w:tcPr>
            <w:tcW w:w="3213" w:type="dxa"/>
            <w:tcBorders>
              <w:top w:val="single" w:sz="2" w:space="0" w:color="auto"/>
              <w:left w:val="single" w:sz="2" w:space="0" w:color="auto"/>
              <w:bottom w:val="single" w:sz="2" w:space="0" w:color="auto"/>
              <w:right w:val="single" w:sz="2" w:space="0" w:color="auto"/>
            </w:tcBorders>
            <w:vAlign w:val="center"/>
          </w:tcPr>
          <w:p w14:paraId="2A38F581"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09D366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3D957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14:paraId="0A9C06F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应纳流转税额</w:t>
            </w:r>
          </w:p>
        </w:tc>
        <w:tc>
          <w:tcPr>
            <w:tcW w:w="3213" w:type="dxa"/>
            <w:tcBorders>
              <w:top w:val="single" w:sz="2" w:space="0" w:color="auto"/>
              <w:left w:val="single" w:sz="2" w:space="0" w:color="auto"/>
              <w:bottom w:val="single" w:sz="2" w:space="0" w:color="auto"/>
              <w:right w:val="single" w:sz="2" w:space="0" w:color="auto"/>
            </w:tcBorders>
            <w:vAlign w:val="center"/>
          </w:tcPr>
          <w:p w14:paraId="1EC5156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按实际缴纳的流转税的</w:t>
            </w:r>
            <w:r w:rsidRPr="00F614F9">
              <w:rPr>
                <w:rFonts w:ascii="Times New Roman" w:eastAsia="宋体" w:hAnsi="Times New Roman" w:cs="宋体"/>
                <w:sz w:val="18"/>
                <w:szCs w:val="18"/>
              </w:rPr>
              <w:t>7%</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5%</w:t>
            </w:r>
            <w:r w:rsidRPr="00F614F9">
              <w:rPr>
                <w:rFonts w:ascii="Times New Roman" w:eastAsia="宋体" w:hAnsi="Times New Roman" w:cs="宋体"/>
                <w:sz w:val="18"/>
                <w:szCs w:val="18"/>
              </w:rPr>
              <w:t>计缴。</w:t>
            </w:r>
          </w:p>
        </w:tc>
      </w:tr>
      <w:tr w:rsidR="001D26E7" w:rsidRPr="00F614F9" w14:paraId="29DD2B3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1E009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14:paraId="300914D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应纳流转税额</w:t>
            </w:r>
          </w:p>
        </w:tc>
        <w:tc>
          <w:tcPr>
            <w:tcW w:w="3213" w:type="dxa"/>
            <w:tcBorders>
              <w:top w:val="single" w:sz="2" w:space="0" w:color="auto"/>
              <w:left w:val="single" w:sz="2" w:space="0" w:color="auto"/>
              <w:bottom w:val="single" w:sz="2" w:space="0" w:color="auto"/>
              <w:right w:val="single" w:sz="2" w:space="0" w:color="auto"/>
            </w:tcBorders>
            <w:vAlign w:val="center"/>
          </w:tcPr>
          <w:p w14:paraId="6772601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详见下表</w:t>
            </w:r>
          </w:p>
        </w:tc>
      </w:tr>
      <w:tr w:rsidR="001D26E7" w:rsidRPr="00F614F9" w14:paraId="43C291B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4CFED8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14:paraId="57D7C98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应纳流转税额</w:t>
            </w:r>
          </w:p>
        </w:tc>
        <w:tc>
          <w:tcPr>
            <w:tcW w:w="3213" w:type="dxa"/>
            <w:tcBorders>
              <w:top w:val="single" w:sz="2" w:space="0" w:color="auto"/>
              <w:left w:val="single" w:sz="2" w:space="0" w:color="auto"/>
              <w:bottom w:val="single" w:sz="2" w:space="0" w:color="auto"/>
              <w:right w:val="single" w:sz="2" w:space="0" w:color="auto"/>
            </w:tcBorders>
            <w:vAlign w:val="center"/>
          </w:tcPr>
          <w:p w14:paraId="0C5C15F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按实际缴纳的流转税的</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计缴。</w:t>
            </w:r>
          </w:p>
        </w:tc>
      </w:tr>
      <w:tr w:rsidR="001D26E7" w:rsidRPr="00F614F9" w14:paraId="0E18148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A5D318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地方教育附加</w:t>
            </w:r>
          </w:p>
        </w:tc>
        <w:tc>
          <w:tcPr>
            <w:tcW w:w="3213" w:type="dxa"/>
            <w:tcBorders>
              <w:top w:val="single" w:sz="2" w:space="0" w:color="auto"/>
              <w:left w:val="single" w:sz="2" w:space="0" w:color="auto"/>
              <w:bottom w:val="single" w:sz="2" w:space="0" w:color="auto"/>
              <w:right w:val="single" w:sz="2" w:space="0" w:color="auto"/>
            </w:tcBorders>
            <w:vAlign w:val="center"/>
          </w:tcPr>
          <w:p w14:paraId="0441372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应纳流转税额</w:t>
            </w:r>
          </w:p>
        </w:tc>
        <w:tc>
          <w:tcPr>
            <w:tcW w:w="3213" w:type="dxa"/>
            <w:tcBorders>
              <w:top w:val="single" w:sz="2" w:space="0" w:color="auto"/>
              <w:left w:val="single" w:sz="2" w:space="0" w:color="auto"/>
              <w:bottom w:val="single" w:sz="2" w:space="0" w:color="auto"/>
              <w:right w:val="single" w:sz="2" w:space="0" w:color="auto"/>
            </w:tcBorders>
            <w:vAlign w:val="center"/>
          </w:tcPr>
          <w:p w14:paraId="54EC738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按实际缴纳的流转税的</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计缴。</w:t>
            </w:r>
          </w:p>
        </w:tc>
      </w:tr>
    </w:tbl>
    <w:p w14:paraId="4CD736E9"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存在不同企业所得税税率纳税主体的，披露情况说明</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1D26E7" w:rsidRPr="00F614F9" w14:paraId="5A791762"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7625C4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纳税主体名称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37A6B7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所得税税率</w:t>
            </w:r>
          </w:p>
        </w:tc>
      </w:tr>
      <w:tr w:rsidR="001D26E7" w:rsidRPr="00F614F9" w14:paraId="1A30D0D9"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282E70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山东龙大美食股份有限公司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2E7303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自产肉类初加工产品项目所得，免征企业所得税，深加工产品等其他项目所得税率为</w:t>
            </w:r>
            <w:r w:rsidRPr="00F614F9">
              <w:rPr>
                <w:rFonts w:ascii="Times New Roman" w:eastAsia="宋体" w:hAnsi="Times New Roman" w:cs="宋体"/>
                <w:sz w:val="18"/>
                <w:szCs w:val="18"/>
              </w:rPr>
              <w:t>25%</w:t>
            </w:r>
          </w:p>
        </w:tc>
      </w:tr>
      <w:tr w:rsidR="001D26E7" w:rsidRPr="00F614F9" w14:paraId="5F61E38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DC8D0C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烟台龙大养殖有限公司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BFE21C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从事牲畜、家禽的饲养项目所得税，免征企业所得税</w:t>
            </w:r>
          </w:p>
        </w:tc>
      </w:tr>
      <w:tr w:rsidR="001D26E7" w:rsidRPr="00F614F9" w14:paraId="29B9C65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963443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烟台龙大饲料有限公司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03C70A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25%</w:t>
            </w:r>
          </w:p>
        </w:tc>
      </w:tr>
      <w:tr w:rsidR="001D26E7" w:rsidRPr="00F614F9" w14:paraId="5AC0423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6FB39D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河南龙大牧原肉食品有限公司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EE60E5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自产肉类初加工产品项目所得，免征企业所得税，深加工产品等其他项目所得税率为</w:t>
            </w:r>
            <w:r w:rsidRPr="00F614F9">
              <w:rPr>
                <w:rFonts w:ascii="Times New Roman" w:eastAsia="宋体" w:hAnsi="Times New Roman" w:cs="宋体"/>
                <w:sz w:val="18"/>
                <w:szCs w:val="18"/>
              </w:rPr>
              <w:t>25%</w:t>
            </w:r>
          </w:p>
        </w:tc>
      </w:tr>
      <w:tr w:rsidR="001D26E7" w:rsidRPr="00F614F9" w14:paraId="2C7BFED8"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CBA387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聊城龙大肉食品有限公司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F13FA7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自产肉类初加工产品项目所得，免征企业所得税，深加工产品等其他项目所得税率为</w:t>
            </w:r>
            <w:r w:rsidRPr="00F614F9">
              <w:rPr>
                <w:rFonts w:ascii="Times New Roman" w:eastAsia="宋体" w:hAnsi="Times New Roman" w:cs="宋体"/>
                <w:sz w:val="18"/>
                <w:szCs w:val="18"/>
              </w:rPr>
              <w:t>25%</w:t>
            </w:r>
          </w:p>
        </w:tc>
      </w:tr>
      <w:tr w:rsidR="001D26E7" w:rsidRPr="00F614F9" w14:paraId="4F2F508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BEC81F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烟台杰科检测服务有限公司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B43480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小型微利企业所得税率</w:t>
            </w:r>
          </w:p>
        </w:tc>
      </w:tr>
      <w:tr w:rsidR="001D26E7" w:rsidRPr="00F614F9" w14:paraId="7853B68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531C514"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莒</w:t>
            </w:r>
            <w:proofErr w:type="gramEnd"/>
            <w:r w:rsidRPr="00F614F9">
              <w:rPr>
                <w:rFonts w:ascii="Times New Roman" w:eastAsia="宋体" w:hAnsi="Times New Roman" w:cs="宋体"/>
                <w:sz w:val="18"/>
                <w:szCs w:val="18"/>
              </w:rPr>
              <w:t>南龙大肉食品有限公司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1626F4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自产肉类初加工产品项目所得，免征企业所得税，深加工产品等其他项目所得税率为</w:t>
            </w:r>
            <w:r w:rsidRPr="00F614F9">
              <w:rPr>
                <w:rFonts w:ascii="Times New Roman" w:eastAsia="宋体" w:hAnsi="Times New Roman" w:cs="宋体"/>
                <w:sz w:val="18"/>
                <w:szCs w:val="18"/>
              </w:rPr>
              <w:t>25%</w:t>
            </w:r>
          </w:p>
        </w:tc>
      </w:tr>
      <w:tr w:rsidR="001D26E7" w:rsidRPr="00F614F9" w14:paraId="3C9D97F2"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E8F558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蓬莱富龙肉食品有限公司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BD1044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自产肉类初加工产品项目所得，免征企业所得税，深加工产品等其他项目所得税率为</w:t>
            </w:r>
            <w:r w:rsidRPr="00F614F9">
              <w:rPr>
                <w:rFonts w:ascii="Times New Roman" w:eastAsia="宋体" w:hAnsi="Times New Roman" w:cs="宋体"/>
                <w:sz w:val="18"/>
                <w:szCs w:val="18"/>
              </w:rPr>
              <w:t>25%</w:t>
            </w:r>
          </w:p>
        </w:tc>
      </w:tr>
      <w:tr w:rsidR="001D26E7" w:rsidRPr="00F614F9" w14:paraId="3EBC810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4DAE05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北京快厨帮科技有限公司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BDCBFF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小型微利企业所得税率</w:t>
            </w:r>
          </w:p>
        </w:tc>
      </w:tr>
      <w:tr w:rsidR="001D26E7" w:rsidRPr="00F614F9" w14:paraId="0CB6C82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0AFBD4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山东龙大生猪产品工程技术研究有限公司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0FCC8F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小型微利企业所得税率</w:t>
            </w:r>
          </w:p>
        </w:tc>
      </w:tr>
      <w:tr w:rsidR="001D26E7" w:rsidRPr="00F614F9" w14:paraId="11706BB7"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B2A70B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莱阳龙瑞食品有限公司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633EF4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25%</w:t>
            </w:r>
          </w:p>
        </w:tc>
      </w:tr>
      <w:tr w:rsidR="001D26E7" w:rsidRPr="00F614F9" w14:paraId="5E15FCD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0E0FFE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泰麟食品（烟台）有限责任公司</w:t>
            </w:r>
          </w:p>
        </w:tc>
        <w:tc>
          <w:tcPr>
            <w:tcW w:w="4820" w:type="dxa"/>
            <w:tcBorders>
              <w:top w:val="single" w:sz="2" w:space="0" w:color="auto"/>
              <w:left w:val="single" w:sz="2" w:space="0" w:color="auto"/>
              <w:bottom w:val="single" w:sz="2" w:space="0" w:color="auto"/>
              <w:right w:val="single" w:sz="2" w:space="0" w:color="auto"/>
            </w:tcBorders>
            <w:vAlign w:val="center"/>
          </w:tcPr>
          <w:p w14:paraId="72C72CF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25%</w:t>
            </w:r>
          </w:p>
        </w:tc>
      </w:tr>
      <w:tr w:rsidR="001D26E7" w:rsidRPr="00F614F9" w14:paraId="1228236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C90B12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四川龙炸餐饮管理有限公司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5E9B74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小型微利企业所得税率</w:t>
            </w:r>
          </w:p>
        </w:tc>
      </w:tr>
      <w:tr w:rsidR="001D26E7" w:rsidRPr="00F614F9" w14:paraId="0E5B05B2"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8E2609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青岛中和盛杰食品有限公司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FA0293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25%</w:t>
            </w:r>
          </w:p>
        </w:tc>
      </w:tr>
      <w:tr w:rsidR="001D26E7" w:rsidRPr="00F614F9" w14:paraId="2F50B87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4F62CC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青岛新胜</w:t>
            </w:r>
            <w:proofErr w:type="gramStart"/>
            <w:r w:rsidRPr="00F614F9">
              <w:rPr>
                <w:rFonts w:ascii="Times New Roman" w:eastAsia="宋体" w:hAnsi="Times New Roman" w:cs="宋体"/>
                <w:sz w:val="18"/>
                <w:szCs w:val="18"/>
              </w:rPr>
              <w:t>锦食品</w:t>
            </w:r>
            <w:proofErr w:type="gramEnd"/>
            <w:r w:rsidRPr="00F614F9">
              <w:rPr>
                <w:rFonts w:ascii="Times New Roman" w:eastAsia="宋体" w:hAnsi="Times New Roman" w:cs="宋体"/>
                <w:sz w:val="18"/>
                <w:szCs w:val="18"/>
              </w:rPr>
              <w:t>商贸有限公司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3214B4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小型微利企业所得税率</w:t>
            </w:r>
          </w:p>
        </w:tc>
      </w:tr>
      <w:tr w:rsidR="001D26E7" w:rsidRPr="00F614F9" w14:paraId="781D330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6C2258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乳山中和盛杰食品有限公司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12734B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小型微利企业所得税率</w:t>
            </w:r>
          </w:p>
        </w:tc>
      </w:tr>
      <w:tr w:rsidR="001D26E7" w:rsidRPr="00F614F9" w14:paraId="75B601D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33C883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潍坊振</w:t>
            </w:r>
            <w:proofErr w:type="gramStart"/>
            <w:r w:rsidRPr="00F614F9">
              <w:rPr>
                <w:rFonts w:ascii="Times New Roman" w:eastAsia="宋体" w:hAnsi="Times New Roman" w:cs="宋体"/>
                <w:sz w:val="18"/>
                <w:szCs w:val="18"/>
              </w:rPr>
              <w:t>祥</w:t>
            </w:r>
            <w:proofErr w:type="gramEnd"/>
            <w:r w:rsidRPr="00F614F9">
              <w:rPr>
                <w:rFonts w:ascii="Times New Roman" w:eastAsia="宋体" w:hAnsi="Times New Roman" w:cs="宋体"/>
                <w:sz w:val="18"/>
                <w:szCs w:val="18"/>
              </w:rPr>
              <w:t>食品有限公司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443523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自产肉类初加工产品项目所得，免征企业所得税，深加工产品等其他项目所得税率为</w:t>
            </w:r>
            <w:r w:rsidRPr="00F614F9">
              <w:rPr>
                <w:rFonts w:ascii="Times New Roman" w:eastAsia="宋体" w:hAnsi="Times New Roman" w:cs="宋体"/>
                <w:sz w:val="18"/>
                <w:szCs w:val="18"/>
              </w:rPr>
              <w:t>25%</w:t>
            </w:r>
          </w:p>
        </w:tc>
      </w:tr>
      <w:tr w:rsidR="001D26E7" w:rsidRPr="00F614F9" w14:paraId="33895B28"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2706FB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云南福照食品有限公司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E7B842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自产肉类初加工产品项目所得，免征企业所得税，深加工产品等其他项目所得税率为</w:t>
            </w:r>
            <w:r w:rsidRPr="00F614F9">
              <w:rPr>
                <w:rFonts w:ascii="Times New Roman" w:eastAsia="宋体" w:hAnsi="Times New Roman" w:cs="宋体"/>
                <w:sz w:val="18"/>
                <w:szCs w:val="18"/>
              </w:rPr>
              <w:t>25%</w:t>
            </w:r>
          </w:p>
        </w:tc>
      </w:tr>
      <w:tr w:rsidR="001D26E7" w:rsidRPr="00F614F9" w14:paraId="6E680F1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77ACD9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香港龙大发展有限公司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D2E25A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企业首</w:t>
            </w:r>
            <w:r w:rsidRPr="00F614F9">
              <w:rPr>
                <w:rFonts w:ascii="Times New Roman" w:eastAsia="宋体" w:hAnsi="Times New Roman" w:cs="宋体"/>
                <w:sz w:val="18"/>
                <w:szCs w:val="18"/>
              </w:rPr>
              <w:t>200</w:t>
            </w:r>
            <w:r w:rsidRPr="00F614F9">
              <w:rPr>
                <w:rFonts w:ascii="Times New Roman" w:eastAsia="宋体" w:hAnsi="Times New Roman" w:cs="宋体"/>
                <w:sz w:val="18"/>
                <w:szCs w:val="18"/>
              </w:rPr>
              <w:t>万港元的利润利得</w:t>
            </w:r>
            <w:proofErr w:type="gramStart"/>
            <w:r w:rsidRPr="00F614F9">
              <w:rPr>
                <w:rFonts w:ascii="Times New Roman" w:eastAsia="宋体" w:hAnsi="Times New Roman" w:cs="宋体"/>
                <w:sz w:val="18"/>
                <w:szCs w:val="18"/>
              </w:rPr>
              <w:t>税</w:t>
            </w:r>
            <w:proofErr w:type="gramEnd"/>
            <w:r w:rsidRPr="00F614F9">
              <w:rPr>
                <w:rFonts w:ascii="Times New Roman" w:eastAsia="宋体" w:hAnsi="Times New Roman" w:cs="宋体"/>
                <w:sz w:val="18"/>
                <w:szCs w:val="18"/>
              </w:rPr>
              <w:t>税率</w:t>
            </w:r>
            <w:r w:rsidRPr="00F614F9">
              <w:rPr>
                <w:rFonts w:ascii="Times New Roman" w:eastAsia="宋体" w:hAnsi="Times New Roman" w:cs="宋体"/>
                <w:sz w:val="18"/>
                <w:szCs w:val="18"/>
              </w:rPr>
              <w:t>8.25%</w:t>
            </w:r>
            <w:r w:rsidRPr="00F614F9">
              <w:rPr>
                <w:rFonts w:ascii="Times New Roman" w:eastAsia="宋体" w:hAnsi="Times New Roman" w:cs="宋体"/>
                <w:sz w:val="18"/>
                <w:szCs w:val="18"/>
              </w:rPr>
              <w:t>，其后的利润</w:t>
            </w:r>
            <w:r w:rsidRPr="00F614F9">
              <w:rPr>
                <w:rFonts w:ascii="Times New Roman" w:eastAsia="宋体" w:hAnsi="Times New Roman" w:cs="宋体"/>
                <w:sz w:val="18"/>
                <w:szCs w:val="18"/>
              </w:rPr>
              <w:t>16.5%</w:t>
            </w:r>
          </w:p>
        </w:tc>
      </w:tr>
      <w:tr w:rsidR="001D26E7" w:rsidRPr="00F614F9" w14:paraId="027F4DE7"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91732C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山东龙大美食贸易有限公司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A03E54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25%</w:t>
            </w:r>
          </w:p>
        </w:tc>
      </w:tr>
      <w:tr w:rsidR="001D26E7" w:rsidRPr="00F614F9" w14:paraId="08C7D60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8DC557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黑龙江龙大养殖有限公司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7C8433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从事牲畜、家禽的饲养项目所得税，免征企业所得税</w:t>
            </w:r>
          </w:p>
        </w:tc>
      </w:tr>
      <w:tr w:rsidR="001D26E7" w:rsidRPr="00F614F9" w14:paraId="3D37DD1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5696DE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安丘龙大养殖有限公司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8A92D3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从事牲畜、家禽的饲养项目所得税，免征企业所得税</w:t>
            </w:r>
          </w:p>
        </w:tc>
      </w:tr>
      <w:tr w:rsidR="001D26E7" w:rsidRPr="00F614F9" w14:paraId="0DA7AFD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32878F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莱阳龙大养殖有限公司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2B67B5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从事牲畜、家禽的饲养项目所得税，免征企业所得税</w:t>
            </w:r>
          </w:p>
        </w:tc>
      </w:tr>
      <w:tr w:rsidR="001D26E7" w:rsidRPr="00F614F9" w14:paraId="5B427C5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511E47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莱州龙大养殖有限公司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A773BE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从事牲畜、家禽的饲养项目所得税，免征企业所得税</w:t>
            </w:r>
          </w:p>
        </w:tc>
      </w:tr>
      <w:tr w:rsidR="001D26E7" w:rsidRPr="00F614F9" w14:paraId="1BA5A21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0A7F00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乳山龙大养殖有限公司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5AF92F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从事牲畜、家禽的饲养项目所得税，免征企业所得税</w:t>
            </w:r>
          </w:p>
        </w:tc>
      </w:tr>
      <w:tr w:rsidR="001D26E7" w:rsidRPr="00F614F9" w14:paraId="4154657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C48F59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青岛龙大管理咨询服务有限公司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602B7D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小型微利企业所得税率</w:t>
            </w:r>
          </w:p>
        </w:tc>
      </w:tr>
      <w:tr w:rsidR="001D26E7" w:rsidRPr="00F614F9" w14:paraId="21E3765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DC63BD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江苏龙大沁侬食品有限公司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8F248E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自产肉类初加工产品项目所得，免征企业所得税，深加工产品等其他项目所得税率为</w:t>
            </w:r>
            <w:r w:rsidRPr="00F614F9">
              <w:rPr>
                <w:rFonts w:ascii="Times New Roman" w:eastAsia="宋体" w:hAnsi="Times New Roman" w:cs="宋体"/>
                <w:sz w:val="18"/>
                <w:szCs w:val="18"/>
              </w:rPr>
              <w:t>25%</w:t>
            </w:r>
          </w:p>
        </w:tc>
      </w:tr>
      <w:tr w:rsidR="001D26E7" w:rsidRPr="00F614F9" w14:paraId="797BAA42"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E3F0EAB"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通辽金泉食品</w:t>
            </w:r>
            <w:proofErr w:type="gramEnd"/>
            <w:r w:rsidRPr="00F614F9">
              <w:rPr>
                <w:rFonts w:ascii="Times New Roman" w:eastAsia="宋体" w:hAnsi="Times New Roman" w:cs="宋体"/>
                <w:sz w:val="18"/>
                <w:szCs w:val="18"/>
              </w:rPr>
              <w:t>有限责任公司</w:t>
            </w:r>
          </w:p>
        </w:tc>
        <w:tc>
          <w:tcPr>
            <w:tcW w:w="4820" w:type="dxa"/>
            <w:tcBorders>
              <w:top w:val="single" w:sz="2" w:space="0" w:color="auto"/>
              <w:left w:val="single" w:sz="2" w:space="0" w:color="auto"/>
              <w:bottom w:val="single" w:sz="2" w:space="0" w:color="auto"/>
              <w:right w:val="single" w:sz="2" w:space="0" w:color="auto"/>
            </w:tcBorders>
            <w:vAlign w:val="center"/>
          </w:tcPr>
          <w:p w14:paraId="442278A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自产肉类初加工产品项目所得，免征企业所得税，深加工产品等其他项目所得税率为</w:t>
            </w:r>
            <w:r w:rsidRPr="00F614F9">
              <w:rPr>
                <w:rFonts w:ascii="Times New Roman" w:eastAsia="宋体" w:hAnsi="Times New Roman" w:cs="宋体"/>
                <w:sz w:val="18"/>
                <w:szCs w:val="18"/>
              </w:rPr>
              <w:t>25%</w:t>
            </w:r>
          </w:p>
        </w:tc>
      </w:tr>
      <w:tr w:rsidR="001D26E7" w:rsidRPr="00F614F9" w14:paraId="24D7EC8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83F8F0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湖北龙大肉食品有限公司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95ECC7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自产肉类初加工产品项目所得，免征企业所得税，深加工产品等其他项目所得税率为</w:t>
            </w:r>
            <w:r w:rsidRPr="00F614F9">
              <w:rPr>
                <w:rFonts w:ascii="Times New Roman" w:eastAsia="宋体" w:hAnsi="Times New Roman" w:cs="宋体"/>
                <w:sz w:val="18"/>
                <w:szCs w:val="18"/>
              </w:rPr>
              <w:t>25%</w:t>
            </w:r>
          </w:p>
        </w:tc>
      </w:tr>
      <w:tr w:rsidR="001D26E7" w:rsidRPr="00F614F9" w14:paraId="5969823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A996FA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成都龙大肉食品有限公司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B5C27A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自产肉类初加工产品项目所得，免征企业所得税，深加工产品等其他项目所得税率为</w:t>
            </w:r>
            <w:r w:rsidRPr="00F614F9">
              <w:rPr>
                <w:rFonts w:ascii="Times New Roman" w:eastAsia="宋体" w:hAnsi="Times New Roman" w:cs="宋体"/>
                <w:sz w:val="18"/>
                <w:szCs w:val="18"/>
              </w:rPr>
              <w:t>25%</w:t>
            </w:r>
          </w:p>
        </w:tc>
      </w:tr>
      <w:tr w:rsidR="001D26E7" w:rsidRPr="00F614F9" w14:paraId="684511A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FB638D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黑龙江龙大肉食品有限公司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CAEC84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自产肉类初加工产品项目所得，免征企业所得税，深加工产品等其他项目所得税率为</w:t>
            </w:r>
            <w:r w:rsidRPr="00F614F9">
              <w:rPr>
                <w:rFonts w:ascii="Times New Roman" w:eastAsia="宋体" w:hAnsi="Times New Roman" w:cs="宋体"/>
                <w:sz w:val="18"/>
                <w:szCs w:val="18"/>
              </w:rPr>
              <w:t>25%</w:t>
            </w:r>
          </w:p>
        </w:tc>
      </w:tr>
      <w:tr w:rsidR="001D26E7" w:rsidRPr="00F614F9" w14:paraId="5692ACF9"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CC3C5D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海南龙大美食有限责任公司</w:t>
            </w:r>
          </w:p>
        </w:tc>
        <w:tc>
          <w:tcPr>
            <w:tcW w:w="4820" w:type="dxa"/>
            <w:tcBorders>
              <w:top w:val="single" w:sz="2" w:space="0" w:color="auto"/>
              <w:left w:val="single" w:sz="2" w:space="0" w:color="auto"/>
              <w:bottom w:val="single" w:sz="2" w:space="0" w:color="auto"/>
              <w:right w:val="single" w:sz="2" w:space="0" w:color="auto"/>
            </w:tcBorders>
            <w:vAlign w:val="center"/>
          </w:tcPr>
          <w:p w14:paraId="3D8947C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符合海南省自贸区鼓励类行业，主营业务达到百分之六十以上，享受企业所得税</w:t>
            </w:r>
            <w:r w:rsidRPr="00F614F9">
              <w:rPr>
                <w:rFonts w:ascii="Times New Roman" w:eastAsia="宋体" w:hAnsi="Times New Roman" w:cs="宋体"/>
                <w:sz w:val="18"/>
                <w:szCs w:val="18"/>
              </w:rPr>
              <w:t>15%</w:t>
            </w:r>
            <w:r w:rsidRPr="00F614F9">
              <w:rPr>
                <w:rFonts w:ascii="Times New Roman" w:eastAsia="宋体" w:hAnsi="Times New Roman" w:cs="宋体"/>
                <w:sz w:val="18"/>
                <w:szCs w:val="18"/>
              </w:rPr>
              <w:t>的优惠税率。</w:t>
            </w:r>
          </w:p>
        </w:tc>
      </w:tr>
      <w:tr w:rsidR="001D26E7" w:rsidRPr="00F614F9" w14:paraId="42E1DC3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402C1F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巴中龙大肉食品有限公司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8D7339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自产肉类初加工产品项目所得，免征企业所得税，深加工产品等其他项目所得税率为</w:t>
            </w:r>
            <w:r w:rsidRPr="00F614F9">
              <w:rPr>
                <w:rFonts w:ascii="Times New Roman" w:eastAsia="宋体" w:hAnsi="Times New Roman" w:cs="宋体"/>
                <w:sz w:val="18"/>
                <w:szCs w:val="18"/>
              </w:rPr>
              <w:t>25%</w:t>
            </w:r>
          </w:p>
        </w:tc>
      </w:tr>
      <w:tr w:rsidR="001D26E7" w:rsidRPr="00F614F9" w14:paraId="44FE29D7"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DC975E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w:t>
            </w:r>
            <w:proofErr w:type="gramStart"/>
            <w:r w:rsidRPr="00F614F9">
              <w:rPr>
                <w:rFonts w:ascii="Times New Roman" w:eastAsia="宋体" w:hAnsi="Times New Roman" w:cs="宋体"/>
                <w:sz w:val="18"/>
                <w:szCs w:val="18"/>
              </w:rPr>
              <w:t>龙鲜生供应</w:t>
            </w:r>
            <w:proofErr w:type="gramEnd"/>
            <w:r w:rsidRPr="00F614F9">
              <w:rPr>
                <w:rFonts w:ascii="Times New Roman" w:eastAsia="宋体" w:hAnsi="Times New Roman" w:cs="宋体"/>
                <w:sz w:val="18"/>
                <w:szCs w:val="18"/>
              </w:rPr>
              <w:t>链管理有限公司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4BD15E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小型微利企业所得税率</w:t>
            </w:r>
          </w:p>
        </w:tc>
      </w:tr>
      <w:tr w:rsidR="001D26E7" w:rsidRPr="00F614F9" w14:paraId="2258B59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597FEA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青岛龙大鲜</w:t>
            </w:r>
            <w:proofErr w:type="gramStart"/>
            <w:r w:rsidRPr="00F614F9">
              <w:rPr>
                <w:rFonts w:ascii="Times New Roman" w:eastAsia="宋体" w:hAnsi="Times New Roman" w:cs="宋体"/>
                <w:sz w:val="18"/>
                <w:szCs w:val="18"/>
              </w:rPr>
              <w:t>生供应</w:t>
            </w:r>
            <w:proofErr w:type="gramEnd"/>
            <w:r w:rsidRPr="00F614F9">
              <w:rPr>
                <w:rFonts w:ascii="Times New Roman" w:eastAsia="宋体" w:hAnsi="Times New Roman" w:cs="宋体"/>
                <w:sz w:val="18"/>
                <w:szCs w:val="18"/>
              </w:rPr>
              <w:t>链有限公司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311864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小型微利企业所得税率</w:t>
            </w:r>
          </w:p>
        </w:tc>
      </w:tr>
      <w:tr w:rsidR="001D26E7" w:rsidRPr="00F614F9" w14:paraId="70063668"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03C633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四川龙鲜活供应链管理有限公司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7B6EF4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小型微利企业所得税率</w:t>
            </w:r>
          </w:p>
        </w:tc>
      </w:tr>
      <w:tr w:rsidR="001D26E7" w:rsidRPr="00F614F9" w14:paraId="007BB7C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96215C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潍坊振</w:t>
            </w:r>
            <w:proofErr w:type="gramStart"/>
            <w:r w:rsidRPr="00F614F9">
              <w:rPr>
                <w:rFonts w:ascii="Times New Roman" w:eastAsia="宋体" w:hAnsi="Times New Roman" w:cs="宋体"/>
                <w:sz w:val="18"/>
                <w:szCs w:val="18"/>
              </w:rPr>
              <w:t>祥</w:t>
            </w:r>
            <w:proofErr w:type="gramEnd"/>
            <w:r w:rsidRPr="00F614F9">
              <w:rPr>
                <w:rFonts w:ascii="Times New Roman" w:eastAsia="宋体" w:hAnsi="Times New Roman" w:cs="宋体"/>
                <w:sz w:val="18"/>
                <w:szCs w:val="18"/>
              </w:rPr>
              <w:t>食品销售有限公司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2EAB05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小型微利企业所得税率</w:t>
            </w:r>
          </w:p>
        </w:tc>
      </w:tr>
      <w:tr w:rsidR="001D26E7" w:rsidRPr="00F614F9" w14:paraId="773210C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546DDD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成都龙大科技有限公司（原成都</w:t>
            </w:r>
            <w:proofErr w:type="gramStart"/>
            <w:r w:rsidRPr="00F614F9">
              <w:rPr>
                <w:rFonts w:ascii="Times New Roman" w:eastAsia="宋体" w:hAnsi="Times New Roman" w:cs="宋体"/>
                <w:sz w:val="18"/>
                <w:szCs w:val="18"/>
              </w:rPr>
              <w:t>逸享潮代供应</w:t>
            </w:r>
            <w:proofErr w:type="gramEnd"/>
            <w:r w:rsidRPr="00F614F9">
              <w:rPr>
                <w:rFonts w:ascii="Times New Roman" w:eastAsia="宋体" w:hAnsi="Times New Roman" w:cs="宋体"/>
                <w:sz w:val="18"/>
                <w:szCs w:val="18"/>
              </w:rPr>
              <w:t>链管理有限公司）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AB830B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25%</w:t>
            </w:r>
          </w:p>
        </w:tc>
      </w:tr>
      <w:tr w:rsidR="001D26E7" w:rsidRPr="00F614F9" w14:paraId="6CA197F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6BB2D4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北京晓食探科技有限公司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5C5B44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小型微利企业所得税率</w:t>
            </w:r>
          </w:p>
        </w:tc>
      </w:tr>
      <w:tr w:rsidR="001D26E7" w:rsidRPr="00F614F9" w14:paraId="541E1C51"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E5034A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龙大美食</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北京</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食品科技有限公司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600B4A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25%</w:t>
            </w:r>
          </w:p>
        </w:tc>
      </w:tr>
      <w:tr w:rsidR="001D26E7" w:rsidRPr="00F614F9" w14:paraId="0A12B09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231202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龙大美食</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上海</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食品科技有限公司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1AA372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25%</w:t>
            </w:r>
          </w:p>
        </w:tc>
      </w:tr>
      <w:tr w:rsidR="001D26E7" w:rsidRPr="00F614F9" w14:paraId="6EA9365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A0DF13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龙大美食</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广东</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食品科技有限公司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3EAB83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25%</w:t>
            </w:r>
          </w:p>
        </w:tc>
      </w:tr>
    </w:tbl>
    <w:p w14:paraId="6C97BD0A" w14:textId="77777777" w:rsidR="001D26E7" w:rsidRPr="00F614F9" w:rsidRDefault="00000000">
      <w:pPr>
        <w:pStyle w:val="3"/>
        <w:spacing w:line="280" w:lineRule="exact"/>
        <w:jc w:val="left"/>
        <w:rPr>
          <w:rFonts w:ascii="Times New Roman" w:hAnsi="Times New Roman" w:cs="宋体"/>
          <w:b/>
          <w:bCs/>
        </w:rPr>
      </w:pPr>
      <w:bookmarkStart w:id="316" w:name="_Toc989126"/>
      <w:r w:rsidRPr="00F614F9">
        <w:rPr>
          <w:rFonts w:ascii="Times New Roman" w:hAnsi="Times New Roman" w:cs="宋体"/>
          <w:b/>
          <w:bCs/>
        </w:rPr>
        <w:t>2</w:t>
      </w:r>
      <w:r w:rsidRPr="00F614F9">
        <w:rPr>
          <w:rFonts w:ascii="Times New Roman" w:hAnsi="Times New Roman" w:cs="宋体"/>
          <w:b/>
          <w:bCs/>
        </w:rPr>
        <w:t>、税收优惠</w:t>
      </w:r>
      <w:bookmarkEnd w:id="316"/>
    </w:p>
    <w:p w14:paraId="143C2371" w14:textId="77777777" w:rsidR="00872599" w:rsidRPr="00F614F9" w:rsidRDefault="00000000" w:rsidP="007C0164">
      <w:pPr>
        <w:pStyle w:val="a3"/>
        <w:spacing w:before="0" w:beforeAutospacing="0" w:after="0" w:afterAutospacing="0" w:line="276" w:lineRule="auto"/>
        <w:ind w:firstLine="360"/>
        <w:jc w:val="both"/>
        <w:divId w:val="2119256932"/>
        <w:rPr>
          <w:rFonts w:ascii="Times New Roman" w:hAnsi="Times New Roman" w:cs="Calibri"/>
          <w:sz w:val="21"/>
          <w:szCs w:val="21"/>
        </w:rPr>
      </w:pPr>
      <w:r w:rsidRPr="00F614F9">
        <w:rPr>
          <w:rFonts w:ascii="Times New Roman" w:hAnsi="Times New Roman" w:cs="Calibri" w:hint="eastAsia"/>
          <w:sz w:val="18"/>
          <w:szCs w:val="18"/>
        </w:rPr>
        <w:t>（</w:t>
      </w:r>
      <w:r w:rsidRPr="00F614F9">
        <w:rPr>
          <w:rFonts w:ascii="Times New Roman" w:hAnsi="Times New Roman" w:cs="Calibri" w:hint="eastAsia"/>
          <w:sz w:val="18"/>
          <w:szCs w:val="18"/>
        </w:rPr>
        <w:t>1</w:t>
      </w:r>
      <w:r w:rsidRPr="00F614F9">
        <w:rPr>
          <w:rFonts w:ascii="Times New Roman" w:hAnsi="Times New Roman" w:cs="Calibri" w:hint="eastAsia"/>
          <w:sz w:val="18"/>
          <w:szCs w:val="18"/>
        </w:rPr>
        <w:t>）企业所得税优惠</w:t>
      </w:r>
    </w:p>
    <w:p w14:paraId="622874CC" w14:textId="77777777" w:rsidR="00872599" w:rsidRPr="00F614F9" w:rsidRDefault="00000000" w:rsidP="007C0164">
      <w:pPr>
        <w:pStyle w:val="a3"/>
        <w:spacing w:before="0" w:beforeAutospacing="0" w:after="0" w:afterAutospacing="0" w:line="276" w:lineRule="auto"/>
        <w:ind w:firstLine="360"/>
        <w:jc w:val="both"/>
        <w:divId w:val="2119256932"/>
        <w:rPr>
          <w:rFonts w:ascii="Times New Roman" w:hAnsi="Times New Roman" w:cs="Calibri"/>
          <w:sz w:val="21"/>
          <w:szCs w:val="21"/>
        </w:rPr>
      </w:pPr>
      <w:r w:rsidRPr="00F614F9">
        <w:rPr>
          <w:rFonts w:ascii="Times New Roman" w:hAnsi="Times New Roman" w:cs="Calibri" w:hint="eastAsia"/>
          <w:sz w:val="18"/>
          <w:szCs w:val="18"/>
        </w:rPr>
        <w:t>①初级农产品加工</w:t>
      </w:r>
    </w:p>
    <w:p w14:paraId="4515B2A4" w14:textId="77777777" w:rsidR="00872599" w:rsidRPr="00F614F9" w:rsidRDefault="00000000" w:rsidP="007C0164">
      <w:pPr>
        <w:pStyle w:val="a3"/>
        <w:spacing w:before="0" w:beforeAutospacing="0" w:after="0" w:afterAutospacing="0" w:line="276" w:lineRule="auto"/>
        <w:ind w:firstLine="360"/>
        <w:jc w:val="both"/>
        <w:divId w:val="2119256932"/>
        <w:rPr>
          <w:rFonts w:ascii="Times New Roman" w:hAnsi="Times New Roman" w:cs="Calibri"/>
          <w:sz w:val="21"/>
          <w:szCs w:val="21"/>
        </w:rPr>
      </w:pPr>
      <w:r w:rsidRPr="00F614F9">
        <w:rPr>
          <w:rFonts w:ascii="Times New Roman" w:hAnsi="Times New Roman" w:cs="Calibri" w:hint="eastAsia"/>
          <w:sz w:val="18"/>
          <w:szCs w:val="18"/>
        </w:rPr>
        <w:lastRenderedPageBreak/>
        <w:t>根据《中华人民共和国企业所得税法》及其实施条例、</w:t>
      </w:r>
      <w:r w:rsidRPr="00F614F9">
        <w:rPr>
          <w:rFonts w:ascii="Times New Roman" w:hAnsi="Times New Roman" w:cs="Calibri" w:hint="eastAsia"/>
          <w:sz w:val="18"/>
          <w:szCs w:val="18"/>
        </w:rPr>
        <w:t>2008</w:t>
      </w:r>
      <w:r w:rsidRPr="00F614F9">
        <w:rPr>
          <w:rFonts w:ascii="Times New Roman" w:hAnsi="Times New Roman" w:cs="Calibri" w:hint="eastAsia"/>
          <w:sz w:val="18"/>
          <w:szCs w:val="18"/>
        </w:rPr>
        <w:t>年</w:t>
      </w:r>
      <w:r w:rsidRPr="00F614F9">
        <w:rPr>
          <w:rFonts w:ascii="Times New Roman" w:hAnsi="Times New Roman" w:cs="Calibri" w:hint="eastAsia"/>
          <w:sz w:val="18"/>
          <w:szCs w:val="18"/>
        </w:rPr>
        <w:t>11</w:t>
      </w:r>
      <w:r w:rsidRPr="00F614F9">
        <w:rPr>
          <w:rFonts w:ascii="Times New Roman" w:hAnsi="Times New Roman" w:cs="Calibri" w:hint="eastAsia"/>
          <w:sz w:val="18"/>
          <w:szCs w:val="18"/>
        </w:rPr>
        <w:t>月</w:t>
      </w:r>
      <w:r w:rsidRPr="00F614F9">
        <w:rPr>
          <w:rFonts w:ascii="Times New Roman" w:hAnsi="Times New Roman" w:cs="Calibri" w:hint="eastAsia"/>
          <w:sz w:val="18"/>
          <w:szCs w:val="18"/>
        </w:rPr>
        <w:t>20</w:t>
      </w:r>
      <w:r w:rsidRPr="00F614F9">
        <w:rPr>
          <w:rFonts w:ascii="Times New Roman" w:hAnsi="Times New Roman" w:cs="Calibri" w:hint="eastAsia"/>
          <w:sz w:val="18"/>
          <w:szCs w:val="18"/>
        </w:rPr>
        <w:t>日《财政部国家税务总局关于发布享受企业所得税优惠政策的农产品初加工范围（试行）的通知》（财税〔</w:t>
      </w:r>
      <w:r w:rsidRPr="00F614F9">
        <w:rPr>
          <w:rFonts w:ascii="Times New Roman" w:hAnsi="Times New Roman" w:cs="Calibri" w:hint="eastAsia"/>
          <w:sz w:val="18"/>
          <w:szCs w:val="18"/>
        </w:rPr>
        <w:t>2008</w:t>
      </w:r>
      <w:r w:rsidRPr="00F614F9">
        <w:rPr>
          <w:rFonts w:ascii="Times New Roman" w:hAnsi="Times New Roman" w:cs="Calibri" w:hint="eastAsia"/>
          <w:sz w:val="18"/>
          <w:szCs w:val="18"/>
        </w:rPr>
        <w:t>〕</w:t>
      </w:r>
      <w:r w:rsidRPr="00F614F9">
        <w:rPr>
          <w:rFonts w:ascii="Times New Roman" w:hAnsi="Times New Roman" w:cs="Calibri" w:hint="eastAsia"/>
          <w:sz w:val="18"/>
          <w:szCs w:val="18"/>
        </w:rPr>
        <w:t>149</w:t>
      </w:r>
      <w:r w:rsidRPr="00F614F9">
        <w:rPr>
          <w:rFonts w:ascii="Times New Roman" w:hAnsi="Times New Roman" w:cs="Calibri" w:hint="eastAsia"/>
          <w:sz w:val="18"/>
          <w:szCs w:val="18"/>
        </w:rPr>
        <w:t>号），报告期内本公司及下属子公司从事肉类初加工（冷鲜肉、冷冻肉）所实现的利润，免征企业所得税。</w:t>
      </w:r>
    </w:p>
    <w:p w14:paraId="6C731312" w14:textId="77777777" w:rsidR="00872599" w:rsidRPr="00F614F9" w:rsidRDefault="00000000" w:rsidP="007C0164">
      <w:pPr>
        <w:pStyle w:val="a3"/>
        <w:spacing w:before="0" w:beforeAutospacing="0" w:after="0" w:afterAutospacing="0" w:line="276" w:lineRule="auto"/>
        <w:ind w:firstLine="360"/>
        <w:jc w:val="both"/>
        <w:divId w:val="2119256932"/>
        <w:rPr>
          <w:rFonts w:ascii="Times New Roman" w:hAnsi="Times New Roman" w:cs="Calibri"/>
          <w:sz w:val="21"/>
          <w:szCs w:val="21"/>
        </w:rPr>
      </w:pPr>
      <w:r w:rsidRPr="00F614F9">
        <w:rPr>
          <w:rFonts w:ascii="Times New Roman" w:hAnsi="Times New Roman" w:cs="Calibri" w:hint="eastAsia"/>
          <w:sz w:val="18"/>
          <w:szCs w:val="18"/>
        </w:rPr>
        <w:t>②牲畜、家禽的饲养</w:t>
      </w:r>
    </w:p>
    <w:p w14:paraId="15AF7D0C" w14:textId="77777777" w:rsidR="00872599" w:rsidRPr="00F614F9" w:rsidRDefault="00000000" w:rsidP="007C0164">
      <w:pPr>
        <w:pStyle w:val="a3"/>
        <w:spacing w:before="0" w:beforeAutospacing="0" w:after="0" w:afterAutospacing="0" w:line="276" w:lineRule="auto"/>
        <w:ind w:firstLine="360"/>
        <w:jc w:val="both"/>
        <w:divId w:val="2119256932"/>
        <w:rPr>
          <w:rFonts w:ascii="Times New Roman" w:hAnsi="Times New Roman" w:cs="Calibri"/>
          <w:sz w:val="21"/>
          <w:szCs w:val="21"/>
        </w:rPr>
      </w:pPr>
      <w:r w:rsidRPr="00F614F9">
        <w:rPr>
          <w:rFonts w:ascii="Times New Roman" w:hAnsi="Times New Roman" w:cs="Calibri" w:hint="eastAsia"/>
          <w:sz w:val="18"/>
          <w:szCs w:val="18"/>
        </w:rPr>
        <w:t>根据《中华人民共和国企业所得税法》及其实施条例第八十六条的规定，报告期内本公司下属子公司从事生猪饲养项目的所得，免征企业所得税。</w:t>
      </w:r>
    </w:p>
    <w:p w14:paraId="085CF13B" w14:textId="77777777" w:rsidR="00872599" w:rsidRPr="00F614F9" w:rsidRDefault="00000000" w:rsidP="007C0164">
      <w:pPr>
        <w:pStyle w:val="a3"/>
        <w:spacing w:before="0" w:beforeAutospacing="0" w:after="0" w:afterAutospacing="0" w:line="276" w:lineRule="auto"/>
        <w:ind w:firstLine="360"/>
        <w:jc w:val="both"/>
        <w:divId w:val="2119256932"/>
        <w:rPr>
          <w:rFonts w:ascii="Times New Roman" w:hAnsi="Times New Roman" w:cs="Calibri"/>
          <w:sz w:val="21"/>
          <w:szCs w:val="21"/>
        </w:rPr>
      </w:pPr>
      <w:r w:rsidRPr="00F614F9">
        <w:rPr>
          <w:rFonts w:ascii="Times New Roman" w:hAnsi="Times New Roman" w:cs="Calibri" w:hint="eastAsia"/>
          <w:sz w:val="18"/>
          <w:szCs w:val="18"/>
        </w:rPr>
        <w:t>③小微企业</w:t>
      </w:r>
    </w:p>
    <w:p w14:paraId="709F1CED" w14:textId="77777777" w:rsidR="00872599" w:rsidRPr="00F614F9" w:rsidRDefault="00000000" w:rsidP="007C0164">
      <w:pPr>
        <w:pStyle w:val="a3"/>
        <w:spacing w:before="0" w:beforeAutospacing="0" w:after="0" w:afterAutospacing="0" w:line="276" w:lineRule="auto"/>
        <w:ind w:firstLine="360"/>
        <w:jc w:val="both"/>
        <w:divId w:val="2119256932"/>
        <w:rPr>
          <w:rFonts w:ascii="Times New Roman" w:hAnsi="Times New Roman" w:cs="Calibri"/>
          <w:sz w:val="21"/>
          <w:szCs w:val="21"/>
        </w:rPr>
      </w:pPr>
      <w:r w:rsidRPr="00F614F9">
        <w:rPr>
          <w:rFonts w:ascii="Times New Roman" w:hAnsi="Times New Roman" w:cs="Calibri" w:hint="eastAsia"/>
          <w:sz w:val="18"/>
          <w:szCs w:val="18"/>
        </w:rPr>
        <w:t>根据《财政部税务总局关于进一步支持小微企业和个体工商户发展有关税费政策的公告》（财税</w:t>
      </w:r>
      <w:r w:rsidRPr="00F614F9">
        <w:rPr>
          <w:rFonts w:ascii="Times New Roman" w:hAnsi="Times New Roman" w:cs="Calibri" w:hint="eastAsia"/>
          <w:sz w:val="18"/>
          <w:szCs w:val="18"/>
        </w:rPr>
        <w:t>[2023]12</w:t>
      </w:r>
      <w:r w:rsidRPr="00F614F9">
        <w:rPr>
          <w:rFonts w:ascii="Times New Roman" w:hAnsi="Times New Roman" w:cs="Calibri" w:hint="eastAsia"/>
          <w:sz w:val="18"/>
          <w:szCs w:val="18"/>
        </w:rPr>
        <w:t>号），自</w:t>
      </w:r>
      <w:r w:rsidRPr="00F614F9">
        <w:rPr>
          <w:rFonts w:ascii="Times New Roman" w:hAnsi="Times New Roman" w:cs="Calibri" w:hint="eastAsia"/>
          <w:sz w:val="18"/>
          <w:szCs w:val="18"/>
        </w:rPr>
        <w:t>2023</w:t>
      </w:r>
      <w:r w:rsidRPr="00F614F9">
        <w:rPr>
          <w:rFonts w:ascii="Times New Roman" w:hAnsi="Times New Roman" w:cs="Calibri" w:hint="eastAsia"/>
          <w:sz w:val="18"/>
          <w:szCs w:val="18"/>
        </w:rPr>
        <w:t>年</w:t>
      </w:r>
      <w:r w:rsidRPr="00F614F9">
        <w:rPr>
          <w:rFonts w:ascii="Times New Roman" w:hAnsi="Times New Roman" w:cs="Calibri" w:hint="eastAsia"/>
          <w:sz w:val="18"/>
          <w:szCs w:val="18"/>
        </w:rPr>
        <w:t>1</w:t>
      </w:r>
      <w:r w:rsidRPr="00F614F9">
        <w:rPr>
          <w:rFonts w:ascii="Times New Roman" w:hAnsi="Times New Roman" w:cs="Calibri" w:hint="eastAsia"/>
          <w:sz w:val="18"/>
          <w:szCs w:val="18"/>
        </w:rPr>
        <w:t>月</w:t>
      </w:r>
      <w:r w:rsidRPr="00F614F9">
        <w:rPr>
          <w:rFonts w:ascii="Times New Roman" w:hAnsi="Times New Roman" w:cs="Calibri" w:hint="eastAsia"/>
          <w:sz w:val="18"/>
          <w:szCs w:val="18"/>
        </w:rPr>
        <w:t>1</w:t>
      </w:r>
      <w:r w:rsidRPr="00F614F9">
        <w:rPr>
          <w:rFonts w:ascii="Times New Roman" w:hAnsi="Times New Roman" w:cs="Calibri" w:hint="eastAsia"/>
          <w:sz w:val="18"/>
          <w:szCs w:val="18"/>
        </w:rPr>
        <w:t>日至</w:t>
      </w:r>
      <w:r w:rsidRPr="00F614F9">
        <w:rPr>
          <w:rFonts w:ascii="Times New Roman" w:hAnsi="Times New Roman" w:cs="Calibri" w:hint="eastAsia"/>
          <w:sz w:val="18"/>
          <w:szCs w:val="18"/>
        </w:rPr>
        <w:t>2027</w:t>
      </w:r>
      <w:r w:rsidRPr="00F614F9">
        <w:rPr>
          <w:rFonts w:ascii="Times New Roman" w:hAnsi="Times New Roman" w:cs="Calibri" w:hint="eastAsia"/>
          <w:sz w:val="18"/>
          <w:szCs w:val="18"/>
        </w:rPr>
        <w:t>年</w:t>
      </w:r>
      <w:r w:rsidRPr="00F614F9">
        <w:rPr>
          <w:rFonts w:ascii="Times New Roman" w:hAnsi="Times New Roman" w:cs="Calibri" w:hint="eastAsia"/>
          <w:sz w:val="18"/>
          <w:szCs w:val="18"/>
        </w:rPr>
        <w:t>12</w:t>
      </w:r>
      <w:r w:rsidRPr="00F614F9">
        <w:rPr>
          <w:rFonts w:ascii="Times New Roman" w:hAnsi="Times New Roman" w:cs="Calibri" w:hint="eastAsia"/>
          <w:sz w:val="18"/>
          <w:szCs w:val="18"/>
        </w:rPr>
        <w:t>月</w:t>
      </w:r>
      <w:r w:rsidRPr="00F614F9">
        <w:rPr>
          <w:rFonts w:ascii="Times New Roman" w:hAnsi="Times New Roman" w:cs="Calibri" w:hint="eastAsia"/>
          <w:sz w:val="18"/>
          <w:szCs w:val="18"/>
        </w:rPr>
        <w:t>31</w:t>
      </w:r>
      <w:r w:rsidRPr="00F614F9">
        <w:rPr>
          <w:rFonts w:ascii="Times New Roman" w:hAnsi="Times New Roman" w:cs="Calibri" w:hint="eastAsia"/>
          <w:sz w:val="18"/>
          <w:szCs w:val="18"/>
        </w:rPr>
        <w:t>日，对小型微利企业减按</w:t>
      </w:r>
      <w:r w:rsidRPr="00F614F9">
        <w:rPr>
          <w:rFonts w:ascii="Times New Roman" w:hAnsi="Times New Roman" w:cs="Calibri" w:hint="eastAsia"/>
          <w:sz w:val="18"/>
          <w:szCs w:val="18"/>
        </w:rPr>
        <w:t>25%</w:t>
      </w:r>
      <w:r w:rsidRPr="00F614F9">
        <w:rPr>
          <w:rFonts w:ascii="Times New Roman" w:hAnsi="Times New Roman" w:cs="Calibri" w:hint="eastAsia"/>
          <w:sz w:val="18"/>
          <w:szCs w:val="18"/>
        </w:rPr>
        <w:t>计算应纳税所得额，按</w:t>
      </w:r>
      <w:r w:rsidRPr="00F614F9">
        <w:rPr>
          <w:rFonts w:ascii="Times New Roman" w:hAnsi="Times New Roman" w:cs="Calibri" w:hint="eastAsia"/>
          <w:sz w:val="18"/>
          <w:szCs w:val="18"/>
        </w:rPr>
        <w:t>20%</w:t>
      </w:r>
      <w:r w:rsidRPr="00F614F9">
        <w:rPr>
          <w:rFonts w:ascii="Times New Roman" w:hAnsi="Times New Roman" w:cs="Calibri" w:hint="eastAsia"/>
          <w:sz w:val="18"/>
          <w:szCs w:val="18"/>
        </w:rPr>
        <w:t>的税率缴纳企业所得税政策。</w:t>
      </w:r>
    </w:p>
    <w:p w14:paraId="2325AEA7" w14:textId="77777777" w:rsidR="00872599" w:rsidRPr="00F614F9" w:rsidRDefault="00000000" w:rsidP="007C0164">
      <w:pPr>
        <w:pStyle w:val="a3"/>
        <w:spacing w:before="0" w:beforeAutospacing="0" w:after="0" w:afterAutospacing="0" w:line="276" w:lineRule="auto"/>
        <w:ind w:firstLine="360"/>
        <w:jc w:val="both"/>
        <w:divId w:val="2119256932"/>
        <w:rPr>
          <w:rFonts w:ascii="Times New Roman" w:hAnsi="Times New Roman" w:cs="Calibri"/>
          <w:sz w:val="21"/>
          <w:szCs w:val="21"/>
        </w:rPr>
      </w:pPr>
      <w:r w:rsidRPr="00F614F9">
        <w:rPr>
          <w:rFonts w:ascii="Times New Roman" w:hAnsi="Times New Roman" w:cs="Calibri" w:hint="eastAsia"/>
          <w:sz w:val="18"/>
          <w:szCs w:val="18"/>
        </w:rPr>
        <w:t>④高新技术企业</w:t>
      </w:r>
    </w:p>
    <w:p w14:paraId="77AA0E90" w14:textId="77777777" w:rsidR="00872599" w:rsidRPr="00F614F9" w:rsidRDefault="00000000" w:rsidP="007C0164">
      <w:pPr>
        <w:pStyle w:val="a3"/>
        <w:spacing w:before="0" w:beforeAutospacing="0" w:after="0" w:afterAutospacing="0" w:line="276" w:lineRule="auto"/>
        <w:ind w:firstLine="360"/>
        <w:jc w:val="both"/>
        <w:divId w:val="2119256932"/>
        <w:rPr>
          <w:rFonts w:ascii="Times New Roman" w:hAnsi="Times New Roman" w:cs="Calibri"/>
          <w:sz w:val="21"/>
          <w:szCs w:val="21"/>
        </w:rPr>
      </w:pPr>
      <w:r w:rsidRPr="00F614F9">
        <w:rPr>
          <w:rFonts w:ascii="Times New Roman" w:hAnsi="Times New Roman" w:cs="Calibri" w:hint="eastAsia"/>
          <w:sz w:val="18"/>
          <w:szCs w:val="18"/>
        </w:rPr>
        <w:t>2022</w:t>
      </w:r>
      <w:r w:rsidRPr="00F614F9">
        <w:rPr>
          <w:rFonts w:ascii="Times New Roman" w:hAnsi="Times New Roman" w:cs="Calibri" w:hint="eastAsia"/>
          <w:sz w:val="18"/>
          <w:szCs w:val="18"/>
        </w:rPr>
        <w:t>年</w:t>
      </w:r>
      <w:r w:rsidRPr="00F614F9">
        <w:rPr>
          <w:rFonts w:ascii="Times New Roman" w:hAnsi="Times New Roman" w:cs="Calibri" w:hint="eastAsia"/>
          <w:sz w:val="18"/>
          <w:szCs w:val="18"/>
        </w:rPr>
        <w:t>12</w:t>
      </w:r>
      <w:r w:rsidRPr="00F614F9">
        <w:rPr>
          <w:rFonts w:ascii="Times New Roman" w:hAnsi="Times New Roman" w:cs="Calibri" w:hint="eastAsia"/>
          <w:sz w:val="18"/>
          <w:szCs w:val="18"/>
        </w:rPr>
        <w:t>月</w:t>
      </w:r>
      <w:r w:rsidRPr="00F614F9">
        <w:rPr>
          <w:rFonts w:ascii="Times New Roman" w:hAnsi="Times New Roman" w:cs="Calibri" w:hint="eastAsia"/>
          <w:sz w:val="18"/>
          <w:szCs w:val="18"/>
        </w:rPr>
        <w:t>12</w:t>
      </w:r>
      <w:r w:rsidRPr="00F614F9">
        <w:rPr>
          <w:rFonts w:ascii="Times New Roman" w:hAnsi="Times New Roman" w:cs="Calibri" w:hint="eastAsia"/>
          <w:sz w:val="18"/>
          <w:szCs w:val="18"/>
        </w:rPr>
        <w:t>日本公司之子公司烟台杰科检测服务有限公司取得由山东省科学技术厅、山东省财政厅、国家税务总局山东省税务局批准的“</w:t>
      </w:r>
      <w:r w:rsidRPr="00F614F9">
        <w:rPr>
          <w:rFonts w:ascii="Times New Roman" w:hAnsi="Times New Roman" w:cs="Calibri" w:hint="eastAsia"/>
          <w:sz w:val="18"/>
          <w:szCs w:val="18"/>
        </w:rPr>
        <w:t>GR202237001965</w:t>
      </w:r>
      <w:r w:rsidRPr="00F614F9">
        <w:rPr>
          <w:rFonts w:ascii="Times New Roman" w:hAnsi="Times New Roman" w:cs="Calibri" w:hint="eastAsia"/>
          <w:sz w:val="18"/>
          <w:szCs w:val="18"/>
        </w:rPr>
        <w:t>”号《高新技术企业证书》，有效期为三年，</w:t>
      </w:r>
      <w:r w:rsidRPr="00F614F9">
        <w:rPr>
          <w:rFonts w:ascii="Times New Roman" w:hAnsi="Times New Roman" w:cs="Calibri" w:hint="eastAsia"/>
          <w:sz w:val="18"/>
          <w:szCs w:val="18"/>
        </w:rPr>
        <w:t>2022</w:t>
      </w:r>
      <w:r w:rsidRPr="00F614F9">
        <w:rPr>
          <w:rFonts w:ascii="Times New Roman" w:hAnsi="Times New Roman" w:cs="Calibri" w:hint="eastAsia"/>
          <w:sz w:val="18"/>
          <w:szCs w:val="18"/>
        </w:rPr>
        <w:t>年</w:t>
      </w:r>
      <w:r w:rsidRPr="00F614F9">
        <w:rPr>
          <w:rFonts w:ascii="Times New Roman" w:hAnsi="Times New Roman" w:cs="Calibri" w:hint="eastAsia"/>
          <w:sz w:val="18"/>
          <w:szCs w:val="18"/>
        </w:rPr>
        <w:t>1</w:t>
      </w:r>
      <w:r w:rsidRPr="00F614F9">
        <w:rPr>
          <w:rFonts w:ascii="Times New Roman" w:hAnsi="Times New Roman" w:cs="Calibri" w:hint="eastAsia"/>
          <w:sz w:val="18"/>
          <w:szCs w:val="18"/>
        </w:rPr>
        <w:t>月</w:t>
      </w:r>
      <w:r w:rsidRPr="00F614F9">
        <w:rPr>
          <w:rFonts w:ascii="Times New Roman" w:hAnsi="Times New Roman" w:cs="Calibri" w:hint="eastAsia"/>
          <w:sz w:val="18"/>
          <w:szCs w:val="18"/>
        </w:rPr>
        <w:t>1</w:t>
      </w:r>
      <w:r w:rsidRPr="00F614F9">
        <w:rPr>
          <w:rFonts w:ascii="Times New Roman" w:hAnsi="Times New Roman" w:cs="Calibri" w:hint="eastAsia"/>
          <w:sz w:val="18"/>
          <w:szCs w:val="18"/>
        </w:rPr>
        <w:t>日至</w:t>
      </w:r>
      <w:r w:rsidRPr="00F614F9">
        <w:rPr>
          <w:rFonts w:ascii="Times New Roman" w:hAnsi="Times New Roman" w:cs="Calibri" w:hint="eastAsia"/>
          <w:sz w:val="18"/>
          <w:szCs w:val="18"/>
        </w:rPr>
        <w:t>2024</w:t>
      </w:r>
      <w:r w:rsidRPr="00F614F9">
        <w:rPr>
          <w:rFonts w:ascii="Times New Roman" w:hAnsi="Times New Roman" w:cs="Calibri" w:hint="eastAsia"/>
          <w:sz w:val="18"/>
          <w:szCs w:val="18"/>
        </w:rPr>
        <w:t>年</w:t>
      </w:r>
      <w:r w:rsidRPr="00F614F9">
        <w:rPr>
          <w:rFonts w:ascii="Times New Roman" w:hAnsi="Times New Roman" w:cs="Calibri" w:hint="eastAsia"/>
          <w:sz w:val="18"/>
          <w:szCs w:val="18"/>
        </w:rPr>
        <w:t>12</w:t>
      </w:r>
      <w:r w:rsidRPr="00F614F9">
        <w:rPr>
          <w:rFonts w:ascii="Times New Roman" w:hAnsi="Times New Roman" w:cs="Calibri" w:hint="eastAsia"/>
          <w:sz w:val="18"/>
          <w:szCs w:val="18"/>
        </w:rPr>
        <w:t>月</w:t>
      </w:r>
      <w:r w:rsidRPr="00F614F9">
        <w:rPr>
          <w:rFonts w:ascii="Times New Roman" w:hAnsi="Times New Roman" w:cs="Calibri" w:hint="eastAsia"/>
          <w:sz w:val="18"/>
          <w:szCs w:val="18"/>
        </w:rPr>
        <w:t>31</w:t>
      </w:r>
      <w:r w:rsidRPr="00F614F9">
        <w:rPr>
          <w:rFonts w:ascii="Times New Roman" w:hAnsi="Times New Roman" w:cs="Calibri" w:hint="eastAsia"/>
          <w:sz w:val="18"/>
          <w:szCs w:val="18"/>
        </w:rPr>
        <w:t>日烟台杰科检测服务有限公司适用的所得税率为</w:t>
      </w:r>
      <w:r w:rsidRPr="00F614F9">
        <w:rPr>
          <w:rFonts w:ascii="Times New Roman" w:hAnsi="Times New Roman" w:cs="Calibri" w:hint="eastAsia"/>
          <w:sz w:val="18"/>
          <w:szCs w:val="18"/>
        </w:rPr>
        <w:t>15%</w:t>
      </w:r>
      <w:r w:rsidRPr="00F614F9">
        <w:rPr>
          <w:rFonts w:ascii="Times New Roman" w:hAnsi="Times New Roman" w:cs="Calibri" w:hint="eastAsia"/>
          <w:sz w:val="18"/>
          <w:szCs w:val="18"/>
        </w:rPr>
        <w:t>。</w:t>
      </w:r>
    </w:p>
    <w:p w14:paraId="51FD989B" w14:textId="77777777" w:rsidR="00872599" w:rsidRPr="00F614F9" w:rsidRDefault="00000000" w:rsidP="007C0164">
      <w:pPr>
        <w:pStyle w:val="a3"/>
        <w:spacing w:before="0" w:beforeAutospacing="0" w:after="0" w:afterAutospacing="0" w:line="276" w:lineRule="auto"/>
        <w:ind w:firstLine="360"/>
        <w:jc w:val="both"/>
        <w:divId w:val="2119256932"/>
        <w:rPr>
          <w:rFonts w:ascii="Times New Roman" w:hAnsi="Times New Roman" w:cs="Calibri"/>
          <w:sz w:val="21"/>
          <w:szCs w:val="21"/>
        </w:rPr>
      </w:pPr>
      <w:r w:rsidRPr="00F614F9">
        <w:rPr>
          <w:rFonts w:ascii="Times New Roman" w:hAnsi="Times New Roman" w:cs="Calibri" w:hint="eastAsia"/>
          <w:sz w:val="18"/>
          <w:szCs w:val="18"/>
        </w:rPr>
        <w:t>⑤海南自由贸易港</w:t>
      </w:r>
      <w:r w:rsidRPr="00F614F9">
        <w:rPr>
          <w:rFonts w:ascii="Times New Roman" w:hAnsi="Times New Roman" w:cs="Calibri" w:hint="eastAsia"/>
          <w:sz w:val="18"/>
          <w:szCs w:val="18"/>
        </w:rPr>
        <w:t>(</w:t>
      </w:r>
      <w:r w:rsidRPr="00F614F9">
        <w:rPr>
          <w:rFonts w:ascii="Times New Roman" w:hAnsi="Times New Roman" w:cs="Calibri" w:hint="eastAsia"/>
          <w:sz w:val="18"/>
          <w:szCs w:val="18"/>
        </w:rPr>
        <w:t>“海南自贸港”</w:t>
      </w:r>
      <w:r w:rsidRPr="00F614F9">
        <w:rPr>
          <w:rFonts w:ascii="Times New Roman" w:hAnsi="Times New Roman" w:cs="Calibri" w:hint="eastAsia"/>
          <w:sz w:val="18"/>
          <w:szCs w:val="18"/>
        </w:rPr>
        <w:t>)</w:t>
      </w:r>
      <w:r w:rsidRPr="00F614F9">
        <w:rPr>
          <w:rFonts w:ascii="Times New Roman" w:hAnsi="Times New Roman" w:cs="Calibri" w:hint="eastAsia"/>
          <w:sz w:val="18"/>
          <w:szCs w:val="18"/>
        </w:rPr>
        <w:t>企业所得税优惠政策</w:t>
      </w:r>
    </w:p>
    <w:p w14:paraId="08D45A8A" w14:textId="77777777" w:rsidR="00872599" w:rsidRPr="00F614F9" w:rsidRDefault="00000000" w:rsidP="007C0164">
      <w:pPr>
        <w:pStyle w:val="a3"/>
        <w:spacing w:before="0" w:beforeAutospacing="0" w:after="0" w:afterAutospacing="0" w:line="276" w:lineRule="auto"/>
        <w:ind w:firstLine="360"/>
        <w:jc w:val="both"/>
        <w:divId w:val="2119256932"/>
        <w:rPr>
          <w:rFonts w:ascii="Times New Roman" w:hAnsi="Times New Roman" w:cs="Calibri"/>
          <w:sz w:val="21"/>
          <w:szCs w:val="21"/>
        </w:rPr>
      </w:pPr>
      <w:r w:rsidRPr="00F614F9">
        <w:rPr>
          <w:rFonts w:ascii="Times New Roman" w:hAnsi="Times New Roman" w:cs="Calibri" w:hint="eastAsia"/>
          <w:sz w:val="18"/>
          <w:szCs w:val="18"/>
        </w:rPr>
        <w:t>根据《财政部税务总局关于海南自由贸易港企业所得税优惠政策的通知》</w:t>
      </w:r>
      <w:r w:rsidRPr="00F614F9">
        <w:rPr>
          <w:rFonts w:ascii="Times New Roman" w:hAnsi="Times New Roman" w:cs="Calibri" w:hint="eastAsia"/>
          <w:sz w:val="18"/>
          <w:szCs w:val="18"/>
        </w:rPr>
        <w:t>(</w:t>
      </w:r>
      <w:r w:rsidRPr="00F614F9">
        <w:rPr>
          <w:rFonts w:ascii="Times New Roman" w:hAnsi="Times New Roman" w:cs="Calibri" w:hint="eastAsia"/>
          <w:sz w:val="18"/>
          <w:szCs w:val="18"/>
        </w:rPr>
        <w:t>财税〔</w:t>
      </w:r>
      <w:r w:rsidRPr="00F614F9">
        <w:rPr>
          <w:rFonts w:ascii="Times New Roman" w:hAnsi="Times New Roman" w:cs="Calibri" w:hint="eastAsia"/>
          <w:sz w:val="18"/>
          <w:szCs w:val="18"/>
        </w:rPr>
        <w:t>2020</w:t>
      </w:r>
      <w:r w:rsidRPr="00F614F9">
        <w:rPr>
          <w:rFonts w:ascii="Times New Roman" w:hAnsi="Times New Roman" w:cs="Calibri" w:hint="eastAsia"/>
          <w:sz w:val="18"/>
          <w:szCs w:val="18"/>
        </w:rPr>
        <w:t>〕</w:t>
      </w:r>
      <w:r w:rsidRPr="00F614F9">
        <w:rPr>
          <w:rFonts w:ascii="Times New Roman" w:hAnsi="Times New Roman" w:cs="Calibri" w:hint="eastAsia"/>
          <w:sz w:val="18"/>
          <w:szCs w:val="18"/>
        </w:rPr>
        <w:t>31</w:t>
      </w:r>
      <w:r w:rsidRPr="00F614F9">
        <w:rPr>
          <w:rFonts w:ascii="Times New Roman" w:hAnsi="Times New Roman" w:cs="Calibri" w:hint="eastAsia"/>
          <w:sz w:val="18"/>
          <w:szCs w:val="18"/>
        </w:rPr>
        <w:t>号</w:t>
      </w:r>
      <w:r w:rsidRPr="00F614F9">
        <w:rPr>
          <w:rFonts w:ascii="Times New Roman" w:hAnsi="Times New Roman" w:cs="Calibri" w:hint="eastAsia"/>
          <w:sz w:val="18"/>
          <w:szCs w:val="18"/>
        </w:rPr>
        <w:t>)</w:t>
      </w:r>
      <w:r w:rsidRPr="00F614F9">
        <w:rPr>
          <w:rFonts w:ascii="Times New Roman" w:hAnsi="Times New Roman" w:cs="Calibri" w:hint="eastAsia"/>
          <w:sz w:val="18"/>
          <w:szCs w:val="18"/>
        </w:rPr>
        <w:t>，自</w:t>
      </w:r>
      <w:r w:rsidRPr="00F614F9">
        <w:rPr>
          <w:rFonts w:ascii="Times New Roman" w:hAnsi="Times New Roman" w:cs="Calibri" w:hint="eastAsia"/>
          <w:sz w:val="18"/>
          <w:szCs w:val="18"/>
        </w:rPr>
        <w:t>2020</w:t>
      </w:r>
      <w:r w:rsidRPr="00F614F9">
        <w:rPr>
          <w:rFonts w:ascii="Times New Roman" w:hAnsi="Times New Roman" w:cs="Calibri" w:hint="eastAsia"/>
          <w:sz w:val="18"/>
          <w:szCs w:val="18"/>
        </w:rPr>
        <w:t>年</w:t>
      </w:r>
      <w:r w:rsidRPr="00F614F9">
        <w:rPr>
          <w:rFonts w:ascii="Times New Roman" w:hAnsi="Times New Roman" w:cs="Calibri" w:hint="eastAsia"/>
          <w:sz w:val="18"/>
          <w:szCs w:val="18"/>
        </w:rPr>
        <w:t>1</w:t>
      </w:r>
      <w:r w:rsidRPr="00F614F9">
        <w:rPr>
          <w:rFonts w:ascii="Times New Roman" w:hAnsi="Times New Roman" w:cs="Calibri" w:hint="eastAsia"/>
          <w:sz w:val="18"/>
          <w:szCs w:val="18"/>
        </w:rPr>
        <w:t>月</w:t>
      </w:r>
      <w:r w:rsidRPr="00F614F9">
        <w:rPr>
          <w:rFonts w:ascii="Times New Roman" w:hAnsi="Times New Roman" w:cs="Calibri" w:hint="eastAsia"/>
          <w:sz w:val="18"/>
          <w:szCs w:val="18"/>
        </w:rPr>
        <w:t>1</w:t>
      </w:r>
      <w:r w:rsidRPr="00F614F9">
        <w:rPr>
          <w:rFonts w:ascii="Times New Roman" w:hAnsi="Times New Roman" w:cs="Calibri" w:hint="eastAsia"/>
          <w:sz w:val="18"/>
          <w:szCs w:val="18"/>
        </w:rPr>
        <w:t>日至</w:t>
      </w:r>
      <w:r w:rsidRPr="00F614F9">
        <w:rPr>
          <w:rFonts w:ascii="Times New Roman" w:hAnsi="Times New Roman" w:cs="Calibri" w:hint="eastAsia"/>
          <w:sz w:val="18"/>
          <w:szCs w:val="18"/>
        </w:rPr>
        <w:t>2024</w:t>
      </w:r>
      <w:r w:rsidRPr="00F614F9">
        <w:rPr>
          <w:rFonts w:ascii="Times New Roman" w:hAnsi="Times New Roman" w:cs="Calibri" w:hint="eastAsia"/>
          <w:sz w:val="18"/>
          <w:szCs w:val="18"/>
        </w:rPr>
        <w:t>年</w:t>
      </w:r>
      <w:r w:rsidRPr="00F614F9">
        <w:rPr>
          <w:rFonts w:ascii="Times New Roman" w:hAnsi="Times New Roman" w:cs="Calibri" w:hint="eastAsia"/>
          <w:sz w:val="18"/>
          <w:szCs w:val="18"/>
        </w:rPr>
        <w:t>12</w:t>
      </w:r>
      <w:r w:rsidRPr="00F614F9">
        <w:rPr>
          <w:rFonts w:ascii="Times New Roman" w:hAnsi="Times New Roman" w:cs="Calibri" w:hint="eastAsia"/>
          <w:sz w:val="18"/>
          <w:szCs w:val="18"/>
        </w:rPr>
        <w:t>月</w:t>
      </w:r>
      <w:r w:rsidRPr="00F614F9">
        <w:rPr>
          <w:rFonts w:ascii="Times New Roman" w:hAnsi="Times New Roman" w:cs="Calibri" w:hint="eastAsia"/>
          <w:sz w:val="18"/>
          <w:szCs w:val="18"/>
        </w:rPr>
        <w:t>31</w:t>
      </w:r>
      <w:r w:rsidRPr="00F614F9">
        <w:rPr>
          <w:rFonts w:ascii="Times New Roman" w:hAnsi="Times New Roman" w:cs="Calibri" w:hint="eastAsia"/>
          <w:sz w:val="18"/>
          <w:szCs w:val="18"/>
        </w:rPr>
        <w:t>日，对注册在海南</w:t>
      </w:r>
      <w:proofErr w:type="gramStart"/>
      <w:r w:rsidRPr="00F614F9">
        <w:rPr>
          <w:rFonts w:ascii="Times New Roman" w:hAnsi="Times New Roman" w:cs="Calibri" w:hint="eastAsia"/>
          <w:sz w:val="18"/>
          <w:szCs w:val="18"/>
        </w:rPr>
        <w:t>自贸港并</w:t>
      </w:r>
      <w:proofErr w:type="gramEnd"/>
      <w:r w:rsidRPr="00F614F9">
        <w:rPr>
          <w:rFonts w:ascii="Times New Roman" w:hAnsi="Times New Roman" w:cs="Calibri" w:hint="eastAsia"/>
          <w:sz w:val="18"/>
          <w:szCs w:val="18"/>
        </w:rPr>
        <w:t>实质性运营的鼓励类产业企业减按</w:t>
      </w:r>
      <w:r w:rsidRPr="00F614F9">
        <w:rPr>
          <w:rFonts w:ascii="Times New Roman" w:hAnsi="Times New Roman" w:cs="Calibri" w:hint="eastAsia"/>
          <w:sz w:val="18"/>
          <w:szCs w:val="18"/>
        </w:rPr>
        <w:t>15%</w:t>
      </w:r>
      <w:r w:rsidRPr="00F614F9">
        <w:rPr>
          <w:rFonts w:ascii="Times New Roman" w:hAnsi="Times New Roman" w:cs="Calibri" w:hint="eastAsia"/>
          <w:sz w:val="18"/>
          <w:szCs w:val="18"/>
        </w:rPr>
        <w:t>的税率征收企业所得税。上述鼓励类产业企业是指以《产业结构调整指导目录</w:t>
      </w:r>
      <w:r w:rsidRPr="00F614F9">
        <w:rPr>
          <w:rFonts w:ascii="Times New Roman" w:hAnsi="Times New Roman" w:cs="Calibri" w:hint="eastAsia"/>
          <w:sz w:val="18"/>
          <w:szCs w:val="18"/>
        </w:rPr>
        <w:t>(2019</w:t>
      </w:r>
      <w:r w:rsidRPr="00F614F9">
        <w:rPr>
          <w:rFonts w:ascii="Times New Roman" w:hAnsi="Times New Roman" w:cs="Calibri" w:hint="eastAsia"/>
          <w:sz w:val="18"/>
          <w:szCs w:val="18"/>
        </w:rPr>
        <w:t>年本</w:t>
      </w:r>
      <w:r w:rsidRPr="00F614F9">
        <w:rPr>
          <w:rFonts w:ascii="Times New Roman" w:hAnsi="Times New Roman" w:cs="Calibri" w:hint="eastAsia"/>
          <w:sz w:val="18"/>
          <w:szCs w:val="18"/>
        </w:rPr>
        <w:t>)</w:t>
      </w:r>
      <w:r w:rsidRPr="00F614F9">
        <w:rPr>
          <w:rFonts w:ascii="Times New Roman" w:hAnsi="Times New Roman" w:cs="Calibri" w:hint="eastAsia"/>
          <w:sz w:val="18"/>
          <w:szCs w:val="18"/>
        </w:rPr>
        <w:t>》、《鼓励外商投资产业目录</w:t>
      </w:r>
      <w:r w:rsidRPr="00F614F9">
        <w:rPr>
          <w:rFonts w:ascii="Times New Roman" w:hAnsi="Times New Roman" w:cs="Calibri" w:hint="eastAsia"/>
          <w:sz w:val="18"/>
          <w:szCs w:val="18"/>
        </w:rPr>
        <w:t>(2019</w:t>
      </w:r>
      <w:r w:rsidRPr="00F614F9">
        <w:rPr>
          <w:rFonts w:ascii="Times New Roman" w:hAnsi="Times New Roman" w:cs="Calibri" w:hint="eastAsia"/>
          <w:sz w:val="18"/>
          <w:szCs w:val="18"/>
        </w:rPr>
        <w:t>年版</w:t>
      </w:r>
      <w:r w:rsidRPr="00F614F9">
        <w:rPr>
          <w:rFonts w:ascii="Times New Roman" w:hAnsi="Times New Roman" w:cs="Calibri" w:hint="eastAsia"/>
          <w:sz w:val="18"/>
          <w:szCs w:val="18"/>
        </w:rPr>
        <w:t>)</w:t>
      </w:r>
      <w:r w:rsidRPr="00F614F9">
        <w:rPr>
          <w:rFonts w:ascii="Times New Roman" w:hAnsi="Times New Roman" w:cs="Calibri" w:hint="eastAsia"/>
          <w:sz w:val="18"/>
          <w:szCs w:val="18"/>
        </w:rPr>
        <w:t>》和海南自由贸易港新增鼓励类产业目录中规定的产业项目为主营业务，且其主营业务收入占企业收入总额</w:t>
      </w:r>
      <w:r w:rsidRPr="00F614F9">
        <w:rPr>
          <w:rFonts w:ascii="Times New Roman" w:hAnsi="Times New Roman" w:cs="Calibri" w:hint="eastAsia"/>
          <w:sz w:val="18"/>
          <w:szCs w:val="18"/>
        </w:rPr>
        <w:t>60%</w:t>
      </w:r>
      <w:r w:rsidRPr="00F614F9">
        <w:rPr>
          <w:rFonts w:ascii="Times New Roman" w:hAnsi="Times New Roman" w:cs="Calibri" w:hint="eastAsia"/>
          <w:sz w:val="18"/>
          <w:szCs w:val="18"/>
        </w:rPr>
        <w:t>以上的企业。运营公司海南分公司符合于海南</w:t>
      </w:r>
      <w:proofErr w:type="gramStart"/>
      <w:r w:rsidRPr="00F614F9">
        <w:rPr>
          <w:rFonts w:ascii="Times New Roman" w:hAnsi="Times New Roman" w:cs="Calibri" w:hint="eastAsia"/>
          <w:sz w:val="18"/>
          <w:szCs w:val="18"/>
        </w:rPr>
        <w:t>自贸港注册</w:t>
      </w:r>
      <w:proofErr w:type="gramEnd"/>
      <w:r w:rsidRPr="00F614F9">
        <w:rPr>
          <w:rFonts w:ascii="Times New Roman" w:hAnsi="Times New Roman" w:cs="Calibri" w:hint="eastAsia"/>
          <w:sz w:val="18"/>
          <w:szCs w:val="18"/>
        </w:rPr>
        <w:t>并实际运营，以国家规定的鼓励类产业项目为主营业务，且预计满足当年主营业务收入占企业总收入的</w:t>
      </w:r>
      <w:r w:rsidRPr="00F614F9">
        <w:rPr>
          <w:rFonts w:ascii="Times New Roman" w:hAnsi="Times New Roman" w:cs="Calibri" w:hint="eastAsia"/>
          <w:sz w:val="18"/>
          <w:szCs w:val="18"/>
        </w:rPr>
        <w:t>60%</w:t>
      </w:r>
      <w:r w:rsidRPr="00F614F9">
        <w:rPr>
          <w:rFonts w:ascii="Times New Roman" w:hAnsi="Times New Roman" w:cs="Calibri" w:hint="eastAsia"/>
          <w:sz w:val="18"/>
          <w:szCs w:val="18"/>
        </w:rPr>
        <w:t>以上的条件，适用海南</w:t>
      </w:r>
      <w:proofErr w:type="gramStart"/>
      <w:r w:rsidRPr="00F614F9">
        <w:rPr>
          <w:rFonts w:ascii="Times New Roman" w:hAnsi="Times New Roman" w:cs="Calibri" w:hint="eastAsia"/>
          <w:sz w:val="18"/>
          <w:szCs w:val="18"/>
        </w:rPr>
        <w:t>自贸港税收</w:t>
      </w:r>
      <w:proofErr w:type="gramEnd"/>
      <w:r w:rsidRPr="00F614F9">
        <w:rPr>
          <w:rFonts w:ascii="Times New Roman" w:hAnsi="Times New Roman" w:cs="Calibri" w:hint="eastAsia"/>
          <w:sz w:val="18"/>
          <w:szCs w:val="18"/>
        </w:rPr>
        <w:t>优惠政策，适用于</w:t>
      </w:r>
      <w:r w:rsidRPr="00F614F9">
        <w:rPr>
          <w:rFonts w:ascii="Times New Roman" w:hAnsi="Times New Roman" w:cs="Calibri" w:hint="eastAsia"/>
          <w:sz w:val="18"/>
          <w:szCs w:val="18"/>
        </w:rPr>
        <w:t>15%</w:t>
      </w:r>
      <w:r w:rsidRPr="00F614F9">
        <w:rPr>
          <w:rFonts w:ascii="Times New Roman" w:hAnsi="Times New Roman" w:cs="Calibri" w:hint="eastAsia"/>
          <w:sz w:val="18"/>
          <w:szCs w:val="18"/>
        </w:rPr>
        <w:t>的所得税税率。</w:t>
      </w:r>
    </w:p>
    <w:p w14:paraId="55A206A5" w14:textId="77777777" w:rsidR="00872599" w:rsidRPr="00F614F9" w:rsidRDefault="00000000" w:rsidP="007C0164">
      <w:pPr>
        <w:pStyle w:val="a3"/>
        <w:spacing w:before="0" w:beforeAutospacing="0" w:after="0" w:afterAutospacing="0" w:line="276" w:lineRule="auto"/>
        <w:ind w:firstLine="360"/>
        <w:jc w:val="both"/>
        <w:divId w:val="2119256932"/>
        <w:rPr>
          <w:rFonts w:ascii="Times New Roman" w:hAnsi="Times New Roman" w:cs="Calibri"/>
          <w:sz w:val="21"/>
          <w:szCs w:val="21"/>
        </w:rPr>
      </w:pPr>
      <w:r w:rsidRPr="00F614F9">
        <w:rPr>
          <w:rFonts w:ascii="Times New Roman" w:hAnsi="Times New Roman" w:cs="Calibri" w:hint="eastAsia"/>
          <w:sz w:val="18"/>
          <w:szCs w:val="18"/>
        </w:rPr>
        <w:t>（</w:t>
      </w:r>
      <w:r w:rsidRPr="00F614F9">
        <w:rPr>
          <w:rFonts w:ascii="Times New Roman" w:hAnsi="Times New Roman" w:cs="Calibri" w:hint="eastAsia"/>
          <w:sz w:val="18"/>
          <w:szCs w:val="18"/>
        </w:rPr>
        <w:t>2</w:t>
      </w:r>
      <w:r w:rsidRPr="00F614F9">
        <w:rPr>
          <w:rFonts w:ascii="Times New Roman" w:hAnsi="Times New Roman" w:cs="Calibri" w:hint="eastAsia"/>
          <w:sz w:val="18"/>
          <w:szCs w:val="18"/>
        </w:rPr>
        <w:t>）增值税优惠</w:t>
      </w:r>
    </w:p>
    <w:p w14:paraId="43E5CFB8" w14:textId="77777777" w:rsidR="00872599" w:rsidRPr="00F614F9" w:rsidRDefault="00000000" w:rsidP="007C0164">
      <w:pPr>
        <w:pStyle w:val="a3"/>
        <w:spacing w:before="0" w:beforeAutospacing="0" w:after="0" w:afterAutospacing="0" w:line="276" w:lineRule="auto"/>
        <w:ind w:firstLine="360"/>
        <w:jc w:val="both"/>
        <w:divId w:val="2119256932"/>
        <w:rPr>
          <w:rFonts w:ascii="Times New Roman" w:hAnsi="Times New Roman" w:cs="Calibri"/>
          <w:sz w:val="21"/>
          <w:szCs w:val="21"/>
        </w:rPr>
      </w:pPr>
      <w:r w:rsidRPr="00F614F9">
        <w:rPr>
          <w:rFonts w:ascii="Times New Roman" w:hAnsi="Times New Roman" w:cs="Calibri" w:hint="eastAsia"/>
          <w:sz w:val="18"/>
          <w:szCs w:val="18"/>
        </w:rPr>
        <w:t>①农业生产者销售自产农产品</w:t>
      </w:r>
    </w:p>
    <w:p w14:paraId="625E8F46" w14:textId="77777777" w:rsidR="00872599" w:rsidRPr="00F614F9" w:rsidRDefault="00000000" w:rsidP="007C0164">
      <w:pPr>
        <w:pStyle w:val="a3"/>
        <w:spacing w:before="0" w:beforeAutospacing="0" w:after="0" w:afterAutospacing="0" w:line="276" w:lineRule="auto"/>
        <w:ind w:firstLine="360"/>
        <w:jc w:val="both"/>
        <w:divId w:val="2119256932"/>
        <w:rPr>
          <w:rFonts w:ascii="Times New Roman" w:hAnsi="Times New Roman" w:cs="Calibri"/>
          <w:sz w:val="21"/>
          <w:szCs w:val="21"/>
        </w:rPr>
      </w:pPr>
      <w:r w:rsidRPr="00F614F9">
        <w:rPr>
          <w:rFonts w:ascii="Times New Roman" w:hAnsi="Times New Roman" w:cs="Calibri" w:hint="eastAsia"/>
          <w:sz w:val="18"/>
          <w:szCs w:val="18"/>
        </w:rPr>
        <w:t>根据《中华人民共和国增值税暂行条例》（中华人民共和国国务院令第</w:t>
      </w:r>
      <w:r w:rsidRPr="00F614F9">
        <w:rPr>
          <w:rFonts w:ascii="Times New Roman" w:hAnsi="Times New Roman" w:cs="Calibri" w:hint="eastAsia"/>
          <w:sz w:val="18"/>
          <w:szCs w:val="18"/>
        </w:rPr>
        <w:t>538</w:t>
      </w:r>
      <w:r w:rsidRPr="00F614F9">
        <w:rPr>
          <w:rFonts w:ascii="Times New Roman" w:hAnsi="Times New Roman" w:cs="Calibri" w:hint="eastAsia"/>
          <w:sz w:val="18"/>
          <w:szCs w:val="18"/>
        </w:rPr>
        <w:t>号）第十五条第（一）项规定，农业生产者销售自产农产品免征增值税，报告期内本公司下属子公司烟台龙大养殖有限公司、安丘龙大养殖有限公司、莱阳龙大养殖有限公司、莱州龙大养殖有限公司销售自产生猪，免征增值税。</w:t>
      </w:r>
    </w:p>
    <w:p w14:paraId="60AB4A91" w14:textId="77777777" w:rsidR="00872599" w:rsidRPr="00F614F9" w:rsidRDefault="00000000" w:rsidP="007C0164">
      <w:pPr>
        <w:pStyle w:val="a3"/>
        <w:spacing w:before="0" w:beforeAutospacing="0" w:after="0" w:afterAutospacing="0" w:line="276" w:lineRule="auto"/>
        <w:ind w:firstLine="360"/>
        <w:jc w:val="both"/>
        <w:divId w:val="2119256932"/>
        <w:rPr>
          <w:rFonts w:ascii="Times New Roman" w:hAnsi="Times New Roman" w:cs="Calibri"/>
          <w:sz w:val="21"/>
          <w:szCs w:val="21"/>
        </w:rPr>
      </w:pPr>
      <w:r w:rsidRPr="00F614F9">
        <w:rPr>
          <w:rFonts w:ascii="Times New Roman" w:hAnsi="Times New Roman" w:cs="Calibri" w:hint="eastAsia"/>
          <w:sz w:val="18"/>
          <w:szCs w:val="18"/>
        </w:rPr>
        <w:t>②符合条件的饲料产品</w:t>
      </w:r>
    </w:p>
    <w:p w14:paraId="26588A39" w14:textId="77777777" w:rsidR="00872599" w:rsidRPr="00F614F9" w:rsidRDefault="00000000" w:rsidP="007C0164">
      <w:pPr>
        <w:pStyle w:val="a3"/>
        <w:spacing w:before="0" w:beforeAutospacing="0" w:after="0" w:afterAutospacing="0" w:line="276" w:lineRule="auto"/>
        <w:ind w:firstLine="360"/>
        <w:jc w:val="both"/>
        <w:divId w:val="2119256932"/>
        <w:rPr>
          <w:rFonts w:ascii="Times New Roman" w:hAnsi="Times New Roman" w:cs="Calibri"/>
          <w:sz w:val="21"/>
          <w:szCs w:val="21"/>
        </w:rPr>
      </w:pPr>
      <w:r w:rsidRPr="00F614F9">
        <w:rPr>
          <w:rFonts w:ascii="Times New Roman" w:hAnsi="Times New Roman" w:cs="Calibri" w:hint="eastAsia"/>
          <w:sz w:val="18"/>
          <w:szCs w:val="18"/>
        </w:rPr>
        <w:t>根据《财政部国家税务总局关于饲料产品免征增值税问题的通知》（财税〔</w:t>
      </w:r>
      <w:r w:rsidRPr="00F614F9">
        <w:rPr>
          <w:rFonts w:ascii="Times New Roman" w:hAnsi="Times New Roman" w:cs="Calibri" w:hint="eastAsia"/>
          <w:sz w:val="18"/>
          <w:szCs w:val="18"/>
        </w:rPr>
        <w:t>2001</w:t>
      </w:r>
      <w:r w:rsidRPr="00F614F9">
        <w:rPr>
          <w:rFonts w:ascii="Times New Roman" w:hAnsi="Times New Roman" w:cs="Calibri" w:hint="eastAsia"/>
          <w:sz w:val="18"/>
          <w:szCs w:val="18"/>
        </w:rPr>
        <w:t>〕</w:t>
      </w:r>
      <w:r w:rsidRPr="00F614F9">
        <w:rPr>
          <w:rFonts w:ascii="Times New Roman" w:hAnsi="Times New Roman" w:cs="Calibri" w:hint="eastAsia"/>
          <w:sz w:val="18"/>
          <w:szCs w:val="18"/>
        </w:rPr>
        <w:t>121</w:t>
      </w:r>
      <w:r w:rsidRPr="00F614F9">
        <w:rPr>
          <w:rFonts w:ascii="Times New Roman" w:hAnsi="Times New Roman" w:cs="Calibri" w:hint="eastAsia"/>
          <w:sz w:val="18"/>
          <w:szCs w:val="18"/>
        </w:rPr>
        <w:t>号）规定，报告期内本公司下属子公司烟台龙大饲料有限公司生产销售符合条件的饲料产品，免征增值税。</w:t>
      </w:r>
    </w:p>
    <w:p w14:paraId="2DBB759D" w14:textId="77777777" w:rsidR="00872599" w:rsidRPr="00F614F9" w:rsidRDefault="00000000" w:rsidP="007C0164">
      <w:pPr>
        <w:pStyle w:val="a3"/>
        <w:spacing w:before="0" w:beforeAutospacing="0" w:after="0" w:afterAutospacing="0" w:line="276" w:lineRule="auto"/>
        <w:ind w:firstLine="360"/>
        <w:jc w:val="both"/>
        <w:divId w:val="2119256932"/>
        <w:rPr>
          <w:rFonts w:ascii="Times New Roman" w:hAnsi="Times New Roman" w:cs="Calibri"/>
          <w:sz w:val="21"/>
          <w:szCs w:val="21"/>
        </w:rPr>
      </w:pPr>
      <w:r w:rsidRPr="00F614F9">
        <w:rPr>
          <w:rFonts w:ascii="Times New Roman" w:hAnsi="Times New Roman" w:cs="Calibri" w:hint="eastAsia"/>
          <w:sz w:val="18"/>
          <w:szCs w:val="18"/>
        </w:rPr>
        <w:t>③流通环节的鲜活肉蛋产品</w:t>
      </w:r>
    </w:p>
    <w:p w14:paraId="0B9BD7C3" w14:textId="77777777" w:rsidR="00872599" w:rsidRPr="00F614F9" w:rsidRDefault="00000000" w:rsidP="007C0164">
      <w:pPr>
        <w:pStyle w:val="a3"/>
        <w:spacing w:before="0" w:beforeAutospacing="0" w:after="0" w:afterAutospacing="0" w:line="276" w:lineRule="auto"/>
        <w:ind w:firstLine="360"/>
        <w:jc w:val="both"/>
        <w:divId w:val="2119256932"/>
        <w:rPr>
          <w:rFonts w:ascii="Times New Roman" w:hAnsi="Times New Roman" w:cs="Calibri"/>
          <w:sz w:val="21"/>
          <w:szCs w:val="21"/>
        </w:rPr>
      </w:pPr>
      <w:r w:rsidRPr="00F614F9">
        <w:rPr>
          <w:rFonts w:ascii="Times New Roman" w:hAnsi="Times New Roman" w:cs="Calibri" w:hint="eastAsia"/>
          <w:sz w:val="18"/>
          <w:szCs w:val="18"/>
        </w:rPr>
        <w:t>根据《财政部国家税务总局关于免征部分鲜活肉蛋产品流通环节增值税政策的通知》（财税〔</w:t>
      </w:r>
      <w:r w:rsidRPr="00F614F9">
        <w:rPr>
          <w:rFonts w:ascii="Times New Roman" w:hAnsi="Times New Roman" w:cs="Calibri" w:hint="eastAsia"/>
          <w:sz w:val="18"/>
          <w:szCs w:val="18"/>
        </w:rPr>
        <w:t>2012</w:t>
      </w:r>
      <w:r w:rsidRPr="00F614F9">
        <w:rPr>
          <w:rFonts w:ascii="Times New Roman" w:hAnsi="Times New Roman" w:cs="Calibri" w:hint="eastAsia"/>
          <w:sz w:val="18"/>
          <w:szCs w:val="18"/>
        </w:rPr>
        <w:t>〕</w:t>
      </w:r>
      <w:r w:rsidRPr="00F614F9">
        <w:rPr>
          <w:rFonts w:ascii="Times New Roman" w:hAnsi="Times New Roman" w:cs="Calibri" w:hint="eastAsia"/>
          <w:sz w:val="18"/>
          <w:szCs w:val="18"/>
        </w:rPr>
        <w:t>75</w:t>
      </w:r>
      <w:r w:rsidRPr="00F614F9">
        <w:rPr>
          <w:rFonts w:ascii="Times New Roman" w:hAnsi="Times New Roman" w:cs="Calibri" w:hint="eastAsia"/>
          <w:sz w:val="18"/>
          <w:szCs w:val="18"/>
        </w:rPr>
        <w:t>号）规定，报告期内本公司下属子公司青岛新胜</w:t>
      </w:r>
      <w:proofErr w:type="gramStart"/>
      <w:r w:rsidRPr="00F614F9">
        <w:rPr>
          <w:rFonts w:ascii="Times New Roman" w:hAnsi="Times New Roman" w:cs="Calibri" w:hint="eastAsia"/>
          <w:sz w:val="18"/>
          <w:szCs w:val="18"/>
        </w:rPr>
        <w:t>锦食品</w:t>
      </w:r>
      <w:proofErr w:type="gramEnd"/>
      <w:r w:rsidRPr="00F614F9">
        <w:rPr>
          <w:rFonts w:ascii="Times New Roman" w:hAnsi="Times New Roman" w:cs="Calibri" w:hint="eastAsia"/>
          <w:sz w:val="18"/>
          <w:szCs w:val="18"/>
        </w:rPr>
        <w:t>商贸有限公司销售的鲜活肉产品，免征流通环节增值税。</w:t>
      </w:r>
    </w:p>
    <w:p w14:paraId="74B11181" w14:textId="77777777" w:rsidR="00872599" w:rsidRPr="00F614F9" w:rsidRDefault="00000000" w:rsidP="007C0164">
      <w:pPr>
        <w:pStyle w:val="a3"/>
        <w:spacing w:before="0" w:beforeAutospacing="0" w:after="0" w:afterAutospacing="0" w:line="276" w:lineRule="auto"/>
        <w:ind w:firstLine="360"/>
        <w:jc w:val="both"/>
        <w:divId w:val="2119256932"/>
        <w:rPr>
          <w:rFonts w:ascii="Times New Roman" w:hAnsi="Times New Roman" w:cs="Calibri"/>
          <w:sz w:val="21"/>
          <w:szCs w:val="21"/>
        </w:rPr>
      </w:pPr>
      <w:r w:rsidRPr="00F614F9">
        <w:rPr>
          <w:rFonts w:ascii="Times New Roman" w:hAnsi="Times New Roman" w:cs="Calibri" w:hint="eastAsia"/>
          <w:sz w:val="18"/>
          <w:szCs w:val="18"/>
        </w:rPr>
        <w:t>④技术转让、技术开发等</w:t>
      </w:r>
    </w:p>
    <w:p w14:paraId="47F96E82" w14:textId="77777777" w:rsidR="00872599" w:rsidRPr="00F614F9" w:rsidRDefault="00000000" w:rsidP="007C0164">
      <w:pPr>
        <w:pStyle w:val="a3"/>
        <w:spacing w:before="0" w:beforeAutospacing="0" w:after="0" w:afterAutospacing="0" w:line="276" w:lineRule="auto"/>
        <w:ind w:firstLine="360"/>
        <w:jc w:val="both"/>
        <w:divId w:val="2119256932"/>
        <w:rPr>
          <w:rFonts w:ascii="Times New Roman" w:hAnsi="Times New Roman" w:cs="Calibri"/>
          <w:sz w:val="21"/>
          <w:szCs w:val="21"/>
        </w:rPr>
      </w:pPr>
      <w:r w:rsidRPr="00F614F9">
        <w:rPr>
          <w:rFonts w:ascii="Times New Roman" w:hAnsi="Times New Roman" w:cs="Calibri" w:hint="eastAsia"/>
          <w:sz w:val="18"/>
          <w:szCs w:val="18"/>
        </w:rPr>
        <w:t>根据《财政部、国家税务总局关于全面推开营业税改征增值税试点的通知》（财税〔</w:t>
      </w:r>
      <w:r w:rsidRPr="00F614F9">
        <w:rPr>
          <w:rFonts w:ascii="Times New Roman" w:hAnsi="Times New Roman" w:cs="Calibri" w:hint="eastAsia"/>
          <w:sz w:val="18"/>
          <w:szCs w:val="18"/>
        </w:rPr>
        <w:t>2016</w:t>
      </w:r>
      <w:r w:rsidRPr="00F614F9">
        <w:rPr>
          <w:rFonts w:ascii="Times New Roman" w:hAnsi="Times New Roman" w:cs="Calibri" w:hint="eastAsia"/>
          <w:sz w:val="18"/>
          <w:szCs w:val="18"/>
        </w:rPr>
        <w:t>〕</w:t>
      </w:r>
      <w:r w:rsidRPr="00F614F9">
        <w:rPr>
          <w:rFonts w:ascii="Times New Roman" w:hAnsi="Times New Roman" w:cs="Calibri" w:hint="eastAsia"/>
          <w:sz w:val="18"/>
          <w:szCs w:val="18"/>
        </w:rPr>
        <w:t>36</w:t>
      </w:r>
      <w:r w:rsidRPr="00F614F9">
        <w:rPr>
          <w:rFonts w:ascii="Times New Roman" w:hAnsi="Times New Roman" w:cs="Calibri" w:hint="eastAsia"/>
          <w:sz w:val="18"/>
          <w:szCs w:val="18"/>
        </w:rPr>
        <w:t>号）规定，纳税人提供技术转让、技术开发和与之相关的技术咨询、技术服务免征增值税。报告期内本公司下属子公司山东龙大生猪产品工程技术研究有限公司业务范围内的畜禽领域内的技术开发、技术咨询、技术转让及技术服务免征增值税。</w:t>
      </w:r>
    </w:p>
    <w:p w14:paraId="471159C0" w14:textId="77777777" w:rsidR="00872599" w:rsidRPr="00F614F9" w:rsidRDefault="00000000">
      <w:pPr>
        <w:pStyle w:val="a3"/>
        <w:spacing w:before="0" w:beforeAutospacing="0" w:after="0" w:afterAutospacing="0"/>
        <w:ind w:firstLine="360"/>
        <w:jc w:val="both"/>
        <w:divId w:val="2119256932"/>
        <w:rPr>
          <w:rFonts w:ascii="Times New Roman" w:hAnsi="Times New Roman" w:cs="Calibri"/>
          <w:sz w:val="21"/>
          <w:szCs w:val="21"/>
        </w:rPr>
      </w:pPr>
      <w:r w:rsidRPr="00F614F9">
        <w:rPr>
          <w:rFonts w:ascii="Times New Roman" w:hAnsi="Times New Roman" w:cs="Calibri" w:hint="eastAsia"/>
          <w:sz w:val="18"/>
          <w:szCs w:val="18"/>
        </w:rPr>
        <w:t> </w:t>
      </w:r>
    </w:p>
    <w:p w14:paraId="7FAD037F" w14:textId="77777777" w:rsidR="001D26E7" w:rsidRPr="00F614F9" w:rsidRDefault="00000000">
      <w:pPr>
        <w:pStyle w:val="3"/>
        <w:spacing w:line="280" w:lineRule="exact"/>
        <w:jc w:val="left"/>
        <w:rPr>
          <w:rFonts w:ascii="Times New Roman" w:hAnsi="Times New Roman" w:cs="宋体"/>
          <w:b/>
          <w:bCs/>
        </w:rPr>
      </w:pPr>
      <w:bookmarkStart w:id="317" w:name="_Toc989127"/>
      <w:r w:rsidRPr="00F614F9">
        <w:rPr>
          <w:rFonts w:ascii="Times New Roman" w:hAnsi="Times New Roman" w:cs="宋体"/>
          <w:b/>
          <w:bCs/>
        </w:rPr>
        <w:lastRenderedPageBreak/>
        <w:t>3</w:t>
      </w:r>
      <w:r w:rsidRPr="00F614F9">
        <w:rPr>
          <w:rFonts w:ascii="Times New Roman" w:hAnsi="Times New Roman" w:cs="宋体"/>
          <w:b/>
          <w:bCs/>
        </w:rPr>
        <w:t>、其他</w:t>
      </w:r>
      <w:bookmarkEnd w:id="317"/>
    </w:p>
    <w:p w14:paraId="2B6C1CCB" w14:textId="77777777" w:rsidR="00872599" w:rsidRPr="00F614F9" w:rsidRDefault="00000000" w:rsidP="007C0164">
      <w:pPr>
        <w:pStyle w:val="a3"/>
        <w:spacing w:before="0" w:beforeAutospacing="0" w:after="0" w:afterAutospacing="0" w:line="276" w:lineRule="auto"/>
        <w:ind w:firstLine="360"/>
        <w:jc w:val="both"/>
        <w:divId w:val="389114904"/>
        <w:rPr>
          <w:rFonts w:ascii="Times New Roman" w:hAnsi="Times New Roman" w:cs="Calibri"/>
          <w:sz w:val="21"/>
          <w:szCs w:val="21"/>
        </w:rPr>
      </w:pPr>
      <w:r w:rsidRPr="00F614F9">
        <w:rPr>
          <w:rFonts w:ascii="Times New Roman" w:hAnsi="Times New Roman" w:cs="Calibri" w:hint="eastAsia"/>
          <w:sz w:val="18"/>
          <w:szCs w:val="18"/>
        </w:rPr>
        <w:t>根据《财政部税务总局关于设备、器具扣除有关企业所得税政策的通知》（财税〔</w:t>
      </w:r>
      <w:r w:rsidRPr="00F614F9">
        <w:rPr>
          <w:rFonts w:ascii="Times New Roman" w:hAnsi="Times New Roman" w:cs="Calibri" w:hint="eastAsia"/>
          <w:sz w:val="18"/>
          <w:szCs w:val="18"/>
        </w:rPr>
        <w:t>2018</w:t>
      </w:r>
      <w:r w:rsidRPr="00F614F9">
        <w:rPr>
          <w:rFonts w:ascii="Times New Roman" w:hAnsi="Times New Roman" w:cs="Calibri" w:hint="eastAsia"/>
          <w:sz w:val="18"/>
          <w:szCs w:val="18"/>
        </w:rPr>
        <w:t>〕</w:t>
      </w:r>
      <w:r w:rsidRPr="00F614F9">
        <w:rPr>
          <w:rFonts w:ascii="Times New Roman" w:hAnsi="Times New Roman" w:cs="Calibri" w:hint="eastAsia"/>
          <w:sz w:val="18"/>
          <w:szCs w:val="18"/>
        </w:rPr>
        <w:t>54</w:t>
      </w:r>
      <w:r w:rsidRPr="00F614F9">
        <w:rPr>
          <w:rFonts w:ascii="Times New Roman" w:hAnsi="Times New Roman" w:cs="Calibri" w:hint="eastAsia"/>
          <w:sz w:val="18"/>
          <w:szCs w:val="18"/>
        </w:rPr>
        <w:t>号）规定，企业在</w:t>
      </w:r>
      <w:r w:rsidRPr="00F614F9">
        <w:rPr>
          <w:rFonts w:ascii="Times New Roman" w:hAnsi="Times New Roman" w:cs="Calibri" w:hint="eastAsia"/>
          <w:sz w:val="18"/>
          <w:szCs w:val="18"/>
        </w:rPr>
        <w:t>2018</w:t>
      </w:r>
      <w:r w:rsidRPr="00F614F9">
        <w:rPr>
          <w:rFonts w:ascii="Times New Roman" w:hAnsi="Times New Roman" w:cs="Calibri" w:hint="eastAsia"/>
          <w:sz w:val="18"/>
          <w:szCs w:val="18"/>
        </w:rPr>
        <w:t>年</w:t>
      </w:r>
      <w:r w:rsidRPr="00F614F9">
        <w:rPr>
          <w:rFonts w:ascii="Times New Roman" w:hAnsi="Times New Roman" w:cs="Calibri" w:hint="eastAsia"/>
          <w:sz w:val="18"/>
          <w:szCs w:val="18"/>
        </w:rPr>
        <w:t>1</w:t>
      </w:r>
      <w:r w:rsidRPr="00F614F9">
        <w:rPr>
          <w:rFonts w:ascii="Times New Roman" w:hAnsi="Times New Roman" w:cs="Calibri" w:hint="eastAsia"/>
          <w:sz w:val="18"/>
          <w:szCs w:val="18"/>
        </w:rPr>
        <w:t>月</w:t>
      </w:r>
      <w:r w:rsidRPr="00F614F9">
        <w:rPr>
          <w:rFonts w:ascii="Times New Roman" w:hAnsi="Times New Roman" w:cs="Calibri" w:hint="eastAsia"/>
          <w:sz w:val="18"/>
          <w:szCs w:val="18"/>
        </w:rPr>
        <w:t>1</w:t>
      </w:r>
      <w:r w:rsidRPr="00F614F9">
        <w:rPr>
          <w:rFonts w:ascii="Times New Roman" w:hAnsi="Times New Roman" w:cs="Calibri" w:hint="eastAsia"/>
          <w:sz w:val="18"/>
          <w:szCs w:val="18"/>
        </w:rPr>
        <w:t>日至</w:t>
      </w:r>
      <w:r w:rsidRPr="00F614F9">
        <w:rPr>
          <w:rFonts w:ascii="Times New Roman" w:hAnsi="Times New Roman" w:cs="Calibri" w:hint="eastAsia"/>
          <w:sz w:val="18"/>
          <w:szCs w:val="18"/>
        </w:rPr>
        <w:t>2020</w:t>
      </w:r>
      <w:r w:rsidRPr="00F614F9">
        <w:rPr>
          <w:rFonts w:ascii="Times New Roman" w:hAnsi="Times New Roman" w:cs="Calibri" w:hint="eastAsia"/>
          <w:sz w:val="18"/>
          <w:szCs w:val="18"/>
        </w:rPr>
        <w:t>年</w:t>
      </w:r>
      <w:r w:rsidRPr="00F614F9">
        <w:rPr>
          <w:rFonts w:ascii="Times New Roman" w:hAnsi="Times New Roman" w:cs="Calibri" w:hint="eastAsia"/>
          <w:sz w:val="18"/>
          <w:szCs w:val="18"/>
        </w:rPr>
        <w:t>12</w:t>
      </w:r>
      <w:r w:rsidRPr="00F614F9">
        <w:rPr>
          <w:rFonts w:ascii="Times New Roman" w:hAnsi="Times New Roman" w:cs="Calibri" w:hint="eastAsia"/>
          <w:sz w:val="18"/>
          <w:szCs w:val="18"/>
        </w:rPr>
        <w:t>月</w:t>
      </w:r>
      <w:r w:rsidRPr="00F614F9">
        <w:rPr>
          <w:rFonts w:ascii="Times New Roman" w:hAnsi="Times New Roman" w:cs="Calibri" w:hint="eastAsia"/>
          <w:sz w:val="18"/>
          <w:szCs w:val="18"/>
        </w:rPr>
        <w:t>31</w:t>
      </w:r>
      <w:r w:rsidRPr="00F614F9">
        <w:rPr>
          <w:rFonts w:ascii="Times New Roman" w:hAnsi="Times New Roman" w:cs="Calibri" w:hint="eastAsia"/>
          <w:sz w:val="18"/>
          <w:szCs w:val="18"/>
        </w:rPr>
        <w:t>日期间新购进的设备、器具，单位价值不超过</w:t>
      </w:r>
      <w:r w:rsidRPr="00F614F9">
        <w:rPr>
          <w:rFonts w:ascii="Times New Roman" w:hAnsi="Times New Roman" w:cs="Calibri" w:hint="eastAsia"/>
          <w:sz w:val="18"/>
          <w:szCs w:val="18"/>
        </w:rPr>
        <w:t>500</w:t>
      </w:r>
      <w:r w:rsidRPr="00F614F9">
        <w:rPr>
          <w:rFonts w:ascii="Times New Roman" w:hAnsi="Times New Roman" w:cs="Calibri" w:hint="eastAsia"/>
          <w:sz w:val="18"/>
          <w:szCs w:val="18"/>
        </w:rPr>
        <w:t>万元的，允许一次性计入当期成本费用在计算应纳税所得额时扣除，不再分年度计算折旧。</w:t>
      </w:r>
    </w:p>
    <w:p w14:paraId="6D9962BF" w14:textId="77777777" w:rsidR="00872599" w:rsidRPr="00F614F9" w:rsidRDefault="00000000" w:rsidP="007C0164">
      <w:pPr>
        <w:pStyle w:val="a3"/>
        <w:spacing w:before="0" w:beforeAutospacing="0" w:after="0" w:afterAutospacing="0" w:line="276" w:lineRule="auto"/>
        <w:ind w:firstLine="360"/>
        <w:jc w:val="both"/>
        <w:divId w:val="389114904"/>
        <w:rPr>
          <w:rFonts w:ascii="Times New Roman" w:hAnsi="Times New Roman" w:cs="Calibri"/>
          <w:sz w:val="21"/>
          <w:szCs w:val="21"/>
        </w:rPr>
      </w:pPr>
      <w:r w:rsidRPr="00F614F9">
        <w:rPr>
          <w:rFonts w:ascii="Times New Roman" w:hAnsi="Times New Roman" w:cs="Calibri" w:hint="eastAsia"/>
          <w:sz w:val="18"/>
          <w:szCs w:val="18"/>
        </w:rPr>
        <w:t>根据《财政部税务总局关于延长部分税收优惠政策执行期限的公告》（财政部税务总局公告</w:t>
      </w:r>
      <w:r w:rsidRPr="00F614F9">
        <w:rPr>
          <w:rFonts w:ascii="Times New Roman" w:hAnsi="Times New Roman" w:cs="Calibri" w:hint="eastAsia"/>
          <w:sz w:val="18"/>
          <w:szCs w:val="18"/>
        </w:rPr>
        <w:t>2021</w:t>
      </w:r>
      <w:r w:rsidRPr="00F614F9">
        <w:rPr>
          <w:rFonts w:ascii="Times New Roman" w:hAnsi="Times New Roman" w:cs="Calibri" w:hint="eastAsia"/>
          <w:sz w:val="18"/>
          <w:szCs w:val="18"/>
        </w:rPr>
        <w:t>年第</w:t>
      </w:r>
      <w:r w:rsidRPr="00F614F9">
        <w:rPr>
          <w:rFonts w:ascii="Times New Roman" w:hAnsi="Times New Roman" w:cs="Calibri" w:hint="eastAsia"/>
          <w:sz w:val="18"/>
          <w:szCs w:val="18"/>
        </w:rPr>
        <w:t>6</w:t>
      </w:r>
      <w:r w:rsidRPr="00F614F9">
        <w:rPr>
          <w:rFonts w:ascii="Times New Roman" w:hAnsi="Times New Roman" w:cs="Calibri" w:hint="eastAsia"/>
          <w:sz w:val="18"/>
          <w:szCs w:val="18"/>
        </w:rPr>
        <w:t>号）第一条规定，《财政部税务总局关于设备、器具扣除有关企业所得税政策的通知》（财税〔</w:t>
      </w:r>
      <w:r w:rsidRPr="00F614F9">
        <w:rPr>
          <w:rFonts w:ascii="Times New Roman" w:hAnsi="Times New Roman" w:cs="Calibri" w:hint="eastAsia"/>
          <w:sz w:val="18"/>
          <w:szCs w:val="18"/>
        </w:rPr>
        <w:t>2018</w:t>
      </w:r>
      <w:r w:rsidRPr="00F614F9">
        <w:rPr>
          <w:rFonts w:ascii="Times New Roman" w:hAnsi="Times New Roman" w:cs="Calibri" w:hint="eastAsia"/>
          <w:sz w:val="18"/>
          <w:szCs w:val="18"/>
        </w:rPr>
        <w:t>〕</w:t>
      </w:r>
      <w:r w:rsidRPr="00F614F9">
        <w:rPr>
          <w:rFonts w:ascii="Times New Roman" w:hAnsi="Times New Roman" w:cs="Calibri" w:hint="eastAsia"/>
          <w:sz w:val="18"/>
          <w:szCs w:val="18"/>
        </w:rPr>
        <w:t>54</w:t>
      </w:r>
      <w:r w:rsidRPr="00F614F9">
        <w:rPr>
          <w:rFonts w:ascii="Times New Roman" w:hAnsi="Times New Roman" w:cs="Calibri" w:hint="eastAsia"/>
          <w:sz w:val="18"/>
          <w:szCs w:val="18"/>
        </w:rPr>
        <w:t>号）等</w:t>
      </w:r>
      <w:r w:rsidRPr="00F614F9">
        <w:rPr>
          <w:rFonts w:ascii="Times New Roman" w:hAnsi="Times New Roman" w:cs="Calibri" w:hint="eastAsia"/>
          <w:sz w:val="18"/>
          <w:szCs w:val="18"/>
        </w:rPr>
        <w:t>16</w:t>
      </w:r>
      <w:r w:rsidRPr="00F614F9">
        <w:rPr>
          <w:rFonts w:ascii="Times New Roman" w:hAnsi="Times New Roman" w:cs="Calibri" w:hint="eastAsia"/>
          <w:sz w:val="18"/>
          <w:szCs w:val="18"/>
        </w:rPr>
        <w:t>个文件规定的税收优惠政策凡已经到期的，执行期限延长至</w:t>
      </w:r>
      <w:r w:rsidRPr="00F614F9">
        <w:rPr>
          <w:rFonts w:ascii="Times New Roman" w:hAnsi="Times New Roman" w:cs="Calibri" w:hint="eastAsia"/>
          <w:sz w:val="18"/>
          <w:szCs w:val="18"/>
        </w:rPr>
        <w:t>2023</w:t>
      </w:r>
      <w:r w:rsidRPr="00F614F9">
        <w:rPr>
          <w:rFonts w:ascii="Times New Roman" w:hAnsi="Times New Roman" w:cs="Calibri" w:hint="eastAsia"/>
          <w:sz w:val="18"/>
          <w:szCs w:val="18"/>
        </w:rPr>
        <w:t>年</w:t>
      </w:r>
      <w:r w:rsidRPr="00F614F9">
        <w:rPr>
          <w:rFonts w:ascii="Times New Roman" w:hAnsi="Times New Roman" w:cs="Calibri" w:hint="eastAsia"/>
          <w:sz w:val="18"/>
          <w:szCs w:val="18"/>
        </w:rPr>
        <w:t>12</w:t>
      </w:r>
      <w:r w:rsidRPr="00F614F9">
        <w:rPr>
          <w:rFonts w:ascii="Times New Roman" w:hAnsi="Times New Roman" w:cs="Calibri" w:hint="eastAsia"/>
          <w:sz w:val="18"/>
          <w:szCs w:val="18"/>
        </w:rPr>
        <w:t>月</w:t>
      </w:r>
      <w:r w:rsidRPr="00F614F9">
        <w:rPr>
          <w:rFonts w:ascii="Times New Roman" w:hAnsi="Times New Roman" w:cs="Calibri" w:hint="eastAsia"/>
          <w:sz w:val="18"/>
          <w:szCs w:val="18"/>
        </w:rPr>
        <w:t>31</w:t>
      </w:r>
      <w:r w:rsidRPr="00F614F9">
        <w:rPr>
          <w:rFonts w:ascii="Times New Roman" w:hAnsi="Times New Roman" w:cs="Calibri" w:hint="eastAsia"/>
          <w:sz w:val="18"/>
          <w:szCs w:val="18"/>
        </w:rPr>
        <w:t>日。</w:t>
      </w:r>
    </w:p>
    <w:p w14:paraId="306E32C6"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318" w:name="_Toc989128"/>
      <w:bookmarkStart w:id="319" w:name="_Toc164024828"/>
      <w:r w:rsidRPr="00F614F9">
        <w:rPr>
          <w:rFonts w:ascii="Times New Roman" w:eastAsia="宋体" w:hAnsi="Times New Roman" w:cs="宋体"/>
          <w:b/>
          <w:bCs/>
          <w:sz w:val="24"/>
          <w:szCs w:val="24"/>
        </w:rPr>
        <w:t>七、合并财务报表项目注释</w:t>
      </w:r>
      <w:bookmarkEnd w:id="318"/>
      <w:bookmarkEnd w:id="319"/>
    </w:p>
    <w:p w14:paraId="0E9E934D" w14:textId="77777777" w:rsidR="001D26E7" w:rsidRPr="00F614F9" w:rsidRDefault="00000000">
      <w:pPr>
        <w:pStyle w:val="3"/>
        <w:spacing w:line="280" w:lineRule="exact"/>
        <w:jc w:val="left"/>
        <w:rPr>
          <w:rFonts w:ascii="Times New Roman" w:hAnsi="Times New Roman" w:cs="宋体"/>
          <w:b/>
          <w:bCs/>
        </w:rPr>
      </w:pPr>
      <w:bookmarkStart w:id="320" w:name="_Toc989129"/>
      <w:r w:rsidRPr="00F614F9">
        <w:rPr>
          <w:rFonts w:ascii="Times New Roman" w:hAnsi="Times New Roman" w:cs="宋体"/>
          <w:b/>
          <w:bCs/>
        </w:rPr>
        <w:t>1</w:t>
      </w:r>
      <w:r w:rsidRPr="00F614F9">
        <w:rPr>
          <w:rFonts w:ascii="Times New Roman" w:hAnsi="Times New Roman" w:cs="宋体"/>
          <w:b/>
          <w:bCs/>
        </w:rPr>
        <w:t>、货币资金</w:t>
      </w:r>
      <w:bookmarkEnd w:id="320"/>
    </w:p>
    <w:p w14:paraId="74859B61"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62BA73D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A6D11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B0857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FD412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08FF5B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FA57F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库存现金</w:t>
            </w:r>
          </w:p>
        </w:tc>
        <w:tc>
          <w:tcPr>
            <w:tcW w:w="3213" w:type="dxa"/>
            <w:tcBorders>
              <w:top w:val="single" w:sz="2" w:space="0" w:color="auto"/>
              <w:left w:val="single" w:sz="2" w:space="0" w:color="auto"/>
              <w:bottom w:val="single" w:sz="2" w:space="0" w:color="auto"/>
              <w:right w:val="single" w:sz="2" w:space="0" w:color="auto"/>
            </w:tcBorders>
            <w:vAlign w:val="center"/>
          </w:tcPr>
          <w:p w14:paraId="100E8C2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10,752.96</w:t>
            </w:r>
          </w:p>
        </w:tc>
        <w:tc>
          <w:tcPr>
            <w:tcW w:w="3213" w:type="dxa"/>
            <w:tcBorders>
              <w:top w:val="single" w:sz="2" w:space="0" w:color="auto"/>
              <w:left w:val="single" w:sz="2" w:space="0" w:color="auto"/>
              <w:bottom w:val="single" w:sz="2" w:space="0" w:color="auto"/>
              <w:right w:val="single" w:sz="2" w:space="0" w:color="auto"/>
            </w:tcBorders>
            <w:vAlign w:val="center"/>
          </w:tcPr>
          <w:p w14:paraId="1923AF0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216,936.47</w:t>
            </w:r>
          </w:p>
        </w:tc>
      </w:tr>
      <w:tr w:rsidR="001D26E7" w:rsidRPr="00F614F9" w14:paraId="7F1526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60F03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银行存款</w:t>
            </w:r>
          </w:p>
        </w:tc>
        <w:tc>
          <w:tcPr>
            <w:tcW w:w="3213" w:type="dxa"/>
            <w:tcBorders>
              <w:top w:val="single" w:sz="2" w:space="0" w:color="auto"/>
              <w:left w:val="single" w:sz="2" w:space="0" w:color="auto"/>
              <w:bottom w:val="single" w:sz="2" w:space="0" w:color="auto"/>
              <w:right w:val="single" w:sz="2" w:space="0" w:color="auto"/>
            </w:tcBorders>
            <w:vAlign w:val="center"/>
          </w:tcPr>
          <w:p w14:paraId="6CECBB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904,583,287.76</w:t>
            </w:r>
          </w:p>
        </w:tc>
        <w:tc>
          <w:tcPr>
            <w:tcW w:w="3213" w:type="dxa"/>
            <w:tcBorders>
              <w:top w:val="single" w:sz="2" w:space="0" w:color="auto"/>
              <w:left w:val="single" w:sz="2" w:space="0" w:color="auto"/>
              <w:bottom w:val="single" w:sz="2" w:space="0" w:color="auto"/>
              <w:right w:val="single" w:sz="2" w:space="0" w:color="auto"/>
            </w:tcBorders>
            <w:vAlign w:val="center"/>
          </w:tcPr>
          <w:p w14:paraId="50D10E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1,362,350,958.74</w:t>
            </w:r>
          </w:p>
        </w:tc>
      </w:tr>
      <w:tr w:rsidR="001D26E7" w:rsidRPr="00F614F9" w14:paraId="4091ED1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768A8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03AE54D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487,978,055.79</w:t>
            </w:r>
          </w:p>
        </w:tc>
        <w:tc>
          <w:tcPr>
            <w:tcW w:w="3213" w:type="dxa"/>
            <w:tcBorders>
              <w:top w:val="single" w:sz="2" w:space="0" w:color="auto"/>
              <w:left w:val="single" w:sz="2" w:space="0" w:color="auto"/>
              <w:bottom w:val="single" w:sz="2" w:space="0" w:color="auto"/>
              <w:right w:val="single" w:sz="2" w:space="0" w:color="auto"/>
            </w:tcBorders>
            <w:vAlign w:val="center"/>
          </w:tcPr>
          <w:p w14:paraId="51F8604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493,353,140.49</w:t>
            </w:r>
          </w:p>
        </w:tc>
      </w:tr>
      <w:tr w:rsidR="001D26E7" w:rsidRPr="00F614F9" w14:paraId="0D0F51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4163C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C9D634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1,392,572,096.51</w:t>
            </w:r>
          </w:p>
        </w:tc>
        <w:tc>
          <w:tcPr>
            <w:tcW w:w="3213" w:type="dxa"/>
            <w:tcBorders>
              <w:top w:val="single" w:sz="2" w:space="0" w:color="auto"/>
              <w:left w:val="single" w:sz="2" w:space="0" w:color="auto"/>
              <w:bottom w:val="single" w:sz="2" w:space="0" w:color="auto"/>
              <w:right w:val="single" w:sz="2" w:space="0" w:color="auto"/>
            </w:tcBorders>
            <w:vAlign w:val="center"/>
          </w:tcPr>
          <w:p w14:paraId="5CF70F3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1,855,921,035.70</w:t>
            </w:r>
          </w:p>
        </w:tc>
      </w:tr>
    </w:tbl>
    <w:p w14:paraId="1FBF0E8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7F9C6511" w14:textId="77777777" w:rsidR="00872599" w:rsidRPr="00F614F9" w:rsidRDefault="00000000">
      <w:pPr>
        <w:pStyle w:val="a3"/>
        <w:divId w:val="974873206"/>
        <w:rPr>
          <w:rFonts w:ascii="Times New Roman" w:hAnsi="Times New Roman"/>
          <w:sz w:val="18"/>
          <w:szCs w:val="18"/>
        </w:rPr>
      </w:pPr>
      <w:r w:rsidRPr="00F614F9">
        <w:rPr>
          <w:rFonts w:ascii="Times New Roman" w:hAnsi="Times New Roman" w:hint="eastAsia"/>
          <w:sz w:val="18"/>
          <w:szCs w:val="18"/>
        </w:rPr>
        <w:t>无</w:t>
      </w:r>
    </w:p>
    <w:p w14:paraId="2DDE473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酒制造企业应详细披露是否存在与相关方建立资金共管账户等特殊利益安排的情形</w:t>
      </w:r>
    </w:p>
    <w:p w14:paraId="435E131E"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0B104A75" w14:textId="77777777" w:rsidR="001D26E7" w:rsidRPr="00F614F9" w:rsidRDefault="00000000">
      <w:pPr>
        <w:pStyle w:val="3"/>
        <w:spacing w:line="280" w:lineRule="exact"/>
        <w:jc w:val="left"/>
        <w:rPr>
          <w:rFonts w:ascii="Times New Roman" w:hAnsi="Times New Roman" w:cs="宋体"/>
          <w:b/>
          <w:bCs/>
        </w:rPr>
      </w:pPr>
      <w:bookmarkStart w:id="321" w:name="_Toc989130"/>
      <w:r w:rsidRPr="00F614F9">
        <w:rPr>
          <w:rFonts w:ascii="Times New Roman" w:hAnsi="Times New Roman" w:cs="宋体"/>
          <w:b/>
          <w:bCs/>
        </w:rPr>
        <w:t>2</w:t>
      </w:r>
      <w:r w:rsidRPr="00F614F9">
        <w:rPr>
          <w:rFonts w:ascii="Times New Roman" w:hAnsi="Times New Roman" w:cs="宋体"/>
          <w:b/>
          <w:bCs/>
        </w:rPr>
        <w:t>、交易性金融资产</w:t>
      </w:r>
      <w:bookmarkEnd w:id="321"/>
    </w:p>
    <w:p w14:paraId="0B0514D8" w14:textId="77777777" w:rsidR="00872599" w:rsidRPr="00F614F9" w:rsidRDefault="00000000">
      <w:pPr>
        <w:pStyle w:val="a3"/>
        <w:divId w:val="2121759919"/>
        <w:rPr>
          <w:rFonts w:ascii="Times New Roman" w:hAnsi="Times New Roman"/>
          <w:sz w:val="18"/>
          <w:szCs w:val="18"/>
        </w:rPr>
      </w:pPr>
      <w:r w:rsidRPr="00F614F9">
        <w:rPr>
          <w:rFonts w:ascii="Times New Roman" w:hAnsi="Times New Roman" w:hint="eastAsia"/>
          <w:sz w:val="18"/>
          <w:szCs w:val="18"/>
        </w:rPr>
        <w:t>无</w:t>
      </w:r>
    </w:p>
    <w:p w14:paraId="5CFD47A2" w14:textId="77777777" w:rsidR="001D26E7" w:rsidRPr="00F614F9" w:rsidRDefault="00000000">
      <w:pPr>
        <w:pStyle w:val="3"/>
        <w:spacing w:line="280" w:lineRule="exact"/>
        <w:jc w:val="left"/>
        <w:rPr>
          <w:rFonts w:ascii="Times New Roman" w:hAnsi="Times New Roman" w:cs="宋体"/>
          <w:b/>
          <w:bCs/>
        </w:rPr>
      </w:pPr>
      <w:bookmarkStart w:id="322" w:name="_Toc989131"/>
      <w:r w:rsidRPr="00F614F9">
        <w:rPr>
          <w:rFonts w:ascii="Times New Roman" w:hAnsi="Times New Roman" w:cs="宋体"/>
          <w:b/>
          <w:bCs/>
        </w:rPr>
        <w:t>3</w:t>
      </w:r>
      <w:r w:rsidRPr="00F614F9">
        <w:rPr>
          <w:rFonts w:ascii="Times New Roman" w:hAnsi="Times New Roman" w:cs="宋体"/>
          <w:b/>
          <w:bCs/>
        </w:rPr>
        <w:t>、衍生金融资产</w:t>
      </w:r>
      <w:bookmarkEnd w:id="322"/>
    </w:p>
    <w:p w14:paraId="7BB1EF49" w14:textId="77777777" w:rsidR="00872599" w:rsidRPr="00F614F9" w:rsidRDefault="00000000">
      <w:pPr>
        <w:pStyle w:val="a3"/>
        <w:divId w:val="327950483"/>
        <w:rPr>
          <w:rFonts w:ascii="Times New Roman" w:hAnsi="Times New Roman"/>
          <w:sz w:val="18"/>
          <w:szCs w:val="18"/>
        </w:rPr>
      </w:pPr>
      <w:r w:rsidRPr="00F614F9">
        <w:rPr>
          <w:rFonts w:ascii="Times New Roman" w:hAnsi="Times New Roman" w:hint="eastAsia"/>
          <w:sz w:val="18"/>
          <w:szCs w:val="18"/>
        </w:rPr>
        <w:t>无</w:t>
      </w:r>
    </w:p>
    <w:p w14:paraId="7435B0C3" w14:textId="77777777" w:rsidR="001D26E7" w:rsidRPr="00F614F9" w:rsidRDefault="00000000">
      <w:pPr>
        <w:pStyle w:val="3"/>
        <w:spacing w:line="280" w:lineRule="exact"/>
        <w:jc w:val="left"/>
        <w:rPr>
          <w:rFonts w:ascii="Times New Roman" w:hAnsi="Times New Roman" w:cs="宋体"/>
          <w:b/>
          <w:bCs/>
        </w:rPr>
      </w:pPr>
      <w:bookmarkStart w:id="323" w:name="_Toc989132"/>
      <w:r w:rsidRPr="00F614F9">
        <w:rPr>
          <w:rFonts w:ascii="Times New Roman" w:hAnsi="Times New Roman" w:cs="宋体"/>
          <w:b/>
          <w:bCs/>
        </w:rPr>
        <w:t>4</w:t>
      </w:r>
      <w:r w:rsidRPr="00F614F9">
        <w:rPr>
          <w:rFonts w:ascii="Times New Roman" w:hAnsi="Times New Roman" w:cs="宋体"/>
          <w:b/>
          <w:bCs/>
        </w:rPr>
        <w:t>、应收票据</w:t>
      </w:r>
      <w:bookmarkEnd w:id="323"/>
    </w:p>
    <w:p w14:paraId="4ACB22BF"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24" w:name="_Toc989133"/>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应收票据分类列示</w:t>
      </w:r>
      <w:bookmarkEnd w:id="324"/>
    </w:p>
    <w:p w14:paraId="6E00E79B"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1FAEBF3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C2069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82B9D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1FA2A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201C856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E9D0B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14:paraId="5DF9818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2,341,021.98</w:t>
            </w:r>
          </w:p>
        </w:tc>
        <w:tc>
          <w:tcPr>
            <w:tcW w:w="3213" w:type="dxa"/>
            <w:tcBorders>
              <w:top w:val="single" w:sz="2" w:space="0" w:color="auto"/>
              <w:left w:val="single" w:sz="2" w:space="0" w:color="auto"/>
              <w:bottom w:val="single" w:sz="2" w:space="0" w:color="auto"/>
              <w:right w:val="single" w:sz="2" w:space="0" w:color="auto"/>
            </w:tcBorders>
            <w:vAlign w:val="center"/>
          </w:tcPr>
          <w:p w14:paraId="47EB11F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6,654,920.50</w:t>
            </w:r>
          </w:p>
        </w:tc>
      </w:tr>
      <w:tr w:rsidR="001D26E7" w:rsidRPr="00F614F9" w14:paraId="5013C2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375A8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3989BC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2,341,021.98</w:t>
            </w:r>
          </w:p>
        </w:tc>
        <w:tc>
          <w:tcPr>
            <w:tcW w:w="3213" w:type="dxa"/>
            <w:tcBorders>
              <w:top w:val="single" w:sz="2" w:space="0" w:color="auto"/>
              <w:left w:val="single" w:sz="2" w:space="0" w:color="auto"/>
              <w:bottom w:val="single" w:sz="2" w:space="0" w:color="auto"/>
              <w:right w:val="single" w:sz="2" w:space="0" w:color="auto"/>
            </w:tcBorders>
            <w:vAlign w:val="center"/>
          </w:tcPr>
          <w:p w14:paraId="509DC82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6,654,920.50</w:t>
            </w:r>
          </w:p>
        </w:tc>
      </w:tr>
    </w:tbl>
    <w:p w14:paraId="211F55A4"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25" w:name="_Toc989134"/>
      <w:r w:rsidRPr="00F614F9">
        <w:rPr>
          <w:rFonts w:ascii="Times New Roman" w:eastAsia="宋体" w:hAnsi="Times New Roman" w:cs="宋体"/>
          <w:b/>
          <w:bCs/>
          <w:szCs w:val="21"/>
        </w:rPr>
        <w:lastRenderedPageBreak/>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按坏账计提方法分类披露</w:t>
      </w:r>
      <w:bookmarkEnd w:id="325"/>
    </w:p>
    <w:p w14:paraId="4A25274E" w14:textId="77777777" w:rsidR="00977E90" w:rsidRPr="00F614F9" w:rsidRDefault="00977E9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hint="eastAsia"/>
          <w:sz w:val="18"/>
          <w:szCs w:val="18"/>
        </w:rPr>
        <w:t>无</w:t>
      </w:r>
    </w:p>
    <w:p w14:paraId="0E61B40E"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如是按照预期信用损失一般模型计提应收票据坏账准备：</w:t>
      </w:r>
    </w:p>
    <w:p w14:paraId="554532F5"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5AC0D1D8"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26" w:name="_Toc989135"/>
      <w:r w:rsidRPr="00F614F9">
        <w:rPr>
          <w:rFonts w:ascii="Times New Roman" w:eastAsia="宋体" w:hAnsi="Times New Roman" w:cs="宋体"/>
          <w:b/>
          <w:bCs/>
          <w:szCs w:val="21"/>
        </w:rPr>
        <w:t>（</w:t>
      </w:r>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本期计提、收回或转回的坏账准备情况</w:t>
      </w:r>
      <w:bookmarkEnd w:id="326"/>
    </w:p>
    <w:p w14:paraId="323F3A70" w14:textId="77777777" w:rsidR="00977E90" w:rsidRPr="00F614F9" w:rsidRDefault="00977E90" w:rsidP="00977E9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hint="eastAsia"/>
          <w:sz w:val="18"/>
          <w:szCs w:val="18"/>
        </w:rPr>
        <w:t>无</w:t>
      </w:r>
    </w:p>
    <w:p w14:paraId="3EB1B4E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其中本期坏账准备收回或转回金额重要的：</w:t>
      </w:r>
    </w:p>
    <w:p w14:paraId="4275D011"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3CBC0753"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27" w:name="_Toc989136"/>
      <w:r w:rsidRPr="00F614F9">
        <w:rPr>
          <w:rFonts w:ascii="Times New Roman" w:eastAsia="宋体" w:hAnsi="Times New Roman" w:cs="宋体"/>
          <w:b/>
          <w:bCs/>
          <w:szCs w:val="21"/>
        </w:rPr>
        <w:t>（</w:t>
      </w:r>
      <w:r w:rsidRPr="00F614F9">
        <w:rPr>
          <w:rFonts w:ascii="Times New Roman" w:eastAsia="宋体" w:hAnsi="Times New Roman" w:cs="宋体"/>
          <w:b/>
          <w:bCs/>
          <w:szCs w:val="21"/>
        </w:rPr>
        <w:t>4</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期末公司已质押的应收票据</w:t>
      </w:r>
      <w:bookmarkEnd w:id="327"/>
    </w:p>
    <w:p w14:paraId="1471CB41" w14:textId="77777777" w:rsidR="00977E90" w:rsidRPr="00F614F9" w:rsidRDefault="00977E90" w:rsidP="00977E90">
      <w:pPr>
        <w:spacing w:before="40" w:after="40" w:line="240" w:lineRule="exact"/>
        <w:rPr>
          <w:rFonts w:ascii="Times New Roman" w:eastAsia="宋体" w:hAnsi="Times New Roman" w:cs="宋体"/>
          <w:sz w:val="18"/>
          <w:szCs w:val="18"/>
        </w:rPr>
      </w:pPr>
      <w:bookmarkStart w:id="328" w:name="_Toc989137"/>
      <w:r w:rsidRPr="00F614F9">
        <w:rPr>
          <w:rFonts w:ascii="Times New Roman" w:eastAsia="宋体" w:hAnsi="Times New Roman" w:cs="宋体" w:hint="eastAsia"/>
          <w:sz w:val="18"/>
          <w:szCs w:val="18"/>
        </w:rPr>
        <w:t>无</w:t>
      </w:r>
    </w:p>
    <w:p w14:paraId="6C8F36C1"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r w:rsidRPr="00F614F9">
        <w:rPr>
          <w:rFonts w:ascii="Times New Roman" w:eastAsia="宋体" w:hAnsi="Times New Roman" w:cs="宋体"/>
          <w:b/>
          <w:bCs/>
          <w:szCs w:val="21"/>
        </w:rPr>
        <w:t>（</w:t>
      </w:r>
      <w:r w:rsidRPr="00F614F9">
        <w:rPr>
          <w:rFonts w:ascii="Times New Roman" w:eastAsia="宋体" w:hAnsi="Times New Roman" w:cs="宋体"/>
          <w:b/>
          <w:bCs/>
          <w:szCs w:val="21"/>
        </w:rPr>
        <w:t>5</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期末公司已背书或贴现且在资产负债表日尚未到期的应收票据</w:t>
      </w:r>
      <w:bookmarkEnd w:id="328"/>
    </w:p>
    <w:p w14:paraId="4D348884" w14:textId="77777777" w:rsidR="00E03F6D" w:rsidRDefault="00E03F6D" w:rsidP="00E03F6D">
      <w:pPr>
        <w:spacing w:before="40" w:after="40" w:line="240" w:lineRule="exact"/>
        <w:jc w:val="right"/>
        <w:rPr>
          <w:rFonts w:ascii="宋体" w:eastAsia="宋体" w:hAnsi="宋体" w:cs="宋体"/>
          <w:sz w:val="18"/>
          <w:szCs w:val="18"/>
        </w:rPr>
      </w:pPr>
      <w:bookmarkStart w:id="329" w:name="_Toc989138"/>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15"/>
        <w:gridCol w:w="3215"/>
        <w:gridCol w:w="3215"/>
      </w:tblGrid>
      <w:tr w:rsidR="00E03F6D" w14:paraId="3ABDB0EA" w14:textId="77777777" w:rsidTr="00E03F6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14:paraId="73661A46" w14:textId="77777777" w:rsidR="00E03F6D" w:rsidRDefault="00E03F6D">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14:paraId="2F0AE5F8" w14:textId="77777777" w:rsidR="00E03F6D" w:rsidRDefault="00E03F6D">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期末终止确认金额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14:paraId="50251C5B" w14:textId="77777777" w:rsidR="00E03F6D" w:rsidRDefault="00E03F6D">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期末未终止确认金额</w:t>
            </w:r>
          </w:p>
        </w:tc>
      </w:tr>
      <w:tr w:rsidR="00E03F6D" w14:paraId="4919C0F4" w14:textId="77777777" w:rsidTr="00E03F6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14:paraId="1A38E364" w14:textId="77777777" w:rsidR="00E03F6D" w:rsidRDefault="00E03F6D">
            <w:pPr>
              <w:spacing w:before="40" w:after="40" w:line="240" w:lineRule="exact"/>
              <w:rPr>
                <w:rFonts w:ascii="宋体" w:eastAsia="宋体" w:hAnsi="宋体" w:cs="宋体"/>
                <w:sz w:val="18"/>
                <w:szCs w:val="18"/>
              </w:rPr>
            </w:pPr>
            <w:r>
              <w:rPr>
                <w:rFonts w:ascii="宋体" w:eastAsia="宋体" w:hAnsi="宋体" w:cs="宋体" w:hint="eastAsia"/>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hideMark/>
          </w:tcPr>
          <w:p w14:paraId="137839C4" w14:textId="77777777" w:rsidR="00E03F6D" w:rsidRDefault="00E03F6D">
            <w:pPr>
              <w:spacing w:line="240" w:lineRule="exact"/>
              <w:jc w:val="right"/>
              <w:rPr>
                <w:rFonts w:ascii="宋体" w:eastAsia="宋体" w:hAnsi="宋体" w:cs="宋体"/>
                <w:sz w:val="18"/>
                <w:szCs w:val="18"/>
              </w:rPr>
            </w:pPr>
            <w:r>
              <w:rPr>
                <w:rFonts w:ascii="宋体" w:eastAsia="宋体" w:hAnsi="宋体" w:cs="宋体" w:hint="eastAsia"/>
                <w:sz w:val="18"/>
                <w:szCs w:val="18"/>
              </w:rPr>
              <w:t>10,004,148.29</w:t>
            </w:r>
          </w:p>
        </w:tc>
        <w:tc>
          <w:tcPr>
            <w:tcW w:w="3213" w:type="dxa"/>
            <w:tcBorders>
              <w:top w:val="single" w:sz="2" w:space="0" w:color="auto"/>
              <w:left w:val="single" w:sz="2" w:space="0" w:color="auto"/>
              <w:bottom w:val="single" w:sz="2" w:space="0" w:color="auto"/>
              <w:right w:val="single" w:sz="2" w:space="0" w:color="auto"/>
            </w:tcBorders>
            <w:vAlign w:val="center"/>
          </w:tcPr>
          <w:p w14:paraId="064CBDCB" w14:textId="77777777" w:rsidR="00E03F6D" w:rsidRDefault="00E03F6D">
            <w:pPr>
              <w:spacing w:line="240" w:lineRule="exact"/>
              <w:jc w:val="right"/>
              <w:rPr>
                <w:rFonts w:ascii="宋体" w:eastAsia="宋体" w:hAnsi="宋体" w:cs="宋体"/>
                <w:sz w:val="18"/>
                <w:szCs w:val="18"/>
              </w:rPr>
            </w:pPr>
          </w:p>
        </w:tc>
      </w:tr>
      <w:tr w:rsidR="00E03F6D" w14:paraId="269E1984" w14:textId="77777777" w:rsidTr="00E03F6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14:paraId="7C0C30EC" w14:textId="77777777" w:rsidR="00E03F6D" w:rsidRDefault="00E03F6D">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hideMark/>
          </w:tcPr>
          <w:p w14:paraId="7ABDB73B" w14:textId="77777777" w:rsidR="00E03F6D" w:rsidRDefault="00E03F6D">
            <w:pPr>
              <w:spacing w:line="240" w:lineRule="exact"/>
              <w:jc w:val="right"/>
              <w:rPr>
                <w:rFonts w:ascii="宋体" w:eastAsia="宋体" w:hAnsi="宋体" w:cs="宋体"/>
                <w:sz w:val="18"/>
                <w:szCs w:val="18"/>
              </w:rPr>
            </w:pPr>
            <w:r>
              <w:rPr>
                <w:rFonts w:ascii="宋体" w:eastAsia="宋体" w:hAnsi="宋体" w:cs="宋体" w:hint="eastAsia"/>
                <w:sz w:val="18"/>
                <w:szCs w:val="18"/>
              </w:rPr>
              <w:t>10,004,148.29</w:t>
            </w:r>
          </w:p>
        </w:tc>
        <w:tc>
          <w:tcPr>
            <w:tcW w:w="3213" w:type="dxa"/>
            <w:tcBorders>
              <w:top w:val="single" w:sz="2" w:space="0" w:color="auto"/>
              <w:left w:val="single" w:sz="2" w:space="0" w:color="auto"/>
              <w:bottom w:val="single" w:sz="2" w:space="0" w:color="auto"/>
              <w:right w:val="single" w:sz="2" w:space="0" w:color="auto"/>
            </w:tcBorders>
            <w:vAlign w:val="center"/>
          </w:tcPr>
          <w:p w14:paraId="5B2B490B" w14:textId="77777777" w:rsidR="00E03F6D" w:rsidRDefault="00E03F6D">
            <w:pPr>
              <w:spacing w:line="240" w:lineRule="exact"/>
              <w:jc w:val="right"/>
              <w:rPr>
                <w:rFonts w:ascii="宋体" w:eastAsia="宋体" w:hAnsi="宋体" w:cs="宋体"/>
                <w:sz w:val="18"/>
                <w:szCs w:val="18"/>
              </w:rPr>
            </w:pPr>
          </w:p>
        </w:tc>
      </w:tr>
    </w:tbl>
    <w:p w14:paraId="1A45B3B9"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r w:rsidRPr="00F614F9">
        <w:rPr>
          <w:rFonts w:ascii="Times New Roman" w:eastAsia="宋体" w:hAnsi="Times New Roman" w:cs="宋体"/>
          <w:b/>
          <w:bCs/>
          <w:szCs w:val="21"/>
        </w:rPr>
        <w:t>（</w:t>
      </w:r>
      <w:r w:rsidRPr="00F614F9">
        <w:rPr>
          <w:rFonts w:ascii="Times New Roman" w:eastAsia="宋体" w:hAnsi="Times New Roman" w:cs="宋体"/>
          <w:b/>
          <w:bCs/>
          <w:szCs w:val="21"/>
        </w:rPr>
        <w:t>6</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本期实际核销的应收票据情况</w:t>
      </w:r>
      <w:bookmarkEnd w:id="329"/>
    </w:p>
    <w:p w14:paraId="7F0C80B7" w14:textId="77777777" w:rsidR="00872599" w:rsidRPr="00F614F9" w:rsidRDefault="00000000">
      <w:pPr>
        <w:pStyle w:val="a3"/>
        <w:divId w:val="1049108169"/>
        <w:rPr>
          <w:rFonts w:ascii="Times New Roman" w:hAnsi="Times New Roman"/>
          <w:sz w:val="18"/>
          <w:szCs w:val="18"/>
        </w:rPr>
      </w:pPr>
      <w:r w:rsidRPr="00F614F9">
        <w:rPr>
          <w:rFonts w:ascii="Times New Roman" w:hAnsi="Times New Roman" w:hint="eastAsia"/>
          <w:sz w:val="18"/>
          <w:szCs w:val="18"/>
        </w:rPr>
        <w:t>无</w:t>
      </w:r>
    </w:p>
    <w:p w14:paraId="1DB2FBBF" w14:textId="77777777" w:rsidR="001D26E7" w:rsidRPr="00F614F9" w:rsidRDefault="00000000">
      <w:pPr>
        <w:pStyle w:val="3"/>
        <w:spacing w:line="280" w:lineRule="exact"/>
        <w:jc w:val="left"/>
        <w:rPr>
          <w:rFonts w:ascii="Times New Roman" w:hAnsi="Times New Roman" w:cs="宋体"/>
          <w:b/>
          <w:bCs/>
        </w:rPr>
      </w:pPr>
      <w:bookmarkStart w:id="330" w:name="_Toc989139"/>
      <w:r w:rsidRPr="00F614F9">
        <w:rPr>
          <w:rFonts w:ascii="Times New Roman" w:hAnsi="Times New Roman" w:cs="宋体"/>
          <w:b/>
          <w:bCs/>
        </w:rPr>
        <w:t>5</w:t>
      </w:r>
      <w:r w:rsidRPr="00F614F9">
        <w:rPr>
          <w:rFonts w:ascii="Times New Roman" w:hAnsi="Times New Roman" w:cs="宋体"/>
          <w:b/>
          <w:bCs/>
        </w:rPr>
        <w:t>、应收账款</w:t>
      </w:r>
      <w:bookmarkEnd w:id="330"/>
    </w:p>
    <w:p w14:paraId="76708D40"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31" w:name="_Toc989140"/>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proofErr w:type="gramStart"/>
      <w:r w:rsidRPr="00F614F9">
        <w:rPr>
          <w:rFonts w:ascii="Times New Roman" w:eastAsia="宋体" w:hAnsi="Times New Roman" w:cs="宋体"/>
          <w:b/>
          <w:bCs/>
          <w:szCs w:val="21"/>
        </w:rPr>
        <w:t>按账龄</w:t>
      </w:r>
      <w:proofErr w:type="gramEnd"/>
      <w:r w:rsidRPr="00F614F9">
        <w:rPr>
          <w:rFonts w:ascii="Times New Roman" w:eastAsia="宋体" w:hAnsi="Times New Roman" w:cs="宋体"/>
          <w:b/>
          <w:bCs/>
          <w:szCs w:val="21"/>
        </w:rPr>
        <w:t>披露</w:t>
      </w:r>
      <w:bookmarkEnd w:id="331"/>
    </w:p>
    <w:p w14:paraId="56E7B94C"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0768D4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BC8BE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50CB7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9AF2F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期初账面余额</w:t>
            </w:r>
          </w:p>
        </w:tc>
      </w:tr>
      <w:tr w:rsidR="001D26E7" w:rsidRPr="00F614F9" w14:paraId="6008B7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B80D0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年以内（含</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3ED939A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423,052,751.88</w:t>
            </w:r>
          </w:p>
        </w:tc>
        <w:tc>
          <w:tcPr>
            <w:tcW w:w="3213" w:type="dxa"/>
            <w:tcBorders>
              <w:top w:val="single" w:sz="2" w:space="0" w:color="auto"/>
              <w:left w:val="single" w:sz="2" w:space="0" w:color="auto"/>
              <w:bottom w:val="single" w:sz="2" w:space="0" w:color="auto"/>
              <w:right w:val="single" w:sz="2" w:space="0" w:color="auto"/>
            </w:tcBorders>
            <w:vAlign w:val="center"/>
          </w:tcPr>
          <w:p w14:paraId="2E85D9F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607,812,328.22</w:t>
            </w:r>
          </w:p>
        </w:tc>
      </w:tr>
      <w:tr w:rsidR="001D26E7" w:rsidRPr="00F614F9" w14:paraId="2649B6D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97BFA0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1-3</w:t>
            </w:r>
            <w:r w:rsidRPr="00F614F9">
              <w:rPr>
                <w:rFonts w:ascii="Times New Roman" w:eastAsia="宋体" w:hAnsi="Times New Roman"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3433107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377,982,308.58</w:t>
            </w:r>
          </w:p>
        </w:tc>
        <w:tc>
          <w:tcPr>
            <w:tcW w:w="3213" w:type="dxa"/>
            <w:tcBorders>
              <w:top w:val="single" w:sz="2" w:space="0" w:color="auto"/>
              <w:left w:val="single" w:sz="2" w:space="0" w:color="auto"/>
              <w:bottom w:val="single" w:sz="2" w:space="0" w:color="auto"/>
              <w:right w:val="single" w:sz="2" w:space="0" w:color="auto"/>
            </w:tcBorders>
            <w:vAlign w:val="center"/>
          </w:tcPr>
          <w:p w14:paraId="260B9B1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488,705,513.31</w:t>
            </w:r>
          </w:p>
        </w:tc>
      </w:tr>
      <w:tr w:rsidR="001D26E7" w:rsidRPr="00F614F9" w14:paraId="3CF94F7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4F84F1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4-6</w:t>
            </w:r>
            <w:r w:rsidRPr="00F614F9">
              <w:rPr>
                <w:rFonts w:ascii="Times New Roman" w:eastAsia="宋体" w:hAnsi="Times New Roman"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74FFF2C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37,600,155.37</w:t>
            </w:r>
          </w:p>
        </w:tc>
        <w:tc>
          <w:tcPr>
            <w:tcW w:w="3213" w:type="dxa"/>
            <w:tcBorders>
              <w:top w:val="single" w:sz="2" w:space="0" w:color="auto"/>
              <w:left w:val="single" w:sz="2" w:space="0" w:color="auto"/>
              <w:bottom w:val="single" w:sz="2" w:space="0" w:color="auto"/>
              <w:right w:val="single" w:sz="2" w:space="0" w:color="auto"/>
            </w:tcBorders>
            <w:vAlign w:val="center"/>
          </w:tcPr>
          <w:p w14:paraId="1A11EE8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75,427,002.08</w:t>
            </w:r>
          </w:p>
        </w:tc>
      </w:tr>
      <w:tr w:rsidR="001D26E7" w:rsidRPr="00F614F9" w14:paraId="54FE277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36B7E6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7-9</w:t>
            </w:r>
            <w:r w:rsidRPr="00F614F9">
              <w:rPr>
                <w:rFonts w:ascii="Times New Roman" w:eastAsia="宋体" w:hAnsi="Times New Roman"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0DDDD36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5,104,597.71</w:t>
            </w:r>
          </w:p>
        </w:tc>
        <w:tc>
          <w:tcPr>
            <w:tcW w:w="3213" w:type="dxa"/>
            <w:tcBorders>
              <w:top w:val="single" w:sz="2" w:space="0" w:color="auto"/>
              <w:left w:val="single" w:sz="2" w:space="0" w:color="auto"/>
              <w:bottom w:val="single" w:sz="2" w:space="0" w:color="auto"/>
              <w:right w:val="single" w:sz="2" w:space="0" w:color="auto"/>
            </w:tcBorders>
            <w:vAlign w:val="center"/>
          </w:tcPr>
          <w:p w14:paraId="1204961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36,222,727.21</w:t>
            </w:r>
          </w:p>
        </w:tc>
      </w:tr>
      <w:tr w:rsidR="001D26E7" w:rsidRPr="00F614F9" w14:paraId="5A4E3A0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53C4AB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10-12</w:t>
            </w:r>
            <w:r w:rsidRPr="00F614F9">
              <w:rPr>
                <w:rFonts w:ascii="Times New Roman" w:eastAsia="宋体" w:hAnsi="Times New Roman"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650BCD9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2,365,690.22</w:t>
            </w:r>
          </w:p>
        </w:tc>
        <w:tc>
          <w:tcPr>
            <w:tcW w:w="3213" w:type="dxa"/>
            <w:tcBorders>
              <w:top w:val="single" w:sz="2" w:space="0" w:color="auto"/>
              <w:left w:val="single" w:sz="2" w:space="0" w:color="auto"/>
              <w:bottom w:val="single" w:sz="2" w:space="0" w:color="auto"/>
              <w:right w:val="single" w:sz="2" w:space="0" w:color="auto"/>
            </w:tcBorders>
            <w:vAlign w:val="center"/>
          </w:tcPr>
          <w:p w14:paraId="10DBC62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7,457,085.62</w:t>
            </w:r>
          </w:p>
        </w:tc>
      </w:tr>
      <w:tr w:rsidR="001D26E7" w:rsidRPr="00F614F9" w14:paraId="02166C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16348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至</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1CE917A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56,683,372.53</w:t>
            </w:r>
          </w:p>
        </w:tc>
        <w:tc>
          <w:tcPr>
            <w:tcW w:w="3213" w:type="dxa"/>
            <w:tcBorders>
              <w:top w:val="single" w:sz="2" w:space="0" w:color="auto"/>
              <w:left w:val="single" w:sz="2" w:space="0" w:color="auto"/>
              <w:bottom w:val="single" w:sz="2" w:space="0" w:color="auto"/>
              <w:right w:val="single" w:sz="2" w:space="0" w:color="auto"/>
            </w:tcBorders>
            <w:vAlign w:val="center"/>
          </w:tcPr>
          <w:p w14:paraId="353D0C8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33,896,772.79</w:t>
            </w:r>
          </w:p>
        </w:tc>
      </w:tr>
      <w:tr w:rsidR="001D26E7" w:rsidRPr="00F614F9" w14:paraId="44181E5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5FE68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至</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471A860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15,408,067.41</w:t>
            </w:r>
          </w:p>
        </w:tc>
        <w:tc>
          <w:tcPr>
            <w:tcW w:w="3213" w:type="dxa"/>
            <w:tcBorders>
              <w:top w:val="single" w:sz="2" w:space="0" w:color="auto"/>
              <w:left w:val="single" w:sz="2" w:space="0" w:color="auto"/>
              <w:bottom w:val="single" w:sz="2" w:space="0" w:color="auto"/>
              <w:right w:val="single" w:sz="2" w:space="0" w:color="auto"/>
            </w:tcBorders>
            <w:vAlign w:val="center"/>
          </w:tcPr>
          <w:p w14:paraId="5F93CC7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3,462,678.48</w:t>
            </w:r>
          </w:p>
        </w:tc>
      </w:tr>
      <w:tr w:rsidR="001D26E7" w:rsidRPr="00F614F9" w14:paraId="29BC015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4FD38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年以上</w:t>
            </w:r>
          </w:p>
        </w:tc>
        <w:tc>
          <w:tcPr>
            <w:tcW w:w="3213" w:type="dxa"/>
            <w:tcBorders>
              <w:top w:val="single" w:sz="2" w:space="0" w:color="auto"/>
              <w:left w:val="single" w:sz="2" w:space="0" w:color="auto"/>
              <w:bottom w:val="single" w:sz="2" w:space="0" w:color="auto"/>
              <w:right w:val="single" w:sz="2" w:space="0" w:color="auto"/>
            </w:tcBorders>
            <w:vAlign w:val="center"/>
          </w:tcPr>
          <w:p w14:paraId="4D72D48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963,570.66</w:t>
            </w:r>
          </w:p>
        </w:tc>
        <w:tc>
          <w:tcPr>
            <w:tcW w:w="3213" w:type="dxa"/>
            <w:tcBorders>
              <w:top w:val="single" w:sz="2" w:space="0" w:color="auto"/>
              <w:left w:val="single" w:sz="2" w:space="0" w:color="auto"/>
              <w:bottom w:val="single" w:sz="2" w:space="0" w:color="auto"/>
              <w:right w:val="single" w:sz="2" w:space="0" w:color="auto"/>
            </w:tcBorders>
            <w:vAlign w:val="center"/>
          </w:tcPr>
          <w:p w14:paraId="4950543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6C3F4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8C89BA"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至</w:t>
            </w:r>
            <w:r w:rsidRPr="00F614F9">
              <w:rPr>
                <w:rFonts w:ascii="Times New Roman" w:eastAsia="宋体" w:hAnsi="Times New Roman" w:cs="宋体"/>
                <w:sz w:val="18"/>
                <w:szCs w:val="18"/>
              </w:rPr>
              <w:t>4</w:t>
            </w:r>
            <w:r w:rsidRPr="00F614F9">
              <w:rPr>
                <w:rFonts w:ascii="Times New Roman" w:eastAsia="宋体" w:hAnsi="Times New Roman"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268C689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963,570.66</w:t>
            </w:r>
          </w:p>
        </w:tc>
        <w:tc>
          <w:tcPr>
            <w:tcW w:w="3213" w:type="dxa"/>
            <w:tcBorders>
              <w:top w:val="single" w:sz="2" w:space="0" w:color="auto"/>
              <w:left w:val="single" w:sz="2" w:space="0" w:color="auto"/>
              <w:bottom w:val="single" w:sz="2" w:space="0" w:color="auto"/>
              <w:right w:val="single" w:sz="2" w:space="0" w:color="auto"/>
            </w:tcBorders>
            <w:vAlign w:val="center"/>
          </w:tcPr>
          <w:p w14:paraId="7395D973"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CCFE4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7990C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0B4B0C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496,107,762.48</w:t>
            </w:r>
          </w:p>
        </w:tc>
        <w:tc>
          <w:tcPr>
            <w:tcW w:w="3213" w:type="dxa"/>
            <w:tcBorders>
              <w:top w:val="single" w:sz="2" w:space="0" w:color="auto"/>
              <w:left w:val="single" w:sz="2" w:space="0" w:color="auto"/>
              <w:bottom w:val="single" w:sz="2" w:space="0" w:color="auto"/>
              <w:right w:val="single" w:sz="2" w:space="0" w:color="auto"/>
            </w:tcBorders>
            <w:vAlign w:val="center"/>
          </w:tcPr>
          <w:p w14:paraId="5EEEDE3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645,171,779.49</w:t>
            </w:r>
          </w:p>
        </w:tc>
      </w:tr>
    </w:tbl>
    <w:p w14:paraId="1E6BF102"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32" w:name="_Toc989141"/>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按坏账计提方法分类披露</w:t>
      </w:r>
      <w:bookmarkEnd w:id="332"/>
    </w:p>
    <w:p w14:paraId="2E0994FF"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75"/>
        <w:gridCol w:w="876"/>
        <w:gridCol w:w="877"/>
        <w:gridCol w:w="876"/>
        <w:gridCol w:w="877"/>
        <w:gridCol w:w="876"/>
        <w:gridCol w:w="876"/>
        <w:gridCol w:w="877"/>
        <w:gridCol w:w="876"/>
        <w:gridCol w:w="877"/>
        <w:gridCol w:w="876"/>
      </w:tblGrid>
      <w:tr w:rsidR="001D26E7" w:rsidRPr="00F614F9" w14:paraId="5FC80086" w14:textId="77777777">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0A5C81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lastRenderedPageBreak/>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32FAD35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5B8A32B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4A475D94"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6C90C6B" w14:textId="77777777" w:rsidR="001D26E7" w:rsidRPr="00F614F9" w:rsidRDefault="001D26E7">
            <w:pPr>
              <w:rPr>
                <w:rFonts w:ascii="Times New Roman" w:hAnsi="Times New Roman"/>
              </w:rPr>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9EE226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FAA0EA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A01CD1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226389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F5599A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1F54AE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r>
      <w:tr w:rsidR="001D26E7" w:rsidRPr="00F614F9" w14:paraId="1B428D01"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EDDD28E"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EE3589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2CB86B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4FC8BE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78FD9D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4A4B412"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D9CDB6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599AF1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3E014A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684FCB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6E00592" w14:textId="77777777" w:rsidR="001D26E7" w:rsidRPr="00F614F9" w:rsidRDefault="001D26E7">
            <w:pPr>
              <w:rPr>
                <w:rFonts w:ascii="Times New Roman" w:hAnsi="Times New Roman"/>
              </w:rPr>
            </w:pPr>
          </w:p>
        </w:tc>
      </w:tr>
      <w:tr w:rsidR="001D26E7" w:rsidRPr="00F614F9" w14:paraId="21576AF5"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328267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按单项计提坏账准备的应收账款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14:paraId="1658B1E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39,843,943.39</w:t>
            </w:r>
          </w:p>
        </w:tc>
        <w:tc>
          <w:tcPr>
            <w:tcW w:w="876" w:type="dxa"/>
            <w:tcBorders>
              <w:top w:val="single" w:sz="2" w:space="0" w:color="auto"/>
              <w:left w:val="single" w:sz="2" w:space="0" w:color="auto"/>
              <w:bottom w:val="single" w:sz="2" w:space="0" w:color="auto"/>
              <w:right w:val="single" w:sz="2" w:space="0" w:color="auto"/>
            </w:tcBorders>
            <w:vAlign w:val="center"/>
          </w:tcPr>
          <w:p w14:paraId="63AD720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8.03%</w:t>
            </w:r>
          </w:p>
        </w:tc>
        <w:tc>
          <w:tcPr>
            <w:tcW w:w="876" w:type="dxa"/>
            <w:tcBorders>
              <w:top w:val="single" w:sz="2" w:space="0" w:color="auto"/>
              <w:left w:val="single" w:sz="2" w:space="0" w:color="auto"/>
              <w:bottom w:val="single" w:sz="2" w:space="0" w:color="auto"/>
              <w:right w:val="single" w:sz="2" w:space="0" w:color="auto"/>
            </w:tcBorders>
            <w:vAlign w:val="center"/>
          </w:tcPr>
          <w:p w14:paraId="0FFCA6E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32,323,907.24</w:t>
            </w:r>
          </w:p>
        </w:tc>
        <w:tc>
          <w:tcPr>
            <w:tcW w:w="876" w:type="dxa"/>
            <w:tcBorders>
              <w:top w:val="single" w:sz="2" w:space="0" w:color="auto"/>
              <w:left w:val="single" w:sz="2" w:space="0" w:color="auto"/>
              <w:bottom w:val="single" w:sz="2" w:space="0" w:color="auto"/>
              <w:right w:val="single" w:sz="2" w:space="0" w:color="auto"/>
            </w:tcBorders>
            <w:vAlign w:val="center"/>
          </w:tcPr>
          <w:p w14:paraId="6A9C9BE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81.13%</w:t>
            </w:r>
          </w:p>
        </w:tc>
        <w:tc>
          <w:tcPr>
            <w:tcW w:w="876" w:type="dxa"/>
            <w:tcBorders>
              <w:top w:val="single" w:sz="2" w:space="0" w:color="auto"/>
              <w:left w:val="single" w:sz="2" w:space="0" w:color="auto"/>
              <w:bottom w:val="single" w:sz="2" w:space="0" w:color="auto"/>
              <w:right w:val="single" w:sz="2" w:space="0" w:color="auto"/>
            </w:tcBorders>
            <w:vAlign w:val="center"/>
          </w:tcPr>
          <w:p w14:paraId="1515C38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7,520,036.15</w:t>
            </w:r>
          </w:p>
        </w:tc>
        <w:tc>
          <w:tcPr>
            <w:tcW w:w="876" w:type="dxa"/>
            <w:tcBorders>
              <w:top w:val="single" w:sz="2" w:space="0" w:color="auto"/>
              <w:left w:val="single" w:sz="2" w:space="0" w:color="auto"/>
              <w:bottom w:val="single" w:sz="2" w:space="0" w:color="auto"/>
              <w:right w:val="single" w:sz="2" w:space="0" w:color="auto"/>
            </w:tcBorders>
            <w:vAlign w:val="center"/>
          </w:tcPr>
          <w:p w14:paraId="7EFB37B5" w14:textId="77777777" w:rsidR="001D26E7" w:rsidRPr="00F614F9" w:rsidRDefault="001D26E7">
            <w:pPr>
              <w:spacing w:line="240" w:lineRule="exact"/>
              <w:jc w:val="right"/>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6950BE6" w14:textId="77777777" w:rsidR="001D26E7" w:rsidRPr="00F614F9" w:rsidRDefault="001D26E7">
            <w:pPr>
              <w:spacing w:line="240" w:lineRule="exact"/>
              <w:jc w:val="right"/>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EF634D3" w14:textId="77777777" w:rsidR="001D26E7" w:rsidRPr="00F614F9" w:rsidRDefault="001D26E7">
            <w:pPr>
              <w:spacing w:line="240" w:lineRule="exact"/>
              <w:jc w:val="right"/>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65533F4" w14:textId="77777777" w:rsidR="001D26E7" w:rsidRPr="00F614F9" w:rsidRDefault="001D26E7">
            <w:pPr>
              <w:spacing w:line="240" w:lineRule="exact"/>
              <w:jc w:val="right"/>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DB70568"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4FCE5AD"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1AEFC5E"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11460F1"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5D7B945"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FEB5CFD"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35B3657"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D409F0B"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3223100"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1BEBC33"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D4692EC"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77F2986"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468D696" w14:textId="77777777" w:rsidR="001D26E7" w:rsidRPr="00F614F9" w:rsidRDefault="001D26E7">
            <w:pPr>
              <w:rPr>
                <w:rFonts w:ascii="Times New Roman" w:hAnsi="Times New Roman"/>
              </w:rPr>
            </w:pPr>
          </w:p>
        </w:tc>
      </w:tr>
      <w:tr w:rsidR="001D26E7" w:rsidRPr="00F614F9" w14:paraId="70BEE253"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503E5A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按单项计提坏账准备</w:t>
            </w:r>
          </w:p>
        </w:tc>
        <w:tc>
          <w:tcPr>
            <w:tcW w:w="876" w:type="dxa"/>
            <w:tcBorders>
              <w:top w:val="single" w:sz="2" w:space="0" w:color="auto"/>
              <w:left w:val="single" w:sz="2" w:space="0" w:color="auto"/>
              <w:bottom w:val="single" w:sz="2" w:space="0" w:color="auto"/>
              <w:right w:val="single" w:sz="2" w:space="0" w:color="auto"/>
            </w:tcBorders>
            <w:vAlign w:val="center"/>
          </w:tcPr>
          <w:p w14:paraId="418D2BC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39,843,943.39</w:t>
            </w:r>
          </w:p>
        </w:tc>
        <w:tc>
          <w:tcPr>
            <w:tcW w:w="876" w:type="dxa"/>
            <w:tcBorders>
              <w:top w:val="single" w:sz="2" w:space="0" w:color="auto"/>
              <w:left w:val="single" w:sz="2" w:space="0" w:color="auto"/>
              <w:bottom w:val="single" w:sz="2" w:space="0" w:color="auto"/>
              <w:right w:val="single" w:sz="2" w:space="0" w:color="auto"/>
            </w:tcBorders>
            <w:vAlign w:val="center"/>
          </w:tcPr>
          <w:p w14:paraId="5FD5466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8.03%</w:t>
            </w:r>
          </w:p>
        </w:tc>
        <w:tc>
          <w:tcPr>
            <w:tcW w:w="876" w:type="dxa"/>
            <w:tcBorders>
              <w:top w:val="single" w:sz="2" w:space="0" w:color="auto"/>
              <w:left w:val="single" w:sz="2" w:space="0" w:color="auto"/>
              <w:bottom w:val="single" w:sz="2" w:space="0" w:color="auto"/>
              <w:right w:val="single" w:sz="2" w:space="0" w:color="auto"/>
            </w:tcBorders>
            <w:vAlign w:val="center"/>
          </w:tcPr>
          <w:p w14:paraId="13FB112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32,323,907.24</w:t>
            </w:r>
          </w:p>
        </w:tc>
        <w:tc>
          <w:tcPr>
            <w:tcW w:w="876" w:type="dxa"/>
            <w:tcBorders>
              <w:top w:val="single" w:sz="2" w:space="0" w:color="auto"/>
              <w:left w:val="single" w:sz="2" w:space="0" w:color="auto"/>
              <w:bottom w:val="single" w:sz="2" w:space="0" w:color="auto"/>
              <w:right w:val="single" w:sz="2" w:space="0" w:color="auto"/>
            </w:tcBorders>
            <w:vAlign w:val="center"/>
          </w:tcPr>
          <w:p w14:paraId="21CE95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81.13%</w:t>
            </w:r>
          </w:p>
        </w:tc>
        <w:tc>
          <w:tcPr>
            <w:tcW w:w="876" w:type="dxa"/>
            <w:tcBorders>
              <w:top w:val="single" w:sz="2" w:space="0" w:color="auto"/>
              <w:left w:val="single" w:sz="2" w:space="0" w:color="auto"/>
              <w:bottom w:val="single" w:sz="2" w:space="0" w:color="auto"/>
              <w:right w:val="single" w:sz="2" w:space="0" w:color="auto"/>
            </w:tcBorders>
            <w:vAlign w:val="center"/>
          </w:tcPr>
          <w:p w14:paraId="0D48867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7,520,036.15</w:t>
            </w:r>
          </w:p>
        </w:tc>
        <w:tc>
          <w:tcPr>
            <w:tcW w:w="876" w:type="dxa"/>
            <w:tcBorders>
              <w:top w:val="single" w:sz="2" w:space="0" w:color="auto"/>
              <w:left w:val="single" w:sz="2" w:space="0" w:color="auto"/>
              <w:bottom w:val="single" w:sz="2" w:space="0" w:color="auto"/>
              <w:right w:val="single" w:sz="2" w:space="0" w:color="auto"/>
            </w:tcBorders>
            <w:vAlign w:val="center"/>
          </w:tcPr>
          <w:p w14:paraId="325C5336" w14:textId="77777777" w:rsidR="001D26E7" w:rsidRPr="00F614F9" w:rsidRDefault="001D26E7">
            <w:pPr>
              <w:spacing w:line="240" w:lineRule="exact"/>
              <w:jc w:val="right"/>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AF10461" w14:textId="77777777" w:rsidR="001D26E7" w:rsidRPr="00F614F9" w:rsidRDefault="001D26E7">
            <w:pPr>
              <w:spacing w:line="240" w:lineRule="exact"/>
              <w:jc w:val="right"/>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B41B4D6" w14:textId="77777777" w:rsidR="001D26E7" w:rsidRPr="00F614F9" w:rsidRDefault="001D26E7">
            <w:pPr>
              <w:spacing w:line="240" w:lineRule="exact"/>
              <w:jc w:val="right"/>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2C3470B" w14:textId="77777777" w:rsidR="001D26E7" w:rsidRPr="00F614F9" w:rsidRDefault="001D26E7">
            <w:pPr>
              <w:spacing w:line="240" w:lineRule="exact"/>
              <w:jc w:val="right"/>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889278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2563B8C"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5FD7A6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14:paraId="484D526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456,263,819.09</w:t>
            </w:r>
          </w:p>
        </w:tc>
        <w:tc>
          <w:tcPr>
            <w:tcW w:w="876" w:type="dxa"/>
            <w:tcBorders>
              <w:top w:val="single" w:sz="2" w:space="0" w:color="auto"/>
              <w:left w:val="single" w:sz="2" w:space="0" w:color="auto"/>
              <w:bottom w:val="single" w:sz="2" w:space="0" w:color="auto"/>
              <w:right w:val="single" w:sz="2" w:space="0" w:color="auto"/>
            </w:tcBorders>
            <w:vAlign w:val="center"/>
          </w:tcPr>
          <w:p w14:paraId="5960025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91.97%</w:t>
            </w:r>
          </w:p>
        </w:tc>
        <w:tc>
          <w:tcPr>
            <w:tcW w:w="876" w:type="dxa"/>
            <w:tcBorders>
              <w:top w:val="single" w:sz="2" w:space="0" w:color="auto"/>
              <w:left w:val="single" w:sz="2" w:space="0" w:color="auto"/>
              <w:bottom w:val="single" w:sz="2" w:space="0" w:color="auto"/>
              <w:right w:val="single" w:sz="2" w:space="0" w:color="auto"/>
            </w:tcBorders>
            <w:vAlign w:val="center"/>
          </w:tcPr>
          <w:p w14:paraId="53471FF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19,356,743.17</w:t>
            </w:r>
          </w:p>
        </w:tc>
        <w:tc>
          <w:tcPr>
            <w:tcW w:w="876" w:type="dxa"/>
            <w:tcBorders>
              <w:top w:val="single" w:sz="2" w:space="0" w:color="auto"/>
              <w:left w:val="single" w:sz="2" w:space="0" w:color="auto"/>
              <w:bottom w:val="single" w:sz="2" w:space="0" w:color="auto"/>
              <w:right w:val="single" w:sz="2" w:space="0" w:color="auto"/>
            </w:tcBorders>
            <w:vAlign w:val="center"/>
          </w:tcPr>
          <w:p w14:paraId="6AA24EC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4.24%</w:t>
            </w:r>
          </w:p>
        </w:tc>
        <w:tc>
          <w:tcPr>
            <w:tcW w:w="876" w:type="dxa"/>
            <w:tcBorders>
              <w:top w:val="single" w:sz="2" w:space="0" w:color="auto"/>
              <w:left w:val="single" w:sz="2" w:space="0" w:color="auto"/>
              <w:bottom w:val="single" w:sz="2" w:space="0" w:color="auto"/>
              <w:right w:val="single" w:sz="2" w:space="0" w:color="auto"/>
            </w:tcBorders>
            <w:vAlign w:val="center"/>
          </w:tcPr>
          <w:p w14:paraId="6FB5E2E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436,907,075.92</w:t>
            </w:r>
          </w:p>
        </w:tc>
        <w:tc>
          <w:tcPr>
            <w:tcW w:w="876" w:type="dxa"/>
            <w:tcBorders>
              <w:top w:val="single" w:sz="2" w:space="0" w:color="auto"/>
              <w:left w:val="single" w:sz="2" w:space="0" w:color="auto"/>
              <w:bottom w:val="single" w:sz="2" w:space="0" w:color="auto"/>
              <w:right w:val="single" w:sz="2" w:space="0" w:color="auto"/>
            </w:tcBorders>
            <w:vAlign w:val="center"/>
          </w:tcPr>
          <w:p w14:paraId="2FCF200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645,171,779.49</w:t>
            </w:r>
          </w:p>
        </w:tc>
        <w:tc>
          <w:tcPr>
            <w:tcW w:w="876" w:type="dxa"/>
            <w:tcBorders>
              <w:top w:val="single" w:sz="2" w:space="0" w:color="auto"/>
              <w:left w:val="single" w:sz="2" w:space="0" w:color="auto"/>
              <w:bottom w:val="single" w:sz="2" w:space="0" w:color="auto"/>
              <w:right w:val="single" w:sz="2" w:space="0" w:color="auto"/>
            </w:tcBorders>
            <w:vAlign w:val="center"/>
          </w:tcPr>
          <w:p w14:paraId="380D3B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6EB8764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23,641,164.46</w:t>
            </w:r>
          </w:p>
        </w:tc>
        <w:tc>
          <w:tcPr>
            <w:tcW w:w="876" w:type="dxa"/>
            <w:tcBorders>
              <w:top w:val="single" w:sz="2" w:space="0" w:color="auto"/>
              <w:left w:val="single" w:sz="2" w:space="0" w:color="auto"/>
              <w:bottom w:val="single" w:sz="2" w:space="0" w:color="auto"/>
              <w:right w:val="single" w:sz="2" w:space="0" w:color="auto"/>
            </w:tcBorders>
            <w:vAlign w:val="center"/>
          </w:tcPr>
          <w:p w14:paraId="359F693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3.66%</w:t>
            </w:r>
          </w:p>
        </w:tc>
        <w:tc>
          <w:tcPr>
            <w:tcW w:w="876" w:type="dxa"/>
            <w:tcBorders>
              <w:top w:val="single" w:sz="2" w:space="0" w:color="auto"/>
              <w:left w:val="single" w:sz="2" w:space="0" w:color="auto"/>
              <w:bottom w:val="single" w:sz="2" w:space="0" w:color="auto"/>
              <w:right w:val="single" w:sz="2" w:space="0" w:color="auto"/>
            </w:tcBorders>
            <w:vAlign w:val="center"/>
          </w:tcPr>
          <w:p w14:paraId="3F94964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621,530,615.03</w:t>
            </w:r>
          </w:p>
        </w:tc>
      </w:tr>
      <w:tr w:rsidR="001D26E7" w:rsidRPr="00F614F9" w14:paraId="7D1573BD"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1373936"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E9A8DCE"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A3EF2BA"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BF2952C"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4519D63"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A0FC817"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A7BEE20"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F6B1E4F"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B76B0FC"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370B028"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522A4B4" w14:textId="77777777" w:rsidR="001D26E7" w:rsidRPr="00F614F9" w:rsidRDefault="001D26E7">
            <w:pPr>
              <w:rPr>
                <w:rFonts w:ascii="Times New Roman" w:hAnsi="Times New Roman"/>
              </w:rPr>
            </w:pPr>
          </w:p>
        </w:tc>
      </w:tr>
      <w:tr w:rsidR="001D26E7" w:rsidRPr="00F614F9" w14:paraId="39550B22"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B061E82"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账</w:t>
            </w:r>
            <w:proofErr w:type="gramEnd"/>
            <w:r w:rsidRPr="00F614F9">
              <w:rPr>
                <w:rFonts w:ascii="Times New Roman" w:eastAsia="宋体" w:hAnsi="Times New Roman" w:cs="宋体"/>
                <w:sz w:val="18"/>
                <w:szCs w:val="18"/>
              </w:rPr>
              <w:t>龄组合</w:t>
            </w:r>
          </w:p>
        </w:tc>
        <w:tc>
          <w:tcPr>
            <w:tcW w:w="876" w:type="dxa"/>
            <w:tcBorders>
              <w:top w:val="single" w:sz="2" w:space="0" w:color="auto"/>
              <w:left w:val="single" w:sz="2" w:space="0" w:color="auto"/>
              <w:bottom w:val="single" w:sz="2" w:space="0" w:color="auto"/>
              <w:right w:val="single" w:sz="2" w:space="0" w:color="auto"/>
            </w:tcBorders>
            <w:vAlign w:val="center"/>
          </w:tcPr>
          <w:p w14:paraId="74CD3D0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456,263,819.09</w:t>
            </w:r>
          </w:p>
        </w:tc>
        <w:tc>
          <w:tcPr>
            <w:tcW w:w="876" w:type="dxa"/>
            <w:tcBorders>
              <w:top w:val="single" w:sz="2" w:space="0" w:color="auto"/>
              <w:left w:val="single" w:sz="2" w:space="0" w:color="auto"/>
              <w:bottom w:val="single" w:sz="2" w:space="0" w:color="auto"/>
              <w:right w:val="single" w:sz="2" w:space="0" w:color="auto"/>
            </w:tcBorders>
            <w:vAlign w:val="center"/>
          </w:tcPr>
          <w:p w14:paraId="00AA897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91.97%</w:t>
            </w:r>
          </w:p>
        </w:tc>
        <w:tc>
          <w:tcPr>
            <w:tcW w:w="876" w:type="dxa"/>
            <w:tcBorders>
              <w:top w:val="single" w:sz="2" w:space="0" w:color="auto"/>
              <w:left w:val="single" w:sz="2" w:space="0" w:color="auto"/>
              <w:bottom w:val="single" w:sz="2" w:space="0" w:color="auto"/>
              <w:right w:val="single" w:sz="2" w:space="0" w:color="auto"/>
            </w:tcBorders>
            <w:vAlign w:val="center"/>
          </w:tcPr>
          <w:p w14:paraId="29693B6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19,356,743.17</w:t>
            </w:r>
          </w:p>
        </w:tc>
        <w:tc>
          <w:tcPr>
            <w:tcW w:w="876" w:type="dxa"/>
            <w:tcBorders>
              <w:top w:val="single" w:sz="2" w:space="0" w:color="auto"/>
              <w:left w:val="single" w:sz="2" w:space="0" w:color="auto"/>
              <w:bottom w:val="single" w:sz="2" w:space="0" w:color="auto"/>
              <w:right w:val="single" w:sz="2" w:space="0" w:color="auto"/>
            </w:tcBorders>
            <w:vAlign w:val="center"/>
          </w:tcPr>
          <w:p w14:paraId="4517D03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4.24%</w:t>
            </w:r>
          </w:p>
        </w:tc>
        <w:tc>
          <w:tcPr>
            <w:tcW w:w="876" w:type="dxa"/>
            <w:tcBorders>
              <w:top w:val="single" w:sz="2" w:space="0" w:color="auto"/>
              <w:left w:val="single" w:sz="2" w:space="0" w:color="auto"/>
              <w:bottom w:val="single" w:sz="2" w:space="0" w:color="auto"/>
              <w:right w:val="single" w:sz="2" w:space="0" w:color="auto"/>
            </w:tcBorders>
            <w:vAlign w:val="center"/>
          </w:tcPr>
          <w:p w14:paraId="3D9B49A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436,907,075.92</w:t>
            </w:r>
          </w:p>
        </w:tc>
        <w:tc>
          <w:tcPr>
            <w:tcW w:w="876" w:type="dxa"/>
            <w:tcBorders>
              <w:top w:val="single" w:sz="2" w:space="0" w:color="auto"/>
              <w:left w:val="single" w:sz="2" w:space="0" w:color="auto"/>
              <w:bottom w:val="single" w:sz="2" w:space="0" w:color="auto"/>
              <w:right w:val="single" w:sz="2" w:space="0" w:color="auto"/>
            </w:tcBorders>
            <w:vAlign w:val="center"/>
          </w:tcPr>
          <w:p w14:paraId="0966278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645,171,779.49</w:t>
            </w:r>
          </w:p>
        </w:tc>
        <w:tc>
          <w:tcPr>
            <w:tcW w:w="876" w:type="dxa"/>
            <w:tcBorders>
              <w:top w:val="single" w:sz="2" w:space="0" w:color="auto"/>
              <w:left w:val="single" w:sz="2" w:space="0" w:color="auto"/>
              <w:bottom w:val="single" w:sz="2" w:space="0" w:color="auto"/>
              <w:right w:val="single" w:sz="2" w:space="0" w:color="auto"/>
            </w:tcBorders>
            <w:vAlign w:val="center"/>
          </w:tcPr>
          <w:p w14:paraId="2F060F1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167D20E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23,641,164.46</w:t>
            </w:r>
          </w:p>
        </w:tc>
        <w:tc>
          <w:tcPr>
            <w:tcW w:w="876" w:type="dxa"/>
            <w:tcBorders>
              <w:top w:val="single" w:sz="2" w:space="0" w:color="auto"/>
              <w:left w:val="single" w:sz="2" w:space="0" w:color="auto"/>
              <w:bottom w:val="single" w:sz="2" w:space="0" w:color="auto"/>
              <w:right w:val="single" w:sz="2" w:space="0" w:color="auto"/>
            </w:tcBorders>
            <w:vAlign w:val="center"/>
          </w:tcPr>
          <w:p w14:paraId="5962E41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3.66%</w:t>
            </w:r>
          </w:p>
        </w:tc>
        <w:tc>
          <w:tcPr>
            <w:tcW w:w="876" w:type="dxa"/>
            <w:tcBorders>
              <w:top w:val="single" w:sz="2" w:space="0" w:color="auto"/>
              <w:left w:val="single" w:sz="2" w:space="0" w:color="auto"/>
              <w:bottom w:val="single" w:sz="2" w:space="0" w:color="auto"/>
              <w:right w:val="single" w:sz="2" w:space="0" w:color="auto"/>
            </w:tcBorders>
            <w:vAlign w:val="center"/>
          </w:tcPr>
          <w:p w14:paraId="41D5922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621,530,615.03</w:t>
            </w:r>
          </w:p>
        </w:tc>
      </w:tr>
      <w:tr w:rsidR="001D26E7" w:rsidRPr="00F614F9" w14:paraId="4310C443"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E98E1D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14:paraId="1A1C70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496,107,762.48</w:t>
            </w:r>
          </w:p>
        </w:tc>
        <w:tc>
          <w:tcPr>
            <w:tcW w:w="876" w:type="dxa"/>
            <w:tcBorders>
              <w:top w:val="single" w:sz="2" w:space="0" w:color="auto"/>
              <w:left w:val="single" w:sz="2" w:space="0" w:color="auto"/>
              <w:bottom w:val="single" w:sz="2" w:space="0" w:color="auto"/>
              <w:right w:val="single" w:sz="2" w:space="0" w:color="auto"/>
            </w:tcBorders>
            <w:vAlign w:val="center"/>
          </w:tcPr>
          <w:p w14:paraId="50274D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0EDEFFF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51,680,650.41</w:t>
            </w:r>
          </w:p>
        </w:tc>
        <w:tc>
          <w:tcPr>
            <w:tcW w:w="876" w:type="dxa"/>
            <w:tcBorders>
              <w:top w:val="single" w:sz="2" w:space="0" w:color="auto"/>
              <w:left w:val="single" w:sz="2" w:space="0" w:color="auto"/>
              <w:bottom w:val="single" w:sz="2" w:space="0" w:color="auto"/>
              <w:right w:val="single" w:sz="2" w:space="0" w:color="auto"/>
            </w:tcBorders>
            <w:vAlign w:val="center"/>
          </w:tcPr>
          <w:p w14:paraId="1C0F78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10.42%</w:t>
            </w:r>
          </w:p>
        </w:tc>
        <w:tc>
          <w:tcPr>
            <w:tcW w:w="876" w:type="dxa"/>
            <w:tcBorders>
              <w:top w:val="single" w:sz="2" w:space="0" w:color="auto"/>
              <w:left w:val="single" w:sz="2" w:space="0" w:color="auto"/>
              <w:bottom w:val="single" w:sz="2" w:space="0" w:color="auto"/>
              <w:right w:val="single" w:sz="2" w:space="0" w:color="auto"/>
            </w:tcBorders>
            <w:vAlign w:val="center"/>
          </w:tcPr>
          <w:p w14:paraId="187DA78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444,427,112.07</w:t>
            </w:r>
          </w:p>
        </w:tc>
        <w:tc>
          <w:tcPr>
            <w:tcW w:w="876" w:type="dxa"/>
            <w:tcBorders>
              <w:top w:val="single" w:sz="2" w:space="0" w:color="auto"/>
              <w:left w:val="single" w:sz="2" w:space="0" w:color="auto"/>
              <w:bottom w:val="single" w:sz="2" w:space="0" w:color="auto"/>
              <w:right w:val="single" w:sz="2" w:space="0" w:color="auto"/>
            </w:tcBorders>
            <w:vAlign w:val="center"/>
          </w:tcPr>
          <w:p w14:paraId="279186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645,171,779.49</w:t>
            </w:r>
          </w:p>
        </w:tc>
        <w:tc>
          <w:tcPr>
            <w:tcW w:w="876" w:type="dxa"/>
            <w:tcBorders>
              <w:top w:val="single" w:sz="2" w:space="0" w:color="auto"/>
              <w:left w:val="single" w:sz="2" w:space="0" w:color="auto"/>
              <w:bottom w:val="single" w:sz="2" w:space="0" w:color="auto"/>
              <w:right w:val="single" w:sz="2" w:space="0" w:color="auto"/>
            </w:tcBorders>
            <w:vAlign w:val="center"/>
          </w:tcPr>
          <w:p w14:paraId="14DC9C3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6E60C7A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23,641,164.46</w:t>
            </w:r>
          </w:p>
        </w:tc>
        <w:tc>
          <w:tcPr>
            <w:tcW w:w="876" w:type="dxa"/>
            <w:tcBorders>
              <w:top w:val="single" w:sz="2" w:space="0" w:color="auto"/>
              <w:left w:val="single" w:sz="2" w:space="0" w:color="auto"/>
              <w:bottom w:val="single" w:sz="2" w:space="0" w:color="auto"/>
              <w:right w:val="single" w:sz="2" w:space="0" w:color="auto"/>
            </w:tcBorders>
            <w:vAlign w:val="center"/>
          </w:tcPr>
          <w:p w14:paraId="11D9742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3.66%</w:t>
            </w:r>
          </w:p>
        </w:tc>
        <w:tc>
          <w:tcPr>
            <w:tcW w:w="876" w:type="dxa"/>
            <w:tcBorders>
              <w:top w:val="single" w:sz="2" w:space="0" w:color="auto"/>
              <w:left w:val="single" w:sz="2" w:space="0" w:color="auto"/>
              <w:bottom w:val="single" w:sz="2" w:space="0" w:color="auto"/>
              <w:right w:val="single" w:sz="2" w:space="0" w:color="auto"/>
            </w:tcBorders>
            <w:vAlign w:val="center"/>
          </w:tcPr>
          <w:p w14:paraId="5E4974C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621,530,615.03</w:t>
            </w:r>
          </w:p>
        </w:tc>
      </w:tr>
    </w:tbl>
    <w:p w14:paraId="7546285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按单项计提坏账准备：</w:t>
      </w:r>
    </w:p>
    <w:p w14:paraId="1F875273"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1D26E7" w:rsidRPr="00F614F9" w14:paraId="232733CA"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72D78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1C3100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34B19B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r>
      <w:tr w:rsidR="001D26E7" w:rsidRPr="00F614F9" w14:paraId="0AB793D5"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1FA94D7" w14:textId="77777777" w:rsidR="001D26E7" w:rsidRPr="00F614F9" w:rsidRDefault="001D26E7">
            <w:pPr>
              <w:rPr>
                <w:rFonts w:ascii="Times New Roman" w:hAnsi="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52CC86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2102DF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1C153B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0B6A48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9D17B5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476C02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计提理由</w:t>
            </w:r>
          </w:p>
        </w:tc>
      </w:tr>
      <w:tr w:rsidR="001D26E7" w:rsidRPr="00F614F9" w14:paraId="625BEE9B"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FAF143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青岛家乐福商业有限公司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3AA85B67"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7C73FD4"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1E897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779,775.48</w:t>
            </w:r>
          </w:p>
        </w:tc>
        <w:tc>
          <w:tcPr>
            <w:tcW w:w="1377" w:type="dxa"/>
            <w:tcBorders>
              <w:top w:val="single" w:sz="2" w:space="0" w:color="auto"/>
              <w:left w:val="single" w:sz="2" w:space="0" w:color="auto"/>
              <w:bottom w:val="single" w:sz="2" w:space="0" w:color="auto"/>
              <w:right w:val="single" w:sz="2" w:space="0" w:color="auto"/>
            </w:tcBorders>
            <w:vAlign w:val="center"/>
          </w:tcPr>
          <w:p w14:paraId="3314BA5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779,775.48</w:t>
            </w:r>
          </w:p>
        </w:tc>
        <w:tc>
          <w:tcPr>
            <w:tcW w:w="1377" w:type="dxa"/>
            <w:tcBorders>
              <w:top w:val="single" w:sz="2" w:space="0" w:color="auto"/>
              <w:left w:val="single" w:sz="2" w:space="0" w:color="auto"/>
              <w:bottom w:val="single" w:sz="2" w:space="0" w:color="auto"/>
              <w:right w:val="single" w:sz="2" w:space="0" w:color="auto"/>
            </w:tcBorders>
            <w:vAlign w:val="center"/>
          </w:tcPr>
          <w:p w14:paraId="3D3D62C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7703A84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客户经营出现问题，无力偿还债务</w:t>
            </w:r>
          </w:p>
        </w:tc>
      </w:tr>
      <w:tr w:rsidR="001D26E7" w:rsidRPr="00F614F9" w14:paraId="017F7740"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BDD945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步步高商业连锁股份有限公司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7E9093E2"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B8653F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B50F9B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6,199,524.11</w:t>
            </w:r>
          </w:p>
        </w:tc>
        <w:tc>
          <w:tcPr>
            <w:tcW w:w="1377" w:type="dxa"/>
            <w:tcBorders>
              <w:top w:val="single" w:sz="2" w:space="0" w:color="auto"/>
              <w:left w:val="single" w:sz="2" w:space="0" w:color="auto"/>
              <w:bottom w:val="single" w:sz="2" w:space="0" w:color="auto"/>
              <w:right w:val="single" w:sz="2" w:space="0" w:color="auto"/>
            </w:tcBorders>
            <w:vAlign w:val="center"/>
          </w:tcPr>
          <w:p w14:paraId="2C897F8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6,199,524.11</w:t>
            </w:r>
          </w:p>
        </w:tc>
        <w:tc>
          <w:tcPr>
            <w:tcW w:w="1377" w:type="dxa"/>
            <w:tcBorders>
              <w:top w:val="single" w:sz="2" w:space="0" w:color="auto"/>
              <w:left w:val="single" w:sz="2" w:space="0" w:color="auto"/>
              <w:bottom w:val="single" w:sz="2" w:space="0" w:color="auto"/>
              <w:right w:val="single" w:sz="2" w:space="0" w:color="auto"/>
            </w:tcBorders>
            <w:vAlign w:val="center"/>
          </w:tcPr>
          <w:p w14:paraId="31EF57C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460679E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客户经营出现问题，无力偿还债务</w:t>
            </w:r>
          </w:p>
        </w:tc>
      </w:tr>
      <w:tr w:rsidR="001D26E7" w:rsidRPr="00F614F9" w14:paraId="6FCAD8FC"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20E8E0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平顶山市正安商贸有限公司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536C13E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443D34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90D2AD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901,530.87</w:t>
            </w:r>
          </w:p>
        </w:tc>
        <w:tc>
          <w:tcPr>
            <w:tcW w:w="1377" w:type="dxa"/>
            <w:tcBorders>
              <w:top w:val="single" w:sz="2" w:space="0" w:color="auto"/>
              <w:left w:val="single" w:sz="2" w:space="0" w:color="auto"/>
              <w:bottom w:val="single" w:sz="2" w:space="0" w:color="auto"/>
              <w:right w:val="single" w:sz="2" w:space="0" w:color="auto"/>
            </w:tcBorders>
            <w:vAlign w:val="center"/>
          </w:tcPr>
          <w:p w14:paraId="3931C1F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901,530.87</w:t>
            </w:r>
          </w:p>
        </w:tc>
        <w:tc>
          <w:tcPr>
            <w:tcW w:w="1377" w:type="dxa"/>
            <w:tcBorders>
              <w:top w:val="single" w:sz="2" w:space="0" w:color="auto"/>
              <w:left w:val="single" w:sz="2" w:space="0" w:color="auto"/>
              <w:bottom w:val="single" w:sz="2" w:space="0" w:color="auto"/>
              <w:right w:val="single" w:sz="2" w:space="0" w:color="auto"/>
            </w:tcBorders>
            <w:vAlign w:val="center"/>
          </w:tcPr>
          <w:p w14:paraId="44E9FEB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5FDE576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客户经营出现问题，无力偿还债务</w:t>
            </w:r>
          </w:p>
        </w:tc>
      </w:tr>
      <w:tr w:rsidR="001D26E7" w:rsidRPr="00F614F9" w14:paraId="237DD962"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3F336F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个人批发商云南</w:t>
            </w:r>
            <w:proofErr w:type="gramStart"/>
            <w:r w:rsidRPr="00F614F9">
              <w:rPr>
                <w:rFonts w:ascii="Times New Roman" w:eastAsia="宋体" w:hAnsi="Times New Roman" w:cs="宋体"/>
                <w:sz w:val="18"/>
                <w:szCs w:val="18"/>
              </w:rPr>
              <w:t>宣威徐欢</w:t>
            </w:r>
            <w:proofErr w:type="gramEnd"/>
          </w:p>
        </w:tc>
        <w:tc>
          <w:tcPr>
            <w:tcW w:w="1377" w:type="dxa"/>
            <w:tcBorders>
              <w:top w:val="single" w:sz="2" w:space="0" w:color="auto"/>
              <w:left w:val="single" w:sz="2" w:space="0" w:color="auto"/>
              <w:bottom w:val="single" w:sz="2" w:space="0" w:color="auto"/>
              <w:right w:val="single" w:sz="2" w:space="0" w:color="auto"/>
            </w:tcBorders>
            <w:vAlign w:val="center"/>
          </w:tcPr>
          <w:p w14:paraId="34900EC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5939D7F"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B0DC34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700,000.00</w:t>
            </w:r>
          </w:p>
        </w:tc>
        <w:tc>
          <w:tcPr>
            <w:tcW w:w="1377" w:type="dxa"/>
            <w:tcBorders>
              <w:top w:val="single" w:sz="2" w:space="0" w:color="auto"/>
              <w:left w:val="single" w:sz="2" w:space="0" w:color="auto"/>
              <w:bottom w:val="single" w:sz="2" w:space="0" w:color="auto"/>
              <w:right w:val="single" w:sz="2" w:space="0" w:color="auto"/>
            </w:tcBorders>
            <w:vAlign w:val="center"/>
          </w:tcPr>
          <w:p w14:paraId="3A08CF0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700,000.00</w:t>
            </w:r>
          </w:p>
        </w:tc>
        <w:tc>
          <w:tcPr>
            <w:tcW w:w="1377" w:type="dxa"/>
            <w:tcBorders>
              <w:top w:val="single" w:sz="2" w:space="0" w:color="auto"/>
              <w:left w:val="single" w:sz="2" w:space="0" w:color="auto"/>
              <w:bottom w:val="single" w:sz="2" w:space="0" w:color="auto"/>
              <w:right w:val="single" w:sz="2" w:space="0" w:color="auto"/>
            </w:tcBorders>
            <w:vAlign w:val="center"/>
          </w:tcPr>
          <w:p w14:paraId="7EFB631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0D16170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客户经营出现问题，无力偿还债务</w:t>
            </w:r>
          </w:p>
        </w:tc>
      </w:tr>
      <w:tr w:rsidR="001D26E7" w:rsidRPr="00F614F9" w14:paraId="4900A3AC"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E0951C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贵州杨老奶食品有限公司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36931C94"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4BC391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3E6698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648,094.70</w:t>
            </w:r>
          </w:p>
        </w:tc>
        <w:tc>
          <w:tcPr>
            <w:tcW w:w="1377" w:type="dxa"/>
            <w:tcBorders>
              <w:top w:val="single" w:sz="2" w:space="0" w:color="auto"/>
              <w:left w:val="single" w:sz="2" w:space="0" w:color="auto"/>
              <w:bottom w:val="single" w:sz="2" w:space="0" w:color="auto"/>
              <w:right w:val="single" w:sz="2" w:space="0" w:color="auto"/>
            </w:tcBorders>
            <w:vAlign w:val="center"/>
          </w:tcPr>
          <w:p w14:paraId="396BB29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648,094.70</w:t>
            </w:r>
          </w:p>
        </w:tc>
        <w:tc>
          <w:tcPr>
            <w:tcW w:w="1377" w:type="dxa"/>
            <w:tcBorders>
              <w:top w:val="single" w:sz="2" w:space="0" w:color="auto"/>
              <w:left w:val="single" w:sz="2" w:space="0" w:color="auto"/>
              <w:bottom w:val="single" w:sz="2" w:space="0" w:color="auto"/>
              <w:right w:val="single" w:sz="2" w:space="0" w:color="auto"/>
            </w:tcBorders>
            <w:vAlign w:val="center"/>
          </w:tcPr>
          <w:p w14:paraId="73AF346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237B372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客户经营出现问题，无力偿还债务</w:t>
            </w:r>
          </w:p>
        </w:tc>
      </w:tr>
      <w:tr w:rsidR="001D26E7" w:rsidRPr="00F614F9" w14:paraId="3F1D5122"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893CDA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云南森茂食品有限公司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19458D8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C52882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53DDE1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15,040,162.30</w:t>
            </w:r>
          </w:p>
        </w:tc>
        <w:tc>
          <w:tcPr>
            <w:tcW w:w="1377" w:type="dxa"/>
            <w:tcBorders>
              <w:top w:val="single" w:sz="2" w:space="0" w:color="auto"/>
              <w:left w:val="single" w:sz="2" w:space="0" w:color="auto"/>
              <w:bottom w:val="single" w:sz="2" w:space="0" w:color="auto"/>
              <w:right w:val="single" w:sz="2" w:space="0" w:color="auto"/>
            </w:tcBorders>
            <w:vAlign w:val="center"/>
          </w:tcPr>
          <w:p w14:paraId="517CF7D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7,940,162.30</w:t>
            </w:r>
          </w:p>
        </w:tc>
        <w:tc>
          <w:tcPr>
            <w:tcW w:w="1377" w:type="dxa"/>
            <w:tcBorders>
              <w:top w:val="single" w:sz="2" w:space="0" w:color="auto"/>
              <w:left w:val="single" w:sz="2" w:space="0" w:color="auto"/>
              <w:bottom w:val="single" w:sz="2" w:space="0" w:color="auto"/>
              <w:right w:val="single" w:sz="2" w:space="0" w:color="auto"/>
            </w:tcBorders>
            <w:vAlign w:val="center"/>
          </w:tcPr>
          <w:p w14:paraId="423D89E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52.79%</w:t>
            </w:r>
          </w:p>
        </w:tc>
        <w:tc>
          <w:tcPr>
            <w:tcW w:w="1377" w:type="dxa"/>
            <w:tcBorders>
              <w:top w:val="single" w:sz="2" w:space="0" w:color="auto"/>
              <w:left w:val="single" w:sz="2" w:space="0" w:color="auto"/>
              <w:bottom w:val="single" w:sz="2" w:space="0" w:color="auto"/>
              <w:right w:val="single" w:sz="2" w:space="0" w:color="auto"/>
            </w:tcBorders>
            <w:vAlign w:val="center"/>
          </w:tcPr>
          <w:p w14:paraId="4DE0AB6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与客户初步协商后确认预计可收回金额</w:t>
            </w:r>
          </w:p>
        </w:tc>
      </w:tr>
      <w:tr w:rsidR="001D26E7" w:rsidRPr="00F614F9" w14:paraId="1BA7E996"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2BE6BB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云南亚东宏工贸有限公司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3E36B6E0"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4128B1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66EB16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12,692,500.40</w:t>
            </w:r>
          </w:p>
        </w:tc>
        <w:tc>
          <w:tcPr>
            <w:tcW w:w="1377" w:type="dxa"/>
            <w:tcBorders>
              <w:top w:val="single" w:sz="2" w:space="0" w:color="auto"/>
              <w:left w:val="single" w:sz="2" w:space="0" w:color="auto"/>
              <w:bottom w:val="single" w:sz="2" w:space="0" w:color="auto"/>
              <w:right w:val="single" w:sz="2" w:space="0" w:color="auto"/>
            </w:tcBorders>
            <w:vAlign w:val="center"/>
          </w:tcPr>
          <w:p w14:paraId="3F993B5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12,692,500.40</w:t>
            </w:r>
          </w:p>
        </w:tc>
        <w:tc>
          <w:tcPr>
            <w:tcW w:w="1377" w:type="dxa"/>
            <w:tcBorders>
              <w:top w:val="single" w:sz="2" w:space="0" w:color="auto"/>
              <w:left w:val="single" w:sz="2" w:space="0" w:color="auto"/>
              <w:bottom w:val="single" w:sz="2" w:space="0" w:color="auto"/>
              <w:right w:val="single" w:sz="2" w:space="0" w:color="auto"/>
            </w:tcBorders>
            <w:vAlign w:val="center"/>
          </w:tcPr>
          <w:p w14:paraId="7485B6B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48C07DD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客户经营出现问题，无力偿还债务</w:t>
            </w:r>
          </w:p>
        </w:tc>
      </w:tr>
      <w:tr w:rsidR="001D26E7" w:rsidRPr="00F614F9" w14:paraId="66E0D6D4"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3B8E27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36D54AFF"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FAAE8F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AB7F46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2,882,355.53</w:t>
            </w:r>
          </w:p>
        </w:tc>
        <w:tc>
          <w:tcPr>
            <w:tcW w:w="1377" w:type="dxa"/>
            <w:tcBorders>
              <w:top w:val="single" w:sz="2" w:space="0" w:color="auto"/>
              <w:left w:val="single" w:sz="2" w:space="0" w:color="auto"/>
              <w:bottom w:val="single" w:sz="2" w:space="0" w:color="auto"/>
              <w:right w:val="single" w:sz="2" w:space="0" w:color="auto"/>
            </w:tcBorders>
            <w:vAlign w:val="center"/>
          </w:tcPr>
          <w:p w14:paraId="0E28788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2,462,319.38</w:t>
            </w:r>
          </w:p>
        </w:tc>
        <w:tc>
          <w:tcPr>
            <w:tcW w:w="1377" w:type="dxa"/>
            <w:tcBorders>
              <w:top w:val="single" w:sz="2" w:space="0" w:color="auto"/>
              <w:left w:val="single" w:sz="2" w:space="0" w:color="auto"/>
              <w:bottom w:val="single" w:sz="2" w:space="0" w:color="auto"/>
              <w:right w:val="single" w:sz="2" w:space="0" w:color="auto"/>
            </w:tcBorders>
            <w:vAlign w:val="center"/>
          </w:tcPr>
          <w:p w14:paraId="41A57E3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85.43%</w:t>
            </w:r>
          </w:p>
        </w:tc>
        <w:tc>
          <w:tcPr>
            <w:tcW w:w="1377" w:type="dxa"/>
            <w:tcBorders>
              <w:top w:val="single" w:sz="2" w:space="0" w:color="auto"/>
              <w:left w:val="single" w:sz="2" w:space="0" w:color="auto"/>
              <w:bottom w:val="single" w:sz="2" w:space="0" w:color="auto"/>
              <w:right w:val="single" w:sz="2" w:space="0" w:color="auto"/>
            </w:tcBorders>
            <w:vAlign w:val="center"/>
          </w:tcPr>
          <w:p w14:paraId="04E8827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客户经营出现问题，无力偿还债务</w:t>
            </w:r>
          </w:p>
        </w:tc>
      </w:tr>
      <w:tr w:rsidR="001D26E7" w:rsidRPr="00F614F9" w14:paraId="23E224B2"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A9E828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合计</w:t>
            </w:r>
          </w:p>
        </w:tc>
        <w:tc>
          <w:tcPr>
            <w:tcW w:w="1377" w:type="dxa"/>
            <w:tcBorders>
              <w:top w:val="single" w:sz="2" w:space="0" w:color="auto"/>
              <w:left w:val="single" w:sz="2" w:space="0" w:color="auto"/>
              <w:bottom w:val="single" w:sz="2" w:space="0" w:color="auto"/>
              <w:right w:val="single" w:sz="2" w:space="0" w:color="auto"/>
            </w:tcBorders>
            <w:vAlign w:val="center"/>
          </w:tcPr>
          <w:p w14:paraId="0E02EE2F"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17832D4"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B42B9D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39,843,943.39</w:t>
            </w:r>
          </w:p>
        </w:tc>
        <w:tc>
          <w:tcPr>
            <w:tcW w:w="1377" w:type="dxa"/>
            <w:tcBorders>
              <w:top w:val="single" w:sz="2" w:space="0" w:color="auto"/>
              <w:left w:val="single" w:sz="2" w:space="0" w:color="auto"/>
              <w:bottom w:val="single" w:sz="2" w:space="0" w:color="auto"/>
              <w:right w:val="single" w:sz="2" w:space="0" w:color="auto"/>
            </w:tcBorders>
            <w:vAlign w:val="center"/>
          </w:tcPr>
          <w:p w14:paraId="69E1651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32,323,907.24</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6F035B2" w14:textId="77777777" w:rsidR="001D26E7" w:rsidRPr="00F614F9" w:rsidRDefault="001D26E7">
            <w:pPr>
              <w:rPr>
                <w:rFonts w:ascii="Times New Roman" w:hAnsi="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8489753" w14:textId="77777777" w:rsidR="001D26E7" w:rsidRPr="00F614F9" w:rsidRDefault="001D26E7">
            <w:pPr>
              <w:rPr>
                <w:rFonts w:ascii="Times New Roman" w:hAnsi="Times New Roman"/>
              </w:rPr>
            </w:pPr>
          </w:p>
        </w:tc>
      </w:tr>
    </w:tbl>
    <w:p w14:paraId="35A6767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按组合计提坏账准备：</w:t>
      </w:r>
      <w:r w:rsidRPr="00F614F9">
        <w:rPr>
          <w:rFonts w:ascii="Times New Roman" w:eastAsia="宋体" w:hAnsi="Times New Roman" w:cs="宋体"/>
          <w:sz w:val="18"/>
          <w:szCs w:val="18"/>
        </w:rPr>
        <w:t>1</w:t>
      </w:r>
    </w:p>
    <w:p w14:paraId="4E1B76BE"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1D26E7" w:rsidRPr="00F614F9" w14:paraId="29EDB087" w14:textId="7777777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EA723C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D13569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r>
      <w:tr w:rsidR="001D26E7" w:rsidRPr="00F614F9" w14:paraId="29842CFE" w14:textId="7777777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E9A046F" w14:textId="77777777" w:rsidR="001D26E7" w:rsidRPr="00F614F9" w:rsidRDefault="001D26E7">
            <w:pPr>
              <w:rPr>
                <w:rFonts w:ascii="Times New Roman" w:hAnsi="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5A8E48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B54C0F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D7C02C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计提比例</w:t>
            </w:r>
          </w:p>
        </w:tc>
      </w:tr>
      <w:tr w:rsidR="001D26E7" w:rsidRPr="00F614F9" w14:paraId="6C481C2C"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EBEE0C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1-3</w:t>
            </w:r>
            <w:r w:rsidRPr="00F614F9">
              <w:rPr>
                <w:rFonts w:ascii="Times New Roman" w:eastAsia="宋体" w:hAnsi="Times New Roman" w:cs="宋体"/>
                <w:sz w:val="18"/>
                <w:szCs w:val="18"/>
              </w:rPr>
              <w:t>月</w:t>
            </w:r>
          </w:p>
        </w:tc>
        <w:tc>
          <w:tcPr>
            <w:tcW w:w="2410" w:type="dxa"/>
            <w:tcBorders>
              <w:top w:val="single" w:sz="2" w:space="0" w:color="auto"/>
              <w:left w:val="single" w:sz="2" w:space="0" w:color="auto"/>
              <w:bottom w:val="single" w:sz="2" w:space="0" w:color="auto"/>
              <w:right w:val="single" w:sz="2" w:space="0" w:color="auto"/>
            </w:tcBorders>
            <w:vAlign w:val="center"/>
          </w:tcPr>
          <w:p w14:paraId="0BC2A16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377,980,611.61</w:t>
            </w:r>
          </w:p>
        </w:tc>
        <w:tc>
          <w:tcPr>
            <w:tcW w:w="2410" w:type="dxa"/>
            <w:tcBorders>
              <w:top w:val="single" w:sz="2" w:space="0" w:color="auto"/>
              <w:left w:val="single" w:sz="2" w:space="0" w:color="auto"/>
              <w:bottom w:val="single" w:sz="2" w:space="0" w:color="auto"/>
              <w:right w:val="single" w:sz="2" w:space="0" w:color="auto"/>
            </w:tcBorders>
            <w:vAlign w:val="center"/>
          </w:tcPr>
          <w:p w14:paraId="44B644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8,800,975.17</w:t>
            </w:r>
          </w:p>
        </w:tc>
        <w:tc>
          <w:tcPr>
            <w:tcW w:w="2410" w:type="dxa"/>
            <w:tcBorders>
              <w:top w:val="single" w:sz="2" w:space="0" w:color="auto"/>
              <w:left w:val="single" w:sz="2" w:space="0" w:color="auto"/>
              <w:bottom w:val="single" w:sz="2" w:space="0" w:color="auto"/>
              <w:right w:val="single" w:sz="2" w:space="0" w:color="auto"/>
            </w:tcBorders>
            <w:vAlign w:val="center"/>
          </w:tcPr>
          <w:p w14:paraId="1F6B23C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2.33%</w:t>
            </w:r>
          </w:p>
        </w:tc>
      </w:tr>
      <w:tr w:rsidR="001D26E7" w:rsidRPr="00F614F9" w14:paraId="79514306"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56DBB7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4-6</w:t>
            </w:r>
            <w:r w:rsidRPr="00F614F9">
              <w:rPr>
                <w:rFonts w:ascii="Times New Roman" w:eastAsia="宋体" w:hAnsi="Times New Roman" w:cs="宋体"/>
                <w:sz w:val="18"/>
                <w:szCs w:val="18"/>
              </w:rPr>
              <w:t>月</w:t>
            </w:r>
          </w:p>
        </w:tc>
        <w:tc>
          <w:tcPr>
            <w:tcW w:w="2410" w:type="dxa"/>
            <w:tcBorders>
              <w:top w:val="single" w:sz="2" w:space="0" w:color="auto"/>
              <w:left w:val="single" w:sz="2" w:space="0" w:color="auto"/>
              <w:bottom w:val="single" w:sz="2" w:space="0" w:color="auto"/>
              <w:right w:val="single" w:sz="2" w:space="0" w:color="auto"/>
            </w:tcBorders>
            <w:vAlign w:val="center"/>
          </w:tcPr>
          <w:p w14:paraId="7DBEC62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36,904,295.35</w:t>
            </w:r>
          </w:p>
        </w:tc>
        <w:tc>
          <w:tcPr>
            <w:tcW w:w="2410" w:type="dxa"/>
            <w:tcBorders>
              <w:top w:val="single" w:sz="2" w:space="0" w:color="auto"/>
              <w:left w:val="single" w:sz="2" w:space="0" w:color="auto"/>
              <w:bottom w:val="single" w:sz="2" w:space="0" w:color="auto"/>
              <w:right w:val="single" w:sz="2" w:space="0" w:color="auto"/>
            </w:tcBorders>
            <w:vAlign w:val="center"/>
          </w:tcPr>
          <w:p w14:paraId="1AC5EB1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828,001.32</w:t>
            </w:r>
          </w:p>
        </w:tc>
        <w:tc>
          <w:tcPr>
            <w:tcW w:w="2410" w:type="dxa"/>
            <w:tcBorders>
              <w:top w:val="single" w:sz="2" w:space="0" w:color="auto"/>
              <w:left w:val="single" w:sz="2" w:space="0" w:color="auto"/>
              <w:bottom w:val="single" w:sz="2" w:space="0" w:color="auto"/>
              <w:right w:val="single" w:sz="2" w:space="0" w:color="auto"/>
            </w:tcBorders>
            <w:vAlign w:val="center"/>
          </w:tcPr>
          <w:p w14:paraId="35D9A3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2.24%</w:t>
            </w:r>
          </w:p>
        </w:tc>
      </w:tr>
      <w:tr w:rsidR="001D26E7" w:rsidRPr="00F614F9" w14:paraId="357DAF47"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D852F7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7-9</w:t>
            </w:r>
            <w:r w:rsidRPr="00F614F9">
              <w:rPr>
                <w:rFonts w:ascii="Times New Roman" w:eastAsia="宋体" w:hAnsi="Times New Roman" w:cs="宋体"/>
                <w:sz w:val="18"/>
                <w:szCs w:val="18"/>
              </w:rPr>
              <w:t>月</w:t>
            </w:r>
          </w:p>
        </w:tc>
        <w:tc>
          <w:tcPr>
            <w:tcW w:w="2410" w:type="dxa"/>
            <w:tcBorders>
              <w:top w:val="single" w:sz="2" w:space="0" w:color="auto"/>
              <w:left w:val="single" w:sz="2" w:space="0" w:color="auto"/>
              <w:bottom w:val="single" w:sz="2" w:space="0" w:color="auto"/>
              <w:right w:val="single" w:sz="2" w:space="0" w:color="auto"/>
            </w:tcBorders>
            <w:vAlign w:val="center"/>
          </w:tcPr>
          <w:p w14:paraId="397A026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4,492,714.41</w:t>
            </w:r>
          </w:p>
        </w:tc>
        <w:tc>
          <w:tcPr>
            <w:tcW w:w="2410" w:type="dxa"/>
            <w:tcBorders>
              <w:top w:val="single" w:sz="2" w:space="0" w:color="auto"/>
              <w:left w:val="single" w:sz="2" w:space="0" w:color="auto"/>
              <w:bottom w:val="single" w:sz="2" w:space="0" w:color="auto"/>
              <w:right w:val="single" w:sz="2" w:space="0" w:color="auto"/>
            </w:tcBorders>
            <w:vAlign w:val="center"/>
          </w:tcPr>
          <w:p w14:paraId="18BB090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105,603.08</w:t>
            </w:r>
          </w:p>
        </w:tc>
        <w:tc>
          <w:tcPr>
            <w:tcW w:w="2410" w:type="dxa"/>
            <w:tcBorders>
              <w:top w:val="single" w:sz="2" w:space="0" w:color="auto"/>
              <w:left w:val="single" w:sz="2" w:space="0" w:color="auto"/>
              <w:bottom w:val="single" w:sz="2" w:space="0" w:color="auto"/>
              <w:right w:val="single" w:sz="2" w:space="0" w:color="auto"/>
            </w:tcBorders>
            <w:vAlign w:val="center"/>
          </w:tcPr>
          <w:p w14:paraId="5A5622B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2.35%</w:t>
            </w:r>
          </w:p>
        </w:tc>
      </w:tr>
      <w:tr w:rsidR="001D26E7" w:rsidRPr="00F614F9" w14:paraId="5DFFD2E6"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1B9FB8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10-12</w:t>
            </w:r>
            <w:r w:rsidRPr="00F614F9">
              <w:rPr>
                <w:rFonts w:ascii="Times New Roman" w:eastAsia="宋体" w:hAnsi="Times New Roman" w:cs="宋体"/>
                <w:sz w:val="18"/>
                <w:szCs w:val="18"/>
              </w:rPr>
              <w:t>月</w:t>
            </w:r>
          </w:p>
        </w:tc>
        <w:tc>
          <w:tcPr>
            <w:tcW w:w="2410" w:type="dxa"/>
            <w:tcBorders>
              <w:top w:val="single" w:sz="2" w:space="0" w:color="auto"/>
              <w:left w:val="single" w:sz="2" w:space="0" w:color="auto"/>
              <w:bottom w:val="single" w:sz="2" w:space="0" w:color="auto"/>
              <w:right w:val="single" w:sz="2" w:space="0" w:color="auto"/>
            </w:tcBorders>
            <w:vAlign w:val="center"/>
          </w:tcPr>
          <w:p w14:paraId="46F24CF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1,837,837.34</w:t>
            </w:r>
          </w:p>
        </w:tc>
        <w:tc>
          <w:tcPr>
            <w:tcW w:w="2410" w:type="dxa"/>
            <w:tcBorders>
              <w:top w:val="single" w:sz="2" w:space="0" w:color="auto"/>
              <w:left w:val="single" w:sz="2" w:space="0" w:color="auto"/>
              <w:bottom w:val="single" w:sz="2" w:space="0" w:color="auto"/>
              <w:right w:val="single" w:sz="2" w:space="0" w:color="auto"/>
            </w:tcBorders>
            <w:vAlign w:val="center"/>
          </w:tcPr>
          <w:p w14:paraId="588090E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41,107.11</w:t>
            </w:r>
          </w:p>
        </w:tc>
        <w:tc>
          <w:tcPr>
            <w:tcW w:w="2410" w:type="dxa"/>
            <w:tcBorders>
              <w:top w:val="single" w:sz="2" w:space="0" w:color="auto"/>
              <w:left w:val="single" w:sz="2" w:space="0" w:color="auto"/>
              <w:bottom w:val="single" w:sz="2" w:space="0" w:color="auto"/>
              <w:right w:val="single" w:sz="2" w:space="0" w:color="auto"/>
            </w:tcBorders>
            <w:vAlign w:val="center"/>
          </w:tcPr>
          <w:p w14:paraId="5743C59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2.24%</w:t>
            </w:r>
          </w:p>
        </w:tc>
      </w:tr>
      <w:tr w:rsidR="001D26E7" w:rsidRPr="00F614F9" w14:paraId="322F65CA"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A4A9F5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1-2</w:t>
            </w:r>
            <w:r w:rsidRPr="00F614F9">
              <w:rPr>
                <w:rFonts w:ascii="Times New Roman" w:eastAsia="宋体" w:hAnsi="Times New Roman"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5BD09C8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32,928,779.63</w:t>
            </w:r>
          </w:p>
        </w:tc>
        <w:tc>
          <w:tcPr>
            <w:tcW w:w="2410" w:type="dxa"/>
            <w:tcBorders>
              <w:top w:val="single" w:sz="2" w:space="0" w:color="auto"/>
              <w:left w:val="single" w:sz="2" w:space="0" w:color="auto"/>
              <w:bottom w:val="single" w:sz="2" w:space="0" w:color="auto"/>
              <w:right w:val="single" w:sz="2" w:space="0" w:color="auto"/>
            </w:tcBorders>
            <w:vAlign w:val="center"/>
          </w:tcPr>
          <w:p w14:paraId="6D110C6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8,232,194.92</w:t>
            </w:r>
          </w:p>
        </w:tc>
        <w:tc>
          <w:tcPr>
            <w:tcW w:w="2410" w:type="dxa"/>
            <w:tcBorders>
              <w:top w:val="single" w:sz="2" w:space="0" w:color="auto"/>
              <w:left w:val="single" w:sz="2" w:space="0" w:color="auto"/>
              <w:bottom w:val="single" w:sz="2" w:space="0" w:color="auto"/>
              <w:right w:val="single" w:sz="2" w:space="0" w:color="auto"/>
            </w:tcBorders>
            <w:vAlign w:val="center"/>
          </w:tcPr>
          <w:p w14:paraId="4214C75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25.00%</w:t>
            </w:r>
          </w:p>
        </w:tc>
      </w:tr>
      <w:tr w:rsidR="001D26E7" w:rsidRPr="00F614F9" w14:paraId="5BCEC518"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F60B76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2-3</w:t>
            </w:r>
            <w:r w:rsidRPr="00F614F9">
              <w:rPr>
                <w:rFonts w:ascii="Times New Roman" w:eastAsia="宋体" w:hAnsi="Times New Roman"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1C69773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1,156,010.09</w:t>
            </w:r>
          </w:p>
        </w:tc>
        <w:tc>
          <w:tcPr>
            <w:tcW w:w="2410" w:type="dxa"/>
            <w:tcBorders>
              <w:top w:val="single" w:sz="2" w:space="0" w:color="auto"/>
              <w:left w:val="single" w:sz="2" w:space="0" w:color="auto"/>
              <w:bottom w:val="single" w:sz="2" w:space="0" w:color="auto"/>
              <w:right w:val="single" w:sz="2" w:space="0" w:color="auto"/>
            </w:tcBorders>
            <w:vAlign w:val="center"/>
          </w:tcPr>
          <w:p w14:paraId="150E34D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578,005.05</w:t>
            </w:r>
          </w:p>
        </w:tc>
        <w:tc>
          <w:tcPr>
            <w:tcW w:w="2410" w:type="dxa"/>
            <w:tcBorders>
              <w:top w:val="single" w:sz="2" w:space="0" w:color="auto"/>
              <w:left w:val="single" w:sz="2" w:space="0" w:color="auto"/>
              <w:bottom w:val="single" w:sz="2" w:space="0" w:color="auto"/>
              <w:right w:val="single" w:sz="2" w:space="0" w:color="auto"/>
            </w:tcBorders>
            <w:vAlign w:val="center"/>
          </w:tcPr>
          <w:p w14:paraId="5D0D219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50.00%</w:t>
            </w:r>
          </w:p>
        </w:tc>
      </w:tr>
      <w:tr w:rsidR="001D26E7" w:rsidRPr="00F614F9" w14:paraId="2D077726"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66C13B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3-4</w:t>
            </w:r>
            <w:r w:rsidRPr="00F614F9">
              <w:rPr>
                <w:rFonts w:ascii="Times New Roman" w:eastAsia="宋体" w:hAnsi="Times New Roman"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1B3E3AB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963,570.66</w:t>
            </w:r>
          </w:p>
        </w:tc>
        <w:tc>
          <w:tcPr>
            <w:tcW w:w="2410" w:type="dxa"/>
            <w:tcBorders>
              <w:top w:val="single" w:sz="2" w:space="0" w:color="auto"/>
              <w:left w:val="single" w:sz="2" w:space="0" w:color="auto"/>
              <w:bottom w:val="single" w:sz="2" w:space="0" w:color="auto"/>
              <w:right w:val="single" w:sz="2" w:space="0" w:color="auto"/>
            </w:tcBorders>
            <w:vAlign w:val="center"/>
          </w:tcPr>
          <w:p w14:paraId="3D5E438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770,856.52</w:t>
            </w:r>
          </w:p>
        </w:tc>
        <w:tc>
          <w:tcPr>
            <w:tcW w:w="2410" w:type="dxa"/>
            <w:tcBorders>
              <w:top w:val="single" w:sz="2" w:space="0" w:color="auto"/>
              <w:left w:val="single" w:sz="2" w:space="0" w:color="auto"/>
              <w:bottom w:val="single" w:sz="2" w:space="0" w:color="auto"/>
              <w:right w:val="single" w:sz="2" w:space="0" w:color="auto"/>
            </w:tcBorders>
            <w:vAlign w:val="center"/>
          </w:tcPr>
          <w:p w14:paraId="6451B13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80.00%</w:t>
            </w:r>
          </w:p>
        </w:tc>
      </w:tr>
      <w:tr w:rsidR="001D26E7" w:rsidRPr="00F614F9" w14:paraId="7DD2802F"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272B83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5610B29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456,263,819.09</w:t>
            </w:r>
          </w:p>
        </w:tc>
        <w:tc>
          <w:tcPr>
            <w:tcW w:w="2410" w:type="dxa"/>
            <w:tcBorders>
              <w:top w:val="single" w:sz="2" w:space="0" w:color="auto"/>
              <w:left w:val="single" w:sz="2" w:space="0" w:color="auto"/>
              <w:bottom w:val="single" w:sz="2" w:space="0" w:color="auto"/>
              <w:right w:val="single" w:sz="2" w:space="0" w:color="auto"/>
            </w:tcBorders>
            <w:vAlign w:val="center"/>
          </w:tcPr>
          <w:p w14:paraId="599F808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19,356,743.17</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7128DB0" w14:textId="77777777" w:rsidR="001D26E7" w:rsidRPr="00F614F9" w:rsidRDefault="001D26E7">
            <w:pPr>
              <w:rPr>
                <w:rFonts w:ascii="Times New Roman" w:hAnsi="Times New Roman"/>
              </w:rPr>
            </w:pPr>
          </w:p>
        </w:tc>
      </w:tr>
    </w:tbl>
    <w:p w14:paraId="0F8C96D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确定该组合依据的说明：</w:t>
      </w:r>
    </w:p>
    <w:p w14:paraId="1F82A0A0" w14:textId="77777777" w:rsidR="00872599" w:rsidRPr="00F614F9" w:rsidRDefault="00000000">
      <w:pPr>
        <w:pStyle w:val="a3"/>
        <w:divId w:val="1754668135"/>
        <w:rPr>
          <w:rFonts w:ascii="Times New Roman" w:hAnsi="Times New Roman"/>
          <w:sz w:val="18"/>
          <w:szCs w:val="18"/>
        </w:rPr>
      </w:pPr>
      <w:r w:rsidRPr="00F614F9">
        <w:rPr>
          <w:rFonts w:ascii="Times New Roman" w:hAnsi="Times New Roman" w:hint="eastAsia"/>
          <w:sz w:val="18"/>
          <w:szCs w:val="18"/>
        </w:rPr>
        <w:t>无</w:t>
      </w:r>
    </w:p>
    <w:p w14:paraId="7158E5A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如是按照预期信用损失一般模型计提应收账款坏账准备：</w:t>
      </w:r>
    </w:p>
    <w:p w14:paraId="7A6F151A"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128973C5"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33" w:name="_Toc989142"/>
      <w:r w:rsidRPr="00F614F9">
        <w:rPr>
          <w:rFonts w:ascii="Times New Roman" w:eastAsia="宋体" w:hAnsi="Times New Roman" w:cs="宋体"/>
          <w:b/>
          <w:bCs/>
          <w:szCs w:val="21"/>
        </w:rPr>
        <w:t>（</w:t>
      </w:r>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本期计提、收回或转回的坏账准备情况</w:t>
      </w:r>
      <w:bookmarkEnd w:id="333"/>
    </w:p>
    <w:p w14:paraId="3E2B00A4"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本期计提坏账准备情况：</w:t>
      </w:r>
    </w:p>
    <w:p w14:paraId="12C476A3"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1D26E7" w:rsidRPr="00F614F9" w14:paraId="506BFAB4"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60803A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C80557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25A7FA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4DF2A7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r>
      <w:tr w:rsidR="001D26E7" w:rsidRPr="00F614F9" w14:paraId="0210197D"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97DBA6F" w14:textId="77777777" w:rsidR="001D26E7" w:rsidRPr="00F614F9" w:rsidRDefault="001D26E7">
            <w:pPr>
              <w:rPr>
                <w:rFonts w:ascii="Times New Roman" w:hAnsi="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7661582" w14:textId="77777777" w:rsidR="001D26E7" w:rsidRPr="00F614F9" w:rsidRDefault="001D26E7">
            <w:pPr>
              <w:rPr>
                <w:rFonts w:ascii="Times New Roman" w:hAnsi="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253E64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7B5372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E11064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E2B372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AEF86B7" w14:textId="77777777" w:rsidR="001D26E7" w:rsidRPr="00F614F9" w:rsidRDefault="001D26E7">
            <w:pPr>
              <w:rPr>
                <w:rFonts w:ascii="Times New Roman" w:hAnsi="Times New Roman"/>
              </w:rPr>
            </w:pPr>
          </w:p>
        </w:tc>
      </w:tr>
      <w:tr w:rsidR="001D26E7" w:rsidRPr="00F614F9" w14:paraId="3CF694B3"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EAE7F6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应收账款</w:t>
            </w:r>
          </w:p>
        </w:tc>
        <w:tc>
          <w:tcPr>
            <w:tcW w:w="1377" w:type="dxa"/>
            <w:tcBorders>
              <w:top w:val="single" w:sz="2" w:space="0" w:color="auto"/>
              <w:left w:val="single" w:sz="2" w:space="0" w:color="auto"/>
              <w:bottom w:val="single" w:sz="2" w:space="0" w:color="auto"/>
              <w:right w:val="single" w:sz="2" w:space="0" w:color="auto"/>
            </w:tcBorders>
            <w:vAlign w:val="center"/>
          </w:tcPr>
          <w:p w14:paraId="4759F4E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23,641,164.46</w:t>
            </w:r>
          </w:p>
        </w:tc>
        <w:tc>
          <w:tcPr>
            <w:tcW w:w="1377" w:type="dxa"/>
            <w:tcBorders>
              <w:top w:val="single" w:sz="2" w:space="0" w:color="auto"/>
              <w:left w:val="single" w:sz="2" w:space="0" w:color="auto"/>
              <w:bottom w:val="single" w:sz="2" w:space="0" w:color="auto"/>
              <w:right w:val="single" w:sz="2" w:space="0" w:color="auto"/>
            </w:tcBorders>
            <w:vAlign w:val="center"/>
          </w:tcPr>
          <w:p w14:paraId="6114F6A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28,039,485.95</w:t>
            </w:r>
          </w:p>
        </w:tc>
        <w:tc>
          <w:tcPr>
            <w:tcW w:w="1377" w:type="dxa"/>
            <w:tcBorders>
              <w:top w:val="single" w:sz="2" w:space="0" w:color="auto"/>
              <w:left w:val="single" w:sz="2" w:space="0" w:color="auto"/>
              <w:bottom w:val="single" w:sz="2" w:space="0" w:color="auto"/>
              <w:right w:val="single" w:sz="2" w:space="0" w:color="auto"/>
            </w:tcBorders>
            <w:vAlign w:val="center"/>
          </w:tcPr>
          <w:p w14:paraId="7C47D329"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A7CD250"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19D422B"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900562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51,680,650.41</w:t>
            </w:r>
          </w:p>
        </w:tc>
      </w:tr>
      <w:tr w:rsidR="001D26E7" w:rsidRPr="00F614F9" w14:paraId="23876D50"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AB3722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312EA41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23,641,164.46</w:t>
            </w:r>
          </w:p>
        </w:tc>
        <w:tc>
          <w:tcPr>
            <w:tcW w:w="1377" w:type="dxa"/>
            <w:tcBorders>
              <w:top w:val="single" w:sz="2" w:space="0" w:color="auto"/>
              <w:left w:val="single" w:sz="2" w:space="0" w:color="auto"/>
              <w:bottom w:val="single" w:sz="2" w:space="0" w:color="auto"/>
              <w:right w:val="single" w:sz="2" w:space="0" w:color="auto"/>
            </w:tcBorders>
            <w:vAlign w:val="center"/>
          </w:tcPr>
          <w:p w14:paraId="655B195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28,039,485.95</w:t>
            </w:r>
          </w:p>
        </w:tc>
        <w:tc>
          <w:tcPr>
            <w:tcW w:w="1377" w:type="dxa"/>
            <w:tcBorders>
              <w:top w:val="single" w:sz="2" w:space="0" w:color="auto"/>
              <w:left w:val="single" w:sz="2" w:space="0" w:color="auto"/>
              <w:bottom w:val="single" w:sz="2" w:space="0" w:color="auto"/>
              <w:right w:val="single" w:sz="2" w:space="0" w:color="auto"/>
            </w:tcBorders>
            <w:vAlign w:val="center"/>
          </w:tcPr>
          <w:p w14:paraId="72E7336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AAB1337"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00CEBF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AC4308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51,680,650.41</w:t>
            </w:r>
          </w:p>
        </w:tc>
      </w:tr>
    </w:tbl>
    <w:p w14:paraId="1D796043"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其中本期坏账准备收回或转回金额重要的：</w:t>
      </w:r>
    </w:p>
    <w:p w14:paraId="546EB591" w14:textId="77777777" w:rsidR="00872599" w:rsidRPr="00F614F9" w:rsidRDefault="00000000">
      <w:pPr>
        <w:pStyle w:val="a3"/>
        <w:divId w:val="95945363"/>
        <w:rPr>
          <w:rFonts w:ascii="Times New Roman" w:hAnsi="Times New Roman"/>
          <w:sz w:val="18"/>
          <w:szCs w:val="18"/>
        </w:rPr>
      </w:pPr>
      <w:r w:rsidRPr="00F614F9">
        <w:rPr>
          <w:rFonts w:ascii="Times New Roman" w:hAnsi="Times New Roman" w:hint="eastAsia"/>
          <w:sz w:val="18"/>
          <w:szCs w:val="18"/>
        </w:rPr>
        <w:t>无</w:t>
      </w:r>
    </w:p>
    <w:p w14:paraId="3638639A"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34" w:name="_Toc989143"/>
      <w:r w:rsidRPr="00F614F9">
        <w:rPr>
          <w:rFonts w:ascii="Times New Roman" w:eastAsia="宋体" w:hAnsi="Times New Roman" w:cs="宋体"/>
          <w:b/>
          <w:bCs/>
          <w:szCs w:val="21"/>
        </w:rPr>
        <w:t>（</w:t>
      </w:r>
      <w:r w:rsidRPr="00F614F9">
        <w:rPr>
          <w:rFonts w:ascii="Times New Roman" w:eastAsia="宋体" w:hAnsi="Times New Roman" w:cs="宋体"/>
          <w:b/>
          <w:bCs/>
          <w:szCs w:val="21"/>
        </w:rPr>
        <w:t>4</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本期实际核销的应收账款情况</w:t>
      </w:r>
      <w:bookmarkEnd w:id="334"/>
    </w:p>
    <w:p w14:paraId="2C51E250" w14:textId="77777777" w:rsidR="00872599" w:rsidRPr="00F614F9" w:rsidRDefault="00000000">
      <w:pPr>
        <w:pStyle w:val="a3"/>
        <w:divId w:val="1445728956"/>
        <w:rPr>
          <w:rFonts w:ascii="Times New Roman" w:hAnsi="Times New Roman"/>
          <w:sz w:val="18"/>
          <w:szCs w:val="18"/>
        </w:rPr>
      </w:pPr>
      <w:r w:rsidRPr="00F614F9">
        <w:rPr>
          <w:rFonts w:ascii="Times New Roman" w:hAnsi="Times New Roman" w:hint="eastAsia"/>
          <w:sz w:val="18"/>
          <w:szCs w:val="18"/>
        </w:rPr>
        <w:t>无</w:t>
      </w:r>
    </w:p>
    <w:p w14:paraId="5C63E8F5"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35" w:name="_Toc989144"/>
      <w:r w:rsidRPr="00F614F9">
        <w:rPr>
          <w:rFonts w:ascii="Times New Roman" w:eastAsia="宋体" w:hAnsi="Times New Roman" w:cs="宋体"/>
          <w:b/>
          <w:bCs/>
          <w:szCs w:val="21"/>
        </w:rPr>
        <w:t>（</w:t>
      </w:r>
      <w:r w:rsidRPr="00F614F9">
        <w:rPr>
          <w:rFonts w:ascii="Times New Roman" w:eastAsia="宋体" w:hAnsi="Times New Roman" w:cs="宋体"/>
          <w:b/>
          <w:bCs/>
          <w:szCs w:val="21"/>
        </w:rPr>
        <w:t>5</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按欠款方归集的期末余额前五名的应收账款和合同资产情况</w:t>
      </w:r>
      <w:bookmarkEnd w:id="335"/>
    </w:p>
    <w:p w14:paraId="7FECED4B"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1D26E7" w:rsidRPr="00F614F9" w14:paraId="47664A0A"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F5864D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D2132B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DA29F0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2BC54A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E08FEA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A1D76E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应收账款坏账准备和合同资产减值准备期末余额</w:t>
            </w:r>
          </w:p>
        </w:tc>
      </w:tr>
      <w:tr w:rsidR="001D26E7" w:rsidRPr="00F614F9" w14:paraId="6A189612"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A33333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w:t>
            </w:r>
            <w:r w:rsidRPr="00F614F9">
              <w:rPr>
                <w:rFonts w:ascii="Times New Roman" w:eastAsia="宋体" w:hAnsi="Times New Roman" w:cs="宋体"/>
                <w:sz w:val="18"/>
                <w:szCs w:val="18"/>
              </w:rPr>
              <w:t>A</w:t>
            </w:r>
          </w:p>
        </w:tc>
        <w:tc>
          <w:tcPr>
            <w:tcW w:w="1606" w:type="dxa"/>
            <w:tcBorders>
              <w:top w:val="single" w:sz="2" w:space="0" w:color="auto"/>
              <w:left w:val="single" w:sz="2" w:space="0" w:color="auto"/>
              <w:bottom w:val="single" w:sz="2" w:space="0" w:color="auto"/>
              <w:right w:val="single" w:sz="2" w:space="0" w:color="auto"/>
            </w:tcBorders>
            <w:vAlign w:val="center"/>
          </w:tcPr>
          <w:p w14:paraId="594130D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39,350,018.46</w:t>
            </w:r>
          </w:p>
        </w:tc>
        <w:tc>
          <w:tcPr>
            <w:tcW w:w="1606" w:type="dxa"/>
            <w:tcBorders>
              <w:top w:val="single" w:sz="2" w:space="0" w:color="auto"/>
              <w:left w:val="single" w:sz="2" w:space="0" w:color="auto"/>
              <w:bottom w:val="single" w:sz="2" w:space="0" w:color="auto"/>
              <w:right w:val="single" w:sz="2" w:space="0" w:color="auto"/>
            </w:tcBorders>
            <w:vAlign w:val="center"/>
          </w:tcPr>
          <w:p w14:paraId="34FC13E8"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59476A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39,350,018.46</w:t>
            </w:r>
          </w:p>
        </w:tc>
        <w:tc>
          <w:tcPr>
            <w:tcW w:w="1606" w:type="dxa"/>
            <w:tcBorders>
              <w:top w:val="single" w:sz="2" w:space="0" w:color="auto"/>
              <w:left w:val="single" w:sz="2" w:space="0" w:color="auto"/>
              <w:bottom w:val="single" w:sz="2" w:space="0" w:color="auto"/>
              <w:right w:val="single" w:sz="2" w:space="0" w:color="auto"/>
            </w:tcBorders>
            <w:vAlign w:val="center"/>
          </w:tcPr>
          <w:p w14:paraId="6B9900E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7.93%</w:t>
            </w:r>
          </w:p>
        </w:tc>
        <w:tc>
          <w:tcPr>
            <w:tcW w:w="1606" w:type="dxa"/>
            <w:tcBorders>
              <w:top w:val="single" w:sz="2" w:space="0" w:color="auto"/>
              <w:left w:val="single" w:sz="2" w:space="0" w:color="auto"/>
              <w:bottom w:val="single" w:sz="2" w:space="0" w:color="auto"/>
              <w:right w:val="single" w:sz="2" w:space="0" w:color="auto"/>
            </w:tcBorders>
            <w:vAlign w:val="center"/>
          </w:tcPr>
          <w:p w14:paraId="67C4205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885,375.42</w:t>
            </w:r>
          </w:p>
        </w:tc>
      </w:tr>
      <w:tr w:rsidR="001D26E7" w:rsidRPr="00F614F9" w14:paraId="069C375F"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C4217C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w:t>
            </w:r>
            <w:r w:rsidRPr="00F614F9">
              <w:rPr>
                <w:rFonts w:ascii="Times New Roman" w:eastAsia="宋体" w:hAnsi="Times New Roman" w:cs="宋体"/>
                <w:sz w:val="18"/>
                <w:szCs w:val="18"/>
              </w:rPr>
              <w:t>B</w:t>
            </w:r>
          </w:p>
        </w:tc>
        <w:tc>
          <w:tcPr>
            <w:tcW w:w="1606" w:type="dxa"/>
            <w:tcBorders>
              <w:top w:val="single" w:sz="2" w:space="0" w:color="auto"/>
              <w:left w:val="single" w:sz="2" w:space="0" w:color="auto"/>
              <w:bottom w:val="single" w:sz="2" w:space="0" w:color="auto"/>
              <w:right w:val="single" w:sz="2" w:space="0" w:color="auto"/>
            </w:tcBorders>
            <w:vAlign w:val="center"/>
          </w:tcPr>
          <w:p w14:paraId="1E9785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29,361,373.37</w:t>
            </w:r>
          </w:p>
        </w:tc>
        <w:tc>
          <w:tcPr>
            <w:tcW w:w="1606" w:type="dxa"/>
            <w:tcBorders>
              <w:top w:val="single" w:sz="2" w:space="0" w:color="auto"/>
              <w:left w:val="single" w:sz="2" w:space="0" w:color="auto"/>
              <w:bottom w:val="single" w:sz="2" w:space="0" w:color="auto"/>
              <w:right w:val="single" w:sz="2" w:space="0" w:color="auto"/>
            </w:tcBorders>
            <w:vAlign w:val="center"/>
          </w:tcPr>
          <w:p w14:paraId="35F35A77"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3E24BC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29,361,373.37</w:t>
            </w:r>
          </w:p>
        </w:tc>
        <w:tc>
          <w:tcPr>
            <w:tcW w:w="1606" w:type="dxa"/>
            <w:tcBorders>
              <w:top w:val="single" w:sz="2" w:space="0" w:color="auto"/>
              <w:left w:val="single" w:sz="2" w:space="0" w:color="auto"/>
              <w:bottom w:val="single" w:sz="2" w:space="0" w:color="auto"/>
              <w:right w:val="single" w:sz="2" w:space="0" w:color="auto"/>
            </w:tcBorders>
            <w:vAlign w:val="center"/>
          </w:tcPr>
          <w:p w14:paraId="2B8265F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5.92%</w:t>
            </w:r>
          </w:p>
        </w:tc>
        <w:tc>
          <w:tcPr>
            <w:tcW w:w="1606" w:type="dxa"/>
            <w:tcBorders>
              <w:top w:val="single" w:sz="2" w:space="0" w:color="auto"/>
              <w:left w:val="single" w:sz="2" w:space="0" w:color="auto"/>
              <w:bottom w:val="single" w:sz="2" w:space="0" w:color="auto"/>
              <w:right w:val="single" w:sz="2" w:space="0" w:color="auto"/>
            </w:tcBorders>
            <w:vAlign w:val="center"/>
          </w:tcPr>
          <w:p w14:paraId="448D95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798,948.16</w:t>
            </w:r>
          </w:p>
        </w:tc>
      </w:tr>
      <w:tr w:rsidR="001D26E7" w:rsidRPr="00F614F9" w14:paraId="31E2358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204DF9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w:t>
            </w:r>
            <w:r w:rsidRPr="00F614F9">
              <w:rPr>
                <w:rFonts w:ascii="Times New Roman" w:eastAsia="宋体" w:hAnsi="Times New Roman" w:cs="宋体"/>
                <w:sz w:val="18"/>
                <w:szCs w:val="18"/>
              </w:rPr>
              <w:t>C</w:t>
            </w:r>
          </w:p>
        </w:tc>
        <w:tc>
          <w:tcPr>
            <w:tcW w:w="1606" w:type="dxa"/>
            <w:tcBorders>
              <w:top w:val="single" w:sz="2" w:space="0" w:color="auto"/>
              <w:left w:val="single" w:sz="2" w:space="0" w:color="auto"/>
              <w:bottom w:val="single" w:sz="2" w:space="0" w:color="auto"/>
              <w:right w:val="single" w:sz="2" w:space="0" w:color="auto"/>
            </w:tcBorders>
            <w:vAlign w:val="center"/>
          </w:tcPr>
          <w:p w14:paraId="0002D13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27,426,911.94</w:t>
            </w:r>
          </w:p>
        </w:tc>
        <w:tc>
          <w:tcPr>
            <w:tcW w:w="1606" w:type="dxa"/>
            <w:tcBorders>
              <w:top w:val="single" w:sz="2" w:space="0" w:color="auto"/>
              <w:left w:val="single" w:sz="2" w:space="0" w:color="auto"/>
              <w:bottom w:val="single" w:sz="2" w:space="0" w:color="auto"/>
              <w:right w:val="single" w:sz="2" w:space="0" w:color="auto"/>
            </w:tcBorders>
            <w:vAlign w:val="center"/>
          </w:tcPr>
          <w:p w14:paraId="0721F724"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D12DBB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27,426,911.94</w:t>
            </w:r>
          </w:p>
        </w:tc>
        <w:tc>
          <w:tcPr>
            <w:tcW w:w="1606" w:type="dxa"/>
            <w:tcBorders>
              <w:top w:val="single" w:sz="2" w:space="0" w:color="auto"/>
              <w:left w:val="single" w:sz="2" w:space="0" w:color="auto"/>
              <w:bottom w:val="single" w:sz="2" w:space="0" w:color="auto"/>
              <w:right w:val="single" w:sz="2" w:space="0" w:color="auto"/>
            </w:tcBorders>
            <w:vAlign w:val="center"/>
          </w:tcPr>
          <w:p w14:paraId="17841FF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5.53%</w:t>
            </w:r>
          </w:p>
        </w:tc>
        <w:tc>
          <w:tcPr>
            <w:tcW w:w="1606" w:type="dxa"/>
            <w:tcBorders>
              <w:top w:val="single" w:sz="2" w:space="0" w:color="auto"/>
              <w:left w:val="single" w:sz="2" w:space="0" w:color="auto"/>
              <w:bottom w:val="single" w:sz="2" w:space="0" w:color="auto"/>
              <w:right w:val="single" w:sz="2" w:space="0" w:color="auto"/>
            </w:tcBorders>
            <w:vAlign w:val="center"/>
          </w:tcPr>
          <w:p w14:paraId="42CC479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6,856,727.99</w:t>
            </w:r>
          </w:p>
        </w:tc>
      </w:tr>
      <w:tr w:rsidR="001D26E7" w:rsidRPr="00F614F9" w14:paraId="00B185C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E2D650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w:t>
            </w:r>
            <w:r w:rsidRPr="00F614F9">
              <w:rPr>
                <w:rFonts w:ascii="Times New Roman" w:eastAsia="宋体" w:hAnsi="Times New Roman" w:cs="宋体"/>
                <w:sz w:val="18"/>
                <w:szCs w:val="18"/>
              </w:rPr>
              <w:t>D</w:t>
            </w:r>
          </w:p>
        </w:tc>
        <w:tc>
          <w:tcPr>
            <w:tcW w:w="1606" w:type="dxa"/>
            <w:tcBorders>
              <w:top w:val="single" w:sz="2" w:space="0" w:color="auto"/>
              <w:left w:val="single" w:sz="2" w:space="0" w:color="auto"/>
              <w:bottom w:val="single" w:sz="2" w:space="0" w:color="auto"/>
              <w:right w:val="single" w:sz="2" w:space="0" w:color="auto"/>
            </w:tcBorders>
            <w:vAlign w:val="center"/>
          </w:tcPr>
          <w:p w14:paraId="3E8A5CB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24,297,587.50</w:t>
            </w:r>
          </w:p>
        </w:tc>
        <w:tc>
          <w:tcPr>
            <w:tcW w:w="1606" w:type="dxa"/>
            <w:tcBorders>
              <w:top w:val="single" w:sz="2" w:space="0" w:color="auto"/>
              <w:left w:val="single" w:sz="2" w:space="0" w:color="auto"/>
              <w:bottom w:val="single" w:sz="2" w:space="0" w:color="auto"/>
              <w:right w:val="single" w:sz="2" w:space="0" w:color="auto"/>
            </w:tcBorders>
            <w:vAlign w:val="center"/>
          </w:tcPr>
          <w:p w14:paraId="5D14C7A1"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13B46D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24,297,587.50</w:t>
            </w:r>
          </w:p>
        </w:tc>
        <w:tc>
          <w:tcPr>
            <w:tcW w:w="1606" w:type="dxa"/>
            <w:tcBorders>
              <w:top w:val="single" w:sz="2" w:space="0" w:color="auto"/>
              <w:left w:val="single" w:sz="2" w:space="0" w:color="auto"/>
              <w:bottom w:val="single" w:sz="2" w:space="0" w:color="auto"/>
              <w:right w:val="single" w:sz="2" w:space="0" w:color="auto"/>
            </w:tcBorders>
            <w:vAlign w:val="center"/>
          </w:tcPr>
          <w:p w14:paraId="5A18F69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4.90%</w:t>
            </w:r>
          </w:p>
        </w:tc>
        <w:tc>
          <w:tcPr>
            <w:tcW w:w="1606" w:type="dxa"/>
            <w:tcBorders>
              <w:top w:val="single" w:sz="2" w:space="0" w:color="auto"/>
              <w:left w:val="single" w:sz="2" w:space="0" w:color="auto"/>
              <w:bottom w:val="single" w:sz="2" w:space="0" w:color="auto"/>
              <w:right w:val="single" w:sz="2" w:space="0" w:color="auto"/>
            </w:tcBorders>
            <w:vAlign w:val="center"/>
          </w:tcPr>
          <w:p w14:paraId="0AB945A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546,695.72</w:t>
            </w:r>
          </w:p>
        </w:tc>
      </w:tr>
      <w:tr w:rsidR="001D26E7" w:rsidRPr="00F614F9" w14:paraId="15B04EE3"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56553D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w:t>
            </w:r>
            <w:r w:rsidRPr="00F614F9">
              <w:rPr>
                <w:rFonts w:ascii="Times New Roman" w:eastAsia="宋体" w:hAnsi="Times New Roman" w:cs="宋体"/>
                <w:sz w:val="18"/>
                <w:szCs w:val="18"/>
              </w:rPr>
              <w:t>E</w:t>
            </w:r>
          </w:p>
        </w:tc>
        <w:tc>
          <w:tcPr>
            <w:tcW w:w="1606" w:type="dxa"/>
            <w:tcBorders>
              <w:top w:val="single" w:sz="2" w:space="0" w:color="auto"/>
              <w:left w:val="single" w:sz="2" w:space="0" w:color="auto"/>
              <w:bottom w:val="single" w:sz="2" w:space="0" w:color="auto"/>
              <w:right w:val="single" w:sz="2" w:space="0" w:color="auto"/>
            </w:tcBorders>
            <w:vAlign w:val="center"/>
          </w:tcPr>
          <w:p w14:paraId="0B4F572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21,697,295.08</w:t>
            </w:r>
          </w:p>
        </w:tc>
        <w:tc>
          <w:tcPr>
            <w:tcW w:w="1606" w:type="dxa"/>
            <w:tcBorders>
              <w:top w:val="single" w:sz="2" w:space="0" w:color="auto"/>
              <w:left w:val="single" w:sz="2" w:space="0" w:color="auto"/>
              <w:bottom w:val="single" w:sz="2" w:space="0" w:color="auto"/>
              <w:right w:val="single" w:sz="2" w:space="0" w:color="auto"/>
            </w:tcBorders>
            <w:vAlign w:val="center"/>
          </w:tcPr>
          <w:p w14:paraId="7DD00B06"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143CF6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21,697,295.08</w:t>
            </w:r>
          </w:p>
        </w:tc>
        <w:tc>
          <w:tcPr>
            <w:tcW w:w="1606" w:type="dxa"/>
            <w:tcBorders>
              <w:top w:val="single" w:sz="2" w:space="0" w:color="auto"/>
              <w:left w:val="single" w:sz="2" w:space="0" w:color="auto"/>
              <w:bottom w:val="single" w:sz="2" w:space="0" w:color="auto"/>
              <w:right w:val="single" w:sz="2" w:space="0" w:color="auto"/>
            </w:tcBorders>
            <w:vAlign w:val="center"/>
          </w:tcPr>
          <w:p w14:paraId="1179785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4.37%</w:t>
            </w:r>
          </w:p>
        </w:tc>
        <w:tc>
          <w:tcPr>
            <w:tcW w:w="1606" w:type="dxa"/>
            <w:tcBorders>
              <w:top w:val="single" w:sz="2" w:space="0" w:color="auto"/>
              <w:left w:val="single" w:sz="2" w:space="0" w:color="auto"/>
              <w:bottom w:val="single" w:sz="2" w:space="0" w:color="auto"/>
              <w:right w:val="single" w:sz="2" w:space="0" w:color="auto"/>
            </w:tcBorders>
            <w:vAlign w:val="center"/>
          </w:tcPr>
          <w:p w14:paraId="7C098E9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488,189.14</w:t>
            </w:r>
          </w:p>
        </w:tc>
      </w:tr>
      <w:tr w:rsidR="001D26E7" w:rsidRPr="00F614F9" w14:paraId="296FE057"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7CF231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合计</w:t>
            </w:r>
          </w:p>
        </w:tc>
        <w:tc>
          <w:tcPr>
            <w:tcW w:w="1606" w:type="dxa"/>
            <w:tcBorders>
              <w:top w:val="single" w:sz="2" w:space="0" w:color="auto"/>
              <w:left w:val="single" w:sz="2" w:space="0" w:color="auto"/>
              <w:bottom w:val="single" w:sz="2" w:space="0" w:color="auto"/>
              <w:right w:val="single" w:sz="2" w:space="0" w:color="auto"/>
            </w:tcBorders>
            <w:vAlign w:val="center"/>
          </w:tcPr>
          <w:p w14:paraId="508143C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142,133,186.35</w:t>
            </w:r>
          </w:p>
        </w:tc>
        <w:tc>
          <w:tcPr>
            <w:tcW w:w="1606" w:type="dxa"/>
            <w:tcBorders>
              <w:top w:val="single" w:sz="2" w:space="0" w:color="auto"/>
              <w:left w:val="single" w:sz="2" w:space="0" w:color="auto"/>
              <w:bottom w:val="single" w:sz="2" w:space="0" w:color="auto"/>
              <w:right w:val="single" w:sz="2" w:space="0" w:color="auto"/>
            </w:tcBorders>
            <w:vAlign w:val="center"/>
          </w:tcPr>
          <w:p w14:paraId="0A111144"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BD0227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142,133,186.35</w:t>
            </w:r>
          </w:p>
        </w:tc>
        <w:tc>
          <w:tcPr>
            <w:tcW w:w="1606" w:type="dxa"/>
            <w:tcBorders>
              <w:top w:val="single" w:sz="2" w:space="0" w:color="auto"/>
              <w:left w:val="single" w:sz="2" w:space="0" w:color="auto"/>
              <w:bottom w:val="single" w:sz="2" w:space="0" w:color="auto"/>
              <w:right w:val="single" w:sz="2" w:space="0" w:color="auto"/>
            </w:tcBorders>
            <w:vAlign w:val="center"/>
          </w:tcPr>
          <w:p w14:paraId="0AC7E58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28.65%</w:t>
            </w:r>
          </w:p>
        </w:tc>
        <w:tc>
          <w:tcPr>
            <w:tcW w:w="1606" w:type="dxa"/>
            <w:tcBorders>
              <w:top w:val="single" w:sz="2" w:space="0" w:color="auto"/>
              <w:left w:val="single" w:sz="2" w:space="0" w:color="auto"/>
              <w:bottom w:val="single" w:sz="2" w:space="0" w:color="auto"/>
              <w:right w:val="single" w:sz="2" w:space="0" w:color="auto"/>
            </w:tcBorders>
            <w:vAlign w:val="center"/>
          </w:tcPr>
          <w:p w14:paraId="31BC8CB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9,575,936.43</w:t>
            </w:r>
          </w:p>
        </w:tc>
      </w:tr>
    </w:tbl>
    <w:p w14:paraId="43FE2D7E" w14:textId="77777777" w:rsidR="001D26E7" w:rsidRPr="00F614F9" w:rsidRDefault="00000000">
      <w:pPr>
        <w:pStyle w:val="3"/>
        <w:spacing w:line="280" w:lineRule="exact"/>
        <w:jc w:val="left"/>
        <w:rPr>
          <w:rFonts w:ascii="Times New Roman" w:hAnsi="Times New Roman" w:cs="宋体"/>
          <w:b/>
          <w:bCs/>
        </w:rPr>
      </w:pPr>
      <w:bookmarkStart w:id="336" w:name="_Toc989145"/>
      <w:r w:rsidRPr="00F614F9">
        <w:rPr>
          <w:rFonts w:ascii="Times New Roman" w:hAnsi="Times New Roman" w:cs="宋体"/>
          <w:b/>
          <w:bCs/>
        </w:rPr>
        <w:t>6</w:t>
      </w:r>
      <w:r w:rsidRPr="00F614F9">
        <w:rPr>
          <w:rFonts w:ascii="Times New Roman" w:hAnsi="Times New Roman" w:cs="宋体"/>
          <w:b/>
          <w:bCs/>
        </w:rPr>
        <w:t>、合同资产</w:t>
      </w:r>
      <w:bookmarkEnd w:id="336"/>
    </w:p>
    <w:p w14:paraId="092403FB" w14:textId="77777777" w:rsidR="00872599" w:rsidRPr="00F614F9" w:rsidRDefault="00000000">
      <w:pPr>
        <w:pStyle w:val="a3"/>
        <w:divId w:val="936519770"/>
        <w:rPr>
          <w:rFonts w:ascii="Times New Roman" w:hAnsi="Times New Roman"/>
          <w:sz w:val="18"/>
          <w:szCs w:val="18"/>
        </w:rPr>
      </w:pPr>
      <w:r w:rsidRPr="00F614F9">
        <w:rPr>
          <w:rFonts w:ascii="Times New Roman" w:hAnsi="Times New Roman" w:hint="eastAsia"/>
          <w:sz w:val="18"/>
          <w:szCs w:val="18"/>
        </w:rPr>
        <w:t>无</w:t>
      </w:r>
    </w:p>
    <w:p w14:paraId="45B9796B" w14:textId="77777777" w:rsidR="001D26E7" w:rsidRPr="00F614F9" w:rsidRDefault="00000000">
      <w:pPr>
        <w:pStyle w:val="3"/>
        <w:spacing w:line="280" w:lineRule="exact"/>
        <w:jc w:val="left"/>
        <w:rPr>
          <w:rFonts w:ascii="Times New Roman" w:hAnsi="Times New Roman" w:cs="宋体"/>
          <w:b/>
          <w:bCs/>
        </w:rPr>
      </w:pPr>
      <w:bookmarkStart w:id="337" w:name="_Toc989151"/>
      <w:r w:rsidRPr="00F614F9">
        <w:rPr>
          <w:rFonts w:ascii="Times New Roman" w:hAnsi="Times New Roman" w:cs="宋体"/>
          <w:b/>
          <w:bCs/>
        </w:rPr>
        <w:t>7</w:t>
      </w:r>
      <w:r w:rsidRPr="00F614F9">
        <w:rPr>
          <w:rFonts w:ascii="Times New Roman" w:hAnsi="Times New Roman" w:cs="宋体"/>
          <w:b/>
          <w:bCs/>
        </w:rPr>
        <w:t>、应收款项融资</w:t>
      </w:r>
      <w:bookmarkEnd w:id="337"/>
    </w:p>
    <w:p w14:paraId="7773D16A" w14:textId="77777777" w:rsidR="00872599" w:rsidRPr="00F614F9" w:rsidRDefault="00000000">
      <w:pPr>
        <w:pStyle w:val="a3"/>
        <w:divId w:val="360907225"/>
        <w:rPr>
          <w:rFonts w:ascii="Times New Roman" w:hAnsi="Times New Roman"/>
          <w:sz w:val="18"/>
          <w:szCs w:val="18"/>
        </w:rPr>
      </w:pPr>
      <w:r w:rsidRPr="00F614F9">
        <w:rPr>
          <w:rFonts w:ascii="Times New Roman" w:hAnsi="Times New Roman" w:hint="eastAsia"/>
          <w:sz w:val="18"/>
          <w:szCs w:val="18"/>
        </w:rPr>
        <w:t>无</w:t>
      </w:r>
    </w:p>
    <w:p w14:paraId="3135BDA7" w14:textId="77777777" w:rsidR="001D26E7" w:rsidRPr="00F614F9" w:rsidRDefault="00000000">
      <w:pPr>
        <w:pStyle w:val="3"/>
        <w:spacing w:line="280" w:lineRule="exact"/>
        <w:jc w:val="left"/>
        <w:rPr>
          <w:rFonts w:ascii="Times New Roman" w:hAnsi="Times New Roman" w:cs="宋体"/>
          <w:b/>
          <w:bCs/>
        </w:rPr>
      </w:pPr>
      <w:bookmarkStart w:id="338" w:name="_Toc989160"/>
      <w:r w:rsidRPr="00F614F9">
        <w:rPr>
          <w:rFonts w:ascii="Times New Roman" w:hAnsi="Times New Roman" w:cs="宋体"/>
          <w:b/>
          <w:bCs/>
        </w:rPr>
        <w:t>8</w:t>
      </w:r>
      <w:r w:rsidRPr="00F614F9">
        <w:rPr>
          <w:rFonts w:ascii="Times New Roman" w:hAnsi="Times New Roman" w:cs="宋体"/>
          <w:b/>
          <w:bCs/>
        </w:rPr>
        <w:t>、其他应收款</w:t>
      </w:r>
      <w:bookmarkEnd w:id="338"/>
    </w:p>
    <w:p w14:paraId="75B98A1A"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15F46E9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F410D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37CD3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C8BC8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49029D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42720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591CC5E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44,828,566.76</w:t>
            </w:r>
          </w:p>
        </w:tc>
        <w:tc>
          <w:tcPr>
            <w:tcW w:w="3213" w:type="dxa"/>
            <w:tcBorders>
              <w:top w:val="single" w:sz="2" w:space="0" w:color="auto"/>
              <w:left w:val="single" w:sz="2" w:space="0" w:color="auto"/>
              <w:bottom w:val="single" w:sz="2" w:space="0" w:color="auto"/>
              <w:right w:val="single" w:sz="2" w:space="0" w:color="auto"/>
            </w:tcBorders>
            <w:vAlign w:val="center"/>
          </w:tcPr>
          <w:p w14:paraId="3FE1804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66,688,523.57</w:t>
            </w:r>
          </w:p>
        </w:tc>
      </w:tr>
      <w:tr w:rsidR="001D26E7" w:rsidRPr="00F614F9" w14:paraId="0E1E646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6F66C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0C7AAC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44,828,566.76</w:t>
            </w:r>
          </w:p>
        </w:tc>
        <w:tc>
          <w:tcPr>
            <w:tcW w:w="3213" w:type="dxa"/>
            <w:tcBorders>
              <w:top w:val="single" w:sz="2" w:space="0" w:color="auto"/>
              <w:left w:val="single" w:sz="2" w:space="0" w:color="auto"/>
              <w:bottom w:val="single" w:sz="2" w:space="0" w:color="auto"/>
              <w:right w:val="single" w:sz="2" w:space="0" w:color="auto"/>
            </w:tcBorders>
            <w:vAlign w:val="center"/>
          </w:tcPr>
          <w:p w14:paraId="46F05CA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66,688,523.57</w:t>
            </w:r>
          </w:p>
        </w:tc>
      </w:tr>
    </w:tbl>
    <w:p w14:paraId="3EFDB98D"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39" w:name="_Toc989161"/>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应收利息</w:t>
      </w:r>
      <w:bookmarkEnd w:id="339"/>
    </w:p>
    <w:p w14:paraId="26C427AC" w14:textId="77777777" w:rsidR="001D26E7" w:rsidRPr="00F614F9" w:rsidRDefault="00000000">
      <w:pPr>
        <w:keepNext/>
        <w:keepLines/>
        <w:spacing w:before="300" w:after="300" w:line="280" w:lineRule="exact"/>
        <w:outlineLvl w:val="4"/>
        <w:rPr>
          <w:rFonts w:ascii="Times New Roman" w:eastAsia="宋体" w:hAnsi="Times New Roman" w:cs="宋体"/>
          <w:b/>
          <w:bCs/>
          <w:szCs w:val="21"/>
        </w:rPr>
      </w:pPr>
      <w:bookmarkStart w:id="340" w:name="_Toc989162"/>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应收利息分类</w:t>
      </w:r>
      <w:bookmarkEnd w:id="340"/>
    </w:p>
    <w:p w14:paraId="4E32B5F8" w14:textId="77777777" w:rsidR="001D26E7" w:rsidRPr="00F614F9" w:rsidRDefault="00977E90" w:rsidP="00977E9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hint="eastAsia"/>
          <w:sz w:val="18"/>
          <w:szCs w:val="18"/>
        </w:rPr>
        <w:t>无</w:t>
      </w:r>
    </w:p>
    <w:p w14:paraId="0A7BC5B0" w14:textId="77777777" w:rsidR="001D26E7" w:rsidRPr="00F614F9" w:rsidRDefault="00000000">
      <w:pPr>
        <w:keepNext/>
        <w:keepLines/>
        <w:spacing w:before="300" w:after="300" w:line="280" w:lineRule="exact"/>
        <w:outlineLvl w:val="4"/>
        <w:rPr>
          <w:rFonts w:ascii="Times New Roman" w:eastAsia="宋体" w:hAnsi="Times New Roman" w:cs="宋体"/>
          <w:b/>
          <w:bCs/>
          <w:szCs w:val="21"/>
        </w:rPr>
      </w:pPr>
      <w:bookmarkStart w:id="341" w:name="_Toc989163"/>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重要逾期利息</w:t>
      </w:r>
      <w:bookmarkEnd w:id="341"/>
    </w:p>
    <w:p w14:paraId="495B9534" w14:textId="77777777" w:rsidR="00872599" w:rsidRPr="00F614F9" w:rsidRDefault="00000000">
      <w:pPr>
        <w:pStyle w:val="a3"/>
        <w:divId w:val="1474564229"/>
        <w:rPr>
          <w:rFonts w:ascii="Times New Roman" w:hAnsi="Times New Roman"/>
          <w:sz w:val="18"/>
          <w:szCs w:val="18"/>
        </w:rPr>
      </w:pPr>
      <w:r w:rsidRPr="00F614F9">
        <w:rPr>
          <w:rFonts w:ascii="Times New Roman" w:hAnsi="Times New Roman" w:hint="eastAsia"/>
          <w:sz w:val="18"/>
          <w:szCs w:val="18"/>
        </w:rPr>
        <w:t>无</w:t>
      </w:r>
    </w:p>
    <w:p w14:paraId="5977C26E" w14:textId="77777777" w:rsidR="001D26E7" w:rsidRPr="00F614F9" w:rsidRDefault="00000000">
      <w:pPr>
        <w:keepNext/>
        <w:keepLines/>
        <w:spacing w:before="300" w:after="300" w:line="280" w:lineRule="exact"/>
        <w:outlineLvl w:val="4"/>
        <w:rPr>
          <w:rFonts w:ascii="Times New Roman" w:eastAsia="宋体" w:hAnsi="Times New Roman" w:cs="宋体"/>
          <w:b/>
          <w:bCs/>
          <w:szCs w:val="21"/>
        </w:rPr>
      </w:pPr>
      <w:bookmarkStart w:id="342" w:name="_Toc989164"/>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按坏账计提方法分类披露</w:t>
      </w:r>
      <w:bookmarkEnd w:id="342"/>
    </w:p>
    <w:p w14:paraId="626AEE4B" w14:textId="77777777" w:rsidR="001D26E7" w:rsidRPr="00F614F9" w:rsidRDefault="00000000">
      <w:pPr>
        <w:spacing w:before="40" w:after="4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3B44A882" w14:textId="77777777" w:rsidR="001D26E7" w:rsidRPr="00F614F9" w:rsidRDefault="00000000">
      <w:pPr>
        <w:keepNext/>
        <w:keepLines/>
        <w:spacing w:before="300" w:after="300" w:line="280" w:lineRule="exact"/>
        <w:outlineLvl w:val="4"/>
        <w:rPr>
          <w:rFonts w:ascii="Times New Roman" w:eastAsia="宋体" w:hAnsi="Times New Roman" w:cs="宋体"/>
          <w:b/>
          <w:bCs/>
          <w:sz w:val="18"/>
          <w:szCs w:val="18"/>
        </w:rPr>
      </w:pPr>
      <w:bookmarkStart w:id="343" w:name="_Toc989165"/>
      <w:r w:rsidRPr="00F614F9">
        <w:rPr>
          <w:rFonts w:ascii="Times New Roman" w:eastAsia="宋体" w:hAnsi="Times New Roman" w:cs="宋体"/>
          <w:b/>
          <w:bCs/>
          <w:sz w:val="18"/>
          <w:szCs w:val="18"/>
        </w:rPr>
        <w:t>4</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本期计提、收回或转回的坏账准备的情况</w:t>
      </w:r>
      <w:bookmarkEnd w:id="343"/>
    </w:p>
    <w:p w14:paraId="54016754" w14:textId="77777777" w:rsidR="00872599" w:rsidRPr="00F614F9" w:rsidRDefault="00000000">
      <w:pPr>
        <w:pStyle w:val="a3"/>
        <w:divId w:val="385296277"/>
        <w:rPr>
          <w:rFonts w:ascii="Times New Roman" w:hAnsi="Times New Roman"/>
          <w:sz w:val="18"/>
          <w:szCs w:val="18"/>
        </w:rPr>
      </w:pPr>
      <w:r w:rsidRPr="00F614F9">
        <w:rPr>
          <w:rFonts w:ascii="Times New Roman" w:hAnsi="Times New Roman" w:hint="eastAsia"/>
          <w:sz w:val="18"/>
          <w:szCs w:val="18"/>
        </w:rPr>
        <w:t>无</w:t>
      </w:r>
    </w:p>
    <w:p w14:paraId="54E5F521" w14:textId="77777777" w:rsidR="001D26E7" w:rsidRPr="00F614F9" w:rsidRDefault="00000000">
      <w:pPr>
        <w:keepNext/>
        <w:keepLines/>
        <w:spacing w:before="300" w:after="300" w:line="280" w:lineRule="exact"/>
        <w:outlineLvl w:val="4"/>
        <w:rPr>
          <w:rFonts w:ascii="Times New Roman" w:eastAsia="宋体" w:hAnsi="Times New Roman" w:cs="宋体"/>
          <w:b/>
          <w:bCs/>
          <w:sz w:val="18"/>
          <w:szCs w:val="18"/>
        </w:rPr>
      </w:pPr>
      <w:bookmarkStart w:id="344" w:name="_Toc989166"/>
      <w:r w:rsidRPr="00F614F9">
        <w:rPr>
          <w:rFonts w:ascii="Times New Roman" w:eastAsia="宋体" w:hAnsi="Times New Roman" w:cs="宋体"/>
          <w:b/>
          <w:bCs/>
          <w:sz w:val="18"/>
          <w:szCs w:val="18"/>
        </w:rPr>
        <w:t>5</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本期实际核销的应收利息情况</w:t>
      </w:r>
      <w:bookmarkEnd w:id="344"/>
    </w:p>
    <w:p w14:paraId="14F9D73F" w14:textId="77777777" w:rsidR="00872599" w:rsidRPr="00F614F9" w:rsidRDefault="00000000">
      <w:pPr>
        <w:pStyle w:val="a3"/>
        <w:divId w:val="1952085400"/>
        <w:rPr>
          <w:rFonts w:ascii="Times New Roman" w:hAnsi="Times New Roman"/>
          <w:sz w:val="18"/>
          <w:szCs w:val="18"/>
        </w:rPr>
      </w:pPr>
      <w:r w:rsidRPr="00F614F9">
        <w:rPr>
          <w:rFonts w:ascii="Times New Roman" w:hAnsi="Times New Roman" w:hint="eastAsia"/>
          <w:sz w:val="18"/>
          <w:szCs w:val="18"/>
        </w:rPr>
        <w:t>无</w:t>
      </w:r>
    </w:p>
    <w:p w14:paraId="4FC340B6"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45" w:name="_Toc989167"/>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应收股利</w:t>
      </w:r>
      <w:bookmarkEnd w:id="345"/>
    </w:p>
    <w:p w14:paraId="10966222" w14:textId="77777777" w:rsidR="001D26E7" w:rsidRPr="00F614F9" w:rsidRDefault="00000000">
      <w:pPr>
        <w:keepNext/>
        <w:keepLines/>
        <w:spacing w:before="300" w:after="300" w:line="280" w:lineRule="exact"/>
        <w:outlineLvl w:val="4"/>
        <w:rPr>
          <w:rFonts w:ascii="Times New Roman" w:eastAsia="宋体" w:hAnsi="Times New Roman" w:cs="宋体"/>
          <w:b/>
          <w:bCs/>
          <w:szCs w:val="21"/>
        </w:rPr>
      </w:pPr>
      <w:bookmarkStart w:id="346" w:name="_Toc989168"/>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应收股利分类</w:t>
      </w:r>
      <w:bookmarkEnd w:id="346"/>
    </w:p>
    <w:p w14:paraId="743F67EC" w14:textId="77777777" w:rsidR="001D26E7" w:rsidRPr="00F614F9" w:rsidRDefault="00977E90" w:rsidP="00977E9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hint="eastAsia"/>
          <w:sz w:val="18"/>
          <w:szCs w:val="18"/>
        </w:rPr>
        <w:t>无</w:t>
      </w:r>
    </w:p>
    <w:p w14:paraId="3F82C411" w14:textId="77777777" w:rsidR="001D26E7" w:rsidRPr="00F614F9" w:rsidRDefault="00000000">
      <w:pPr>
        <w:keepNext/>
        <w:keepLines/>
        <w:spacing w:before="300" w:after="300" w:line="280" w:lineRule="exact"/>
        <w:outlineLvl w:val="4"/>
        <w:rPr>
          <w:rFonts w:ascii="Times New Roman" w:eastAsia="宋体" w:hAnsi="Times New Roman" w:cs="宋体"/>
          <w:b/>
          <w:bCs/>
          <w:szCs w:val="21"/>
        </w:rPr>
      </w:pPr>
      <w:bookmarkStart w:id="347" w:name="_Toc989169"/>
      <w:r w:rsidRPr="00F614F9">
        <w:rPr>
          <w:rFonts w:ascii="Times New Roman" w:eastAsia="宋体" w:hAnsi="Times New Roman" w:cs="宋体"/>
          <w:b/>
          <w:bCs/>
          <w:szCs w:val="21"/>
        </w:rPr>
        <w:lastRenderedPageBreak/>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重要的账龄超过</w:t>
      </w:r>
      <w:r w:rsidRPr="00F614F9">
        <w:rPr>
          <w:rFonts w:ascii="Times New Roman" w:eastAsia="宋体" w:hAnsi="Times New Roman" w:cs="宋体"/>
          <w:b/>
          <w:bCs/>
          <w:szCs w:val="21"/>
        </w:rPr>
        <w:t>1</w:t>
      </w:r>
      <w:r w:rsidRPr="00F614F9">
        <w:rPr>
          <w:rFonts w:ascii="Times New Roman" w:eastAsia="宋体" w:hAnsi="Times New Roman" w:cs="宋体"/>
          <w:b/>
          <w:bCs/>
          <w:szCs w:val="21"/>
        </w:rPr>
        <w:t>年的应收股利</w:t>
      </w:r>
      <w:bookmarkEnd w:id="347"/>
    </w:p>
    <w:p w14:paraId="16A8996B" w14:textId="77777777" w:rsidR="00977E90" w:rsidRPr="00F614F9" w:rsidRDefault="00977E90" w:rsidP="00977E9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hint="eastAsia"/>
          <w:sz w:val="18"/>
          <w:szCs w:val="18"/>
        </w:rPr>
        <w:t>无</w:t>
      </w:r>
    </w:p>
    <w:p w14:paraId="5D125E28" w14:textId="77777777" w:rsidR="001D26E7" w:rsidRPr="00F614F9" w:rsidRDefault="00000000">
      <w:pPr>
        <w:keepNext/>
        <w:keepLines/>
        <w:spacing w:before="300" w:after="300" w:line="280" w:lineRule="exact"/>
        <w:outlineLvl w:val="4"/>
        <w:rPr>
          <w:rFonts w:ascii="Times New Roman" w:eastAsia="宋体" w:hAnsi="Times New Roman" w:cs="宋体"/>
          <w:b/>
          <w:bCs/>
          <w:szCs w:val="21"/>
        </w:rPr>
      </w:pPr>
      <w:bookmarkStart w:id="348" w:name="_Toc989170"/>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按坏账计提方法分类披露</w:t>
      </w:r>
      <w:bookmarkEnd w:id="348"/>
    </w:p>
    <w:p w14:paraId="24B31EE4"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06B4DC0F" w14:textId="77777777" w:rsidR="001D26E7" w:rsidRPr="00F614F9" w:rsidRDefault="00000000">
      <w:pPr>
        <w:keepNext/>
        <w:keepLines/>
        <w:spacing w:before="300" w:after="300" w:line="280" w:lineRule="exact"/>
        <w:outlineLvl w:val="4"/>
        <w:rPr>
          <w:rFonts w:ascii="Times New Roman" w:eastAsia="宋体" w:hAnsi="Times New Roman" w:cs="宋体"/>
          <w:b/>
          <w:bCs/>
          <w:szCs w:val="21"/>
        </w:rPr>
      </w:pPr>
      <w:bookmarkStart w:id="349" w:name="_Toc989171"/>
      <w:r w:rsidRPr="00F614F9">
        <w:rPr>
          <w:rFonts w:ascii="Times New Roman" w:eastAsia="宋体" w:hAnsi="Times New Roman" w:cs="宋体"/>
          <w:b/>
          <w:bCs/>
          <w:szCs w:val="21"/>
        </w:rPr>
        <w:t>4</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本期计提、收回或转回的坏账准备的情况</w:t>
      </w:r>
      <w:bookmarkEnd w:id="349"/>
    </w:p>
    <w:p w14:paraId="636AED02" w14:textId="77777777" w:rsidR="00872599" w:rsidRPr="00F614F9" w:rsidRDefault="00000000">
      <w:pPr>
        <w:pStyle w:val="a3"/>
        <w:divId w:val="1520239509"/>
        <w:rPr>
          <w:rFonts w:ascii="Times New Roman" w:hAnsi="Times New Roman"/>
          <w:sz w:val="18"/>
          <w:szCs w:val="18"/>
        </w:rPr>
      </w:pPr>
      <w:r w:rsidRPr="00F614F9">
        <w:rPr>
          <w:rFonts w:ascii="Times New Roman" w:hAnsi="Times New Roman" w:hint="eastAsia"/>
          <w:sz w:val="18"/>
          <w:szCs w:val="18"/>
        </w:rPr>
        <w:t>无</w:t>
      </w:r>
    </w:p>
    <w:p w14:paraId="18136376" w14:textId="77777777" w:rsidR="001D26E7" w:rsidRPr="00F614F9" w:rsidRDefault="00000000">
      <w:pPr>
        <w:keepNext/>
        <w:keepLines/>
        <w:spacing w:before="300" w:after="300" w:line="280" w:lineRule="exact"/>
        <w:outlineLvl w:val="4"/>
        <w:rPr>
          <w:rFonts w:ascii="Times New Roman" w:eastAsia="宋体" w:hAnsi="Times New Roman" w:cs="宋体"/>
          <w:b/>
          <w:bCs/>
          <w:szCs w:val="21"/>
        </w:rPr>
      </w:pPr>
      <w:bookmarkStart w:id="350" w:name="_Toc989172"/>
      <w:r w:rsidRPr="00F614F9">
        <w:rPr>
          <w:rFonts w:ascii="Times New Roman" w:eastAsia="宋体" w:hAnsi="Times New Roman" w:cs="宋体"/>
          <w:b/>
          <w:bCs/>
          <w:szCs w:val="21"/>
        </w:rPr>
        <w:t>5</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本期实际核销的应收股利情况</w:t>
      </w:r>
      <w:bookmarkEnd w:id="350"/>
    </w:p>
    <w:p w14:paraId="3ADB5167" w14:textId="77777777" w:rsidR="00872599" w:rsidRPr="00F614F9" w:rsidRDefault="00000000">
      <w:pPr>
        <w:pStyle w:val="a3"/>
        <w:divId w:val="1221675348"/>
        <w:rPr>
          <w:rFonts w:ascii="Times New Roman" w:hAnsi="Times New Roman"/>
          <w:sz w:val="18"/>
          <w:szCs w:val="18"/>
        </w:rPr>
      </w:pPr>
      <w:r w:rsidRPr="00F614F9">
        <w:rPr>
          <w:rFonts w:ascii="Times New Roman" w:hAnsi="Times New Roman" w:hint="eastAsia"/>
          <w:sz w:val="18"/>
          <w:szCs w:val="18"/>
        </w:rPr>
        <w:t>无</w:t>
      </w:r>
    </w:p>
    <w:p w14:paraId="0ACEA45A"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51" w:name="_Toc989173"/>
      <w:r w:rsidRPr="00F614F9">
        <w:rPr>
          <w:rFonts w:ascii="Times New Roman" w:eastAsia="宋体" w:hAnsi="Times New Roman" w:cs="宋体"/>
          <w:b/>
          <w:bCs/>
          <w:szCs w:val="21"/>
        </w:rPr>
        <w:t>（</w:t>
      </w:r>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其他应收款</w:t>
      </w:r>
      <w:bookmarkEnd w:id="351"/>
    </w:p>
    <w:p w14:paraId="3483D28F" w14:textId="77777777" w:rsidR="001D26E7" w:rsidRPr="00F614F9" w:rsidRDefault="00000000">
      <w:pPr>
        <w:keepNext/>
        <w:keepLines/>
        <w:spacing w:before="300" w:after="300" w:line="280" w:lineRule="exact"/>
        <w:outlineLvl w:val="4"/>
        <w:rPr>
          <w:rFonts w:ascii="Times New Roman" w:eastAsia="宋体" w:hAnsi="Times New Roman" w:cs="宋体"/>
          <w:b/>
          <w:bCs/>
          <w:szCs w:val="21"/>
        </w:rPr>
      </w:pPr>
      <w:bookmarkStart w:id="352" w:name="_Toc989174"/>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其他应收款按款项性质分类情况</w:t>
      </w:r>
      <w:bookmarkEnd w:id="352"/>
    </w:p>
    <w:p w14:paraId="403184D3"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0E030FC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C17A6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82976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F6B17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期初账面余额</w:t>
            </w:r>
          </w:p>
        </w:tc>
      </w:tr>
      <w:tr w:rsidR="001D26E7" w:rsidRPr="00F614F9" w14:paraId="4EAC997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6810E3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备用金借支</w:t>
            </w:r>
          </w:p>
        </w:tc>
        <w:tc>
          <w:tcPr>
            <w:tcW w:w="3213" w:type="dxa"/>
            <w:tcBorders>
              <w:top w:val="single" w:sz="2" w:space="0" w:color="auto"/>
              <w:left w:val="single" w:sz="2" w:space="0" w:color="auto"/>
              <w:bottom w:val="single" w:sz="2" w:space="0" w:color="auto"/>
              <w:right w:val="single" w:sz="2" w:space="0" w:color="auto"/>
            </w:tcBorders>
            <w:vAlign w:val="center"/>
          </w:tcPr>
          <w:p w14:paraId="400A8A4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3,503,026.69</w:t>
            </w:r>
          </w:p>
        </w:tc>
        <w:tc>
          <w:tcPr>
            <w:tcW w:w="3213" w:type="dxa"/>
            <w:tcBorders>
              <w:top w:val="single" w:sz="2" w:space="0" w:color="auto"/>
              <w:left w:val="single" w:sz="2" w:space="0" w:color="auto"/>
              <w:bottom w:val="single" w:sz="2" w:space="0" w:color="auto"/>
              <w:right w:val="single" w:sz="2" w:space="0" w:color="auto"/>
            </w:tcBorders>
            <w:vAlign w:val="center"/>
          </w:tcPr>
          <w:p w14:paraId="6F669D4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3,877,914.65</w:t>
            </w:r>
          </w:p>
        </w:tc>
      </w:tr>
      <w:tr w:rsidR="001D26E7" w:rsidRPr="00F614F9" w14:paraId="20E530F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E87463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保证金、押金</w:t>
            </w:r>
          </w:p>
        </w:tc>
        <w:tc>
          <w:tcPr>
            <w:tcW w:w="3213" w:type="dxa"/>
            <w:tcBorders>
              <w:top w:val="single" w:sz="2" w:space="0" w:color="auto"/>
              <w:left w:val="single" w:sz="2" w:space="0" w:color="auto"/>
              <w:bottom w:val="single" w:sz="2" w:space="0" w:color="auto"/>
              <w:right w:val="single" w:sz="2" w:space="0" w:color="auto"/>
            </w:tcBorders>
            <w:vAlign w:val="center"/>
          </w:tcPr>
          <w:p w14:paraId="369D6E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45,544,005.01</w:t>
            </w:r>
          </w:p>
        </w:tc>
        <w:tc>
          <w:tcPr>
            <w:tcW w:w="3213" w:type="dxa"/>
            <w:tcBorders>
              <w:top w:val="single" w:sz="2" w:space="0" w:color="auto"/>
              <w:left w:val="single" w:sz="2" w:space="0" w:color="auto"/>
              <w:bottom w:val="single" w:sz="2" w:space="0" w:color="auto"/>
              <w:right w:val="single" w:sz="2" w:space="0" w:color="auto"/>
            </w:tcBorders>
            <w:vAlign w:val="center"/>
          </w:tcPr>
          <w:p w14:paraId="509FE37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49,408,032.48</w:t>
            </w:r>
          </w:p>
        </w:tc>
      </w:tr>
      <w:tr w:rsidR="001D26E7" w:rsidRPr="00F614F9" w14:paraId="5FAAC96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394D93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国储补贴收入</w:t>
            </w:r>
          </w:p>
        </w:tc>
        <w:tc>
          <w:tcPr>
            <w:tcW w:w="3213" w:type="dxa"/>
            <w:tcBorders>
              <w:top w:val="single" w:sz="2" w:space="0" w:color="auto"/>
              <w:left w:val="single" w:sz="2" w:space="0" w:color="auto"/>
              <w:bottom w:val="single" w:sz="2" w:space="0" w:color="auto"/>
              <w:right w:val="single" w:sz="2" w:space="0" w:color="auto"/>
            </w:tcBorders>
            <w:vAlign w:val="center"/>
          </w:tcPr>
          <w:p w14:paraId="505EBAA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5,827,196.67</w:t>
            </w:r>
          </w:p>
        </w:tc>
        <w:tc>
          <w:tcPr>
            <w:tcW w:w="3213" w:type="dxa"/>
            <w:tcBorders>
              <w:top w:val="single" w:sz="2" w:space="0" w:color="auto"/>
              <w:left w:val="single" w:sz="2" w:space="0" w:color="auto"/>
              <w:bottom w:val="single" w:sz="2" w:space="0" w:color="auto"/>
              <w:right w:val="single" w:sz="2" w:space="0" w:color="auto"/>
            </w:tcBorders>
            <w:vAlign w:val="center"/>
          </w:tcPr>
          <w:p w14:paraId="5D2B42B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11,599,901.29</w:t>
            </w:r>
          </w:p>
        </w:tc>
      </w:tr>
      <w:tr w:rsidR="001D26E7" w:rsidRPr="00F614F9" w14:paraId="6E2DB10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5FD88B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5A7226C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7,712,934.67</w:t>
            </w:r>
          </w:p>
        </w:tc>
        <w:tc>
          <w:tcPr>
            <w:tcW w:w="3213" w:type="dxa"/>
            <w:tcBorders>
              <w:top w:val="single" w:sz="2" w:space="0" w:color="auto"/>
              <w:left w:val="single" w:sz="2" w:space="0" w:color="auto"/>
              <w:bottom w:val="single" w:sz="2" w:space="0" w:color="auto"/>
              <w:right w:val="single" w:sz="2" w:space="0" w:color="auto"/>
            </w:tcBorders>
            <w:vAlign w:val="center"/>
          </w:tcPr>
          <w:p w14:paraId="68465B6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10,284,730.51</w:t>
            </w:r>
          </w:p>
        </w:tc>
      </w:tr>
      <w:tr w:rsidR="001D26E7" w:rsidRPr="00F614F9" w14:paraId="47E740B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9EDF46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减：坏账准备</w:t>
            </w:r>
          </w:p>
        </w:tc>
        <w:tc>
          <w:tcPr>
            <w:tcW w:w="3213" w:type="dxa"/>
            <w:tcBorders>
              <w:top w:val="single" w:sz="2" w:space="0" w:color="auto"/>
              <w:left w:val="single" w:sz="2" w:space="0" w:color="auto"/>
              <w:bottom w:val="single" w:sz="2" w:space="0" w:color="auto"/>
              <w:right w:val="single" w:sz="2" w:space="0" w:color="auto"/>
            </w:tcBorders>
            <w:vAlign w:val="center"/>
          </w:tcPr>
          <w:p w14:paraId="68C5BB3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-17,758,596.28</w:t>
            </w:r>
          </w:p>
        </w:tc>
        <w:tc>
          <w:tcPr>
            <w:tcW w:w="3213" w:type="dxa"/>
            <w:tcBorders>
              <w:top w:val="single" w:sz="2" w:space="0" w:color="auto"/>
              <w:left w:val="single" w:sz="2" w:space="0" w:color="auto"/>
              <w:bottom w:val="single" w:sz="2" w:space="0" w:color="auto"/>
              <w:right w:val="single" w:sz="2" w:space="0" w:color="auto"/>
            </w:tcBorders>
            <w:vAlign w:val="center"/>
          </w:tcPr>
          <w:p w14:paraId="04ABA50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-8,482,055.36</w:t>
            </w:r>
          </w:p>
        </w:tc>
      </w:tr>
      <w:tr w:rsidR="001D26E7" w:rsidRPr="00F614F9" w14:paraId="69116C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AB267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9EE951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44,828,566.76</w:t>
            </w:r>
          </w:p>
        </w:tc>
        <w:tc>
          <w:tcPr>
            <w:tcW w:w="3213" w:type="dxa"/>
            <w:tcBorders>
              <w:top w:val="single" w:sz="2" w:space="0" w:color="auto"/>
              <w:left w:val="single" w:sz="2" w:space="0" w:color="auto"/>
              <w:bottom w:val="single" w:sz="2" w:space="0" w:color="auto"/>
              <w:right w:val="single" w:sz="2" w:space="0" w:color="auto"/>
            </w:tcBorders>
            <w:vAlign w:val="center"/>
          </w:tcPr>
          <w:p w14:paraId="50DA7D9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66,688,523.57</w:t>
            </w:r>
          </w:p>
        </w:tc>
      </w:tr>
    </w:tbl>
    <w:p w14:paraId="5C8288ED" w14:textId="77777777" w:rsidR="001D26E7" w:rsidRPr="00F614F9" w:rsidRDefault="00000000">
      <w:pPr>
        <w:keepNext/>
        <w:keepLines/>
        <w:spacing w:before="300" w:after="300" w:line="280" w:lineRule="exact"/>
        <w:outlineLvl w:val="4"/>
        <w:rPr>
          <w:rFonts w:ascii="Times New Roman" w:eastAsia="宋体" w:hAnsi="Times New Roman" w:cs="宋体"/>
          <w:b/>
          <w:bCs/>
          <w:szCs w:val="21"/>
        </w:rPr>
      </w:pPr>
      <w:bookmarkStart w:id="353" w:name="_Toc989175"/>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proofErr w:type="gramStart"/>
      <w:r w:rsidRPr="00F614F9">
        <w:rPr>
          <w:rFonts w:ascii="Times New Roman" w:eastAsia="宋体" w:hAnsi="Times New Roman" w:cs="宋体"/>
          <w:b/>
          <w:bCs/>
          <w:szCs w:val="21"/>
        </w:rPr>
        <w:t>按账龄</w:t>
      </w:r>
      <w:proofErr w:type="gramEnd"/>
      <w:r w:rsidRPr="00F614F9">
        <w:rPr>
          <w:rFonts w:ascii="Times New Roman" w:eastAsia="宋体" w:hAnsi="Times New Roman" w:cs="宋体"/>
          <w:b/>
          <w:bCs/>
          <w:szCs w:val="21"/>
        </w:rPr>
        <w:t>披露</w:t>
      </w:r>
      <w:bookmarkEnd w:id="353"/>
    </w:p>
    <w:p w14:paraId="16CBDDC4"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2B1FFE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0770B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7CAF8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6739C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期初账面余额</w:t>
            </w:r>
          </w:p>
        </w:tc>
      </w:tr>
      <w:tr w:rsidR="001D26E7" w:rsidRPr="00F614F9" w14:paraId="5A56845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85908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年以内（含</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7005EDA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19,932,481.6</w:t>
            </w:r>
            <w:r w:rsidR="00EC352F">
              <w:rPr>
                <w:rFonts w:ascii="Times New Roman" w:eastAsia="宋体" w:hAnsi="Times New Roman" w:cs="宋体" w:hint="eastAsia"/>
                <w:sz w:val="18"/>
                <w:szCs w:val="18"/>
              </w:rPr>
              <w:t>7</w:t>
            </w:r>
          </w:p>
        </w:tc>
        <w:tc>
          <w:tcPr>
            <w:tcW w:w="3213" w:type="dxa"/>
            <w:tcBorders>
              <w:top w:val="single" w:sz="2" w:space="0" w:color="auto"/>
              <w:left w:val="single" w:sz="2" w:space="0" w:color="auto"/>
              <w:bottom w:val="single" w:sz="2" w:space="0" w:color="auto"/>
              <w:right w:val="single" w:sz="2" w:space="0" w:color="auto"/>
            </w:tcBorders>
            <w:vAlign w:val="center"/>
          </w:tcPr>
          <w:p w14:paraId="2E7BB18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58,788,078.88</w:t>
            </w:r>
          </w:p>
        </w:tc>
      </w:tr>
      <w:tr w:rsidR="001D26E7" w:rsidRPr="00F614F9" w14:paraId="687F23F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420314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1-3</w:t>
            </w:r>
            <w:r w:rsidRPr="00F614F9">
              <w:rPr>
                <w:rFonts w:ascii="Times New Roman" w:eastAsia="宋体" w:hAnsi="Times New Roman"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220F870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12,640,249.71</w:t>
            </w:r>
          </w:p>
        </w:tc>
        <w:tc>
          <w:tcPr>
            <w:tcW w:w="3213" w:type="dxa"/>
            <w:tcBorders>
              <w:top w:val="single" w:sz="2" w:space="0" w:color="auto"/>
              <w:left w:val="single" w:sz="2" w:space="0" w:color="auto"/>
              <w:bottom w:val="single" w:sz="2" w:space="0" w:color="auto"/>
              <w:right w:val="single" w:sz="2" w:space="0" w:color="auto"/>
            </w:tcBorders>
            <w:vAlign w:val="center"/>
          </w:tcPr>
          <w:p w14:paraId="48BBD24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26,237,087.49</w:t>
            </w:r>
          </w:p>
        </w:tc>
      </w:tr>
      <w:tr w:rsidR="001D26E7" w:rsidRPr="00F614F9" w14:paraId="4D76CE6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092C43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4-6</w:t>
            </w:r>
            <w:r w:rsidRPr="00F614F9">
              <w:rPr>
                <w:rFonts w:ascii="Times New Roman" w:eastAsia="宋体" w:hAnsi="Times New Roman"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497D7E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1,589,711.47</w:t>
            </w:r>
          </w:p>
        </w:tc>
        <w:tc>
          <w:tcPr>
            <w:tcW w:w="3213" w:type="dxa"/>
            <w:tcBorders>
              <w:top w:val="single" w:sz="2" w:space="0" w:color="auto"/>
              <w:left w:val="single" w:sz="2" w:space="0" w:color="auto"/>
              <w:bottom w:val="single" w:sz="2" w:space="0" w:color="auto"/>
              <w:right w:val="single" w:sz="2" w:space="0" w:color="auto"/>
            </w:tcBorders>
            <w:vAlign w:val="center"/>
          </w:tcPr>
          <w:p w14:paraId="6E65ABA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7,962,537.23</w:t>
            </w:r>
          </w:p>
        </w:tc>
      </w:tr>
      <w:tr w:rsidR="001D26E7" w:rsidRPr="00F614F9" w14:paraId="2B012B2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1DA249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7-9</w:t>
            </w:r>
            <w:r w:rsidRPr="00F614F9">
              <w:rPr>
                <w:rFonts w:ascii="Times New Roman" w:eastAsia="宋体" w:hAnsi="Times New Roman"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08BB359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4,229,371.07</w:t>
            </w:r>
          </w:p>
        </w:tc>
        <w:tc>
          <w:tcPr>
            <w:tcW w:w="3213" w:type="dxa"/>
            <w:tcBorders>
              <w:top w:val="single" w:sz="2" w:space="0" w:color="auto"/>
              <w:left w:val="single" w:sz="2" w:space="0" w:color="auto"/>
              <w:bottom w:val="single" w:sz="2" w:space="0" w:color="auto"/>
              <w:right w:val="single" w:sz="2" w:space="0" w:color="auto"/>
            </w:tcBorders>
            <w:vAlign w:val="center"/>
          </w:tcPr>
          <w:p w14:paraId="1102945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14,986,368.62</w:t>
            </w:r>
          </w:p>
        </w:tc>
      </w:tr>
      <w:tr w:rsidR="001D26E7" w:rsidRPr="00F614F9" w14:paraId="49F92F9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6E0C8A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10-12</w:t>
            </w:r>
            <w:r w:rsidRPr="00F614F9">
              <w:rPr>
                <w:rFonts w:ascii="Times New Roman" w:eastAsia="宋体" w:hAnsi="Times New Roman"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587DF6C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1,473,149.4</w:t>
            </w:r>
            <w:r w:rsidR="00EC352F">
              <w:rPr>
                <w:rFonts w:ascii="Times New Roman" w:eastAsia="宋体" w:hAnsi="Times New Roman" w:cs="宋体" w:hint="eastAsia"/>
                <w:sz w:val="18"/>
                <w:szCs w:val="18"/>
              </w:rPr>
              <w:t>2</w:t>
            </w:r>
          </w:p>
        </w:tc>
        <w:tc>
          <w:tcPr>
            <w:tcW w:w="3213" w:type="dxa"/>
            <w:tcBorders>
              <w:top w:val="single" w:sz="2" w:space="0" w:color="auto"/>
              <w:left w:val="single" w:sz="2" w:space="0" w:color="auto"/>
              <w:bottom w:val="single" w:sz="2" w:space="0" w:color="auto"/>
              <w:right w:val="single" w:sz="2" w:space="0" w:color="auto"/>
            </w:tcBorders>
            <w:vAlign w:val="center"/>
          </w:tcPr>
          <w:p w14:paraId="7370D0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9,602,085.54</w:t>
            </w:r>
          </w:p>
        </w:tc>
      </w:tr>
      <w:tr w:rsidR="001D26E7" w:rsidRPr="00F614F9" w14:paraId="01FFD0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A41BC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至</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6DC9C22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28,916,450.03</w:t>
            </w:r>
          </w:p>
        </w:tc>
        <w:tc>
          <w:tcPr>
            <w:tcW w:w="3213" w:type="dxa"/>
            <w:tcBorders>
              <w:top w:val="single" w:sz="2" w:space="0" w:color="auto"/>
              <w:left w:val="single" w:sz="2" w:space="0" w:color="auto"/>
              <w:bottom w:val="single" w:sz="2" w:space="0" w:color="auto"/>
              <w:right w:val="single" w:sz="2" w:space="0" w:color="auto"/>
            </w:tcBorders>
            <w:vAlign w:val="center"/>
          </w:tcPr>
          <w:p w14:paraId="7029787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11,060,725.97</w:t>
            </w:r>
          </w:p>
        </w:tc>
      </w:tr>
      <w:tr w:rsidR="001D26E7" w:rsidRPr="00F614F9" w14:paraId="085996E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E8625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至</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67124B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9,002,837.26</w:t>
            </w:r>
          </w:p>
        </w:tc>
        <w:tc>
          <w:tcPr>
            <w:tcW w:w="3213" w:type="dxa"/>
            <w:tcBorders>
              <w:top w:val="single" w:sz="2" w:space="0" w:color="auto"/>
              <w:left w:val="single" w:sz="2" w:space="0" w:color="auto"/>
              <w:bottom w:val="single" w:sz="2" w:space="0" w:color="auto"/>
              <w:right w:val="single" w:sz="2" w:space="0" w:color="auto"/>
            </w:tcBorders>
            <w:vAlign w:val="center"/>
          </w:tcPr>
          <w:p w14:paraId="43EA235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3,478,785.56</w:t>
            </w:r>
          </w:p>
        </w:tc>
      </w:tr>
      <w:tr w:rsidR="001D26E7" w:rsidRPr="00F614F9" w14:paraId="6D50ED6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FE991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年以上</w:t>
            </w:r>
          </w:p>
        </w:tc>
        <w:tc>
          <w:tcPr>
            <w:tcW w:w="3213" w:type="dxa"/>
            <w:tcBorders>
              <w:top w:val="single" w:sz="2" w:space="0" w:color="auto"/>
              <w:left w:val="single" w:sz="2" w:space="0" w:color="auto"/>
              <w:bottom w:val="single" w:sz="2" w:space="0" w:color="auto"/>
              <w:right w:val="single" w:sz="2" w:space="0" w:color="auto"/>
            </w:tcBorders>
            <w:vAlign w:val="center"/>
          </w:tcPr>
          <w:p w14:paraId="1543252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4,735,394.08</w:t>
            </w:r>
          </w:p>
        </w:tc>
        <w:tc>
          <w:tcPr>
            <w:tcW w:w="3213" w:type="dxa"/>
            <w:tcBorders>
              <w:top w:val="single" w:sz="2" w:space="0" w:color="auto"/>
              <w:left w:val="single" w:sz="2" w:space="0" w:color="auto"/>
              <w:bottom w:val="single" w:sz="2" w:space="0" w:color="auto"/>
              <w:right w:val="single" w:sz="2" w:space="0" w:color="auto"/>
            </w:tcBorders>
            <w:vAlign w:val="center"/>
          </w:tcPr>
          <w:p w14:paraId="4BF4118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1,842,988.52</w:t>
            </w:r>
          </w:p>
        </w:tc>
      </w:tr>
      <w:tr w:rsidR="001D26E7" w:rsidRPr="00F614F9" w14:paraId="2E9F4F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B1BE86"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至</w:t>
            </w:r>
            <w:r w:rsidRPr="00F614F9">
              <w:rPr>
                <w:rFonts w:ascii="Times New Roman" w:eastAsia="宋体" w:hAnsi="Times New Roman" w:cs="宋体"/>
                <w:sz w:val="18"/>
                <w:szCs w:val="18"/>
              </w:rPr>
              <w:t>4</w:t>
            </w:r>
            <w:r w:rsidRPr="00F614F9">
              <w:rPr>
                <w:rFonts w:ascii="Times New Roman" w:eastAsia="宋体" w:hAnsi="Times New Roman"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41E6F69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3,260,995.56</w:t>
            </w:r>
          </w:p>
        </w:tc>
        <w:tc>
          <w:tcPr>
            <w:tcW w:w="3213" w:type="dxa"/>
            <w:tcBorders>
              <w:top w:val="single" w:sz="2" w:space="0" w:color="auto"/>
              <w:left w:val="single" w:sz="2" w:space="0" w:color="auto"/>
              <w:bottom w:val="single" w:sz="2" w:space="0" w:color="auto"/>
              <w:right w:val="single" w:sz="2" w:space="0" w:color="auto"/>
            </w:tcBorders>
            <w:vAlign w:val="center"/>
          </w:tcPr>
          <w:p w14:paraId="548FE0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433,912.50</w:t>
            </w:r>
          </w:p>
        </w:tc>
      </w:tr>
      <w:tr w:rsidR="001D26E7" w:rsidRPr="00F614F9" w14:paraId="3D6AFD8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AFAFE0"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至</w:t>
            </w:r>
            <w:r w:rsidRPr="00F614F9">
              <w:rPr>
                <w:rFonts w:ascii="Times New Roman" w:eastAsia="宋体" w:hAnsi="Times New Roman" w:cs="宋体"/>
                <w:sz w:val="18"/>
                <w:szCs w:val="18"/>
              </w:rPr>
              <w:t>5</w:t>
            </w:r>
            <w:r w:rsidRPr="00F614F9">
              <w:rPr>
                <w:rFonts w:ascii="Times New Roman" w:eastAsia="宋体" w:hAnsi="Times New Roman"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5EFB009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181,912.50</w:t>
            </w:r>
          </w:p>
        </w:tc>
        <w:tc>
          <w:tcPr>
            <w:tcW w:w="3213" w:type="dxa"/>
            <w:tcBorders>
              <w:top w:val="single" w:sz="2" w:space="0" w:color="auto"/>
              <w:left w:val="single" w:sz="2" w:space="0" w:color="auto"/>
              <w:bottom w:val="single" w:sz="2" w:space="0" w:color="auto"/>
              <w:right w:val="single" w:sz="2" w:space="0" w:color="auto"/>
            </w:tcBorders>
            <w:vAlign w:val="center"/>
          </w:tcPr>
          <w:p w14:paraId="5E53518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427,476.02</w:t>
            </w:r>
          </w:p>
        </w:tc>
      </w:tr>
      <w:tr w:rsidR="001D26E7" w:rsidRPr="00F614F9" w14:paraId="2A0D909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8E312A"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5</w:t>
            </w:r>
            <w:r w:rsidRPr="00F614F9">
              <w:rPr>
                <w:rFonts w:ascii="Times New Roman" w:eastAsia="宋体" w:hAnsi="Times New Roman" w:cs="宋体"/>
                <w:sz w:val="18"/>
                <w:szCs w:val="18"/>
              </w:rPr>
              <w:t>年以上</w:t>
            </w:r>
          </w:p>
        </w:tc>
        <w:tc>
          <w:tcPr>
            <w:tcW w:w="3213" w:type="dxa"/>
            <w:tcBorders>
              <w:top w:val="single" w:sz="2" w:space="0" w:color="auto"/>
              <w:left w:val="single" w:sz="2" w:space="0" w:color="auto"/>
              <w:bottom w:val="single" w:sz="2" w:space="0" w:color="auto"/>
              <w:right w:val="single" w:sz="2" w:space="0" w:color="auto"/>
            </w:tcBorders>
            <w:vAlign w:val="center"/>
          </w:tcPr>
          <w:p w14:paraId="0600E66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1,292,486.02</w:t>
            </w:r>
          </w:p>
        </w:tc>
        <w:tc>
          <w:tcPr>
            <w:tcW w:w="3213" w:type="dxa"/>
            <w:tcBorders>
              <w:top w:val="single" w:sz="2" w:space="0" w:color="auto"/>
              <w:left w:val="single" w:sz="2" w:space="0" w:color="auto"/>
              <w:bottom w:val="single" w:sz="2" w:space="0" w:color="auto"/>
              <w:right w:val="single" w:sz="2" w:space="0" w:color="auto"/>
            </w:tcBorders>
            <w:vAlign w:val="center"/>
          </w:tcPr>
          <w:p w14:paraId="6B940EE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981,600.00</w:t>
            </w:r>
          </w:p>
        </w:tc>
      </w:tr>
      <w:tr w:rsidR="001D26E7" w:rsidRPr="00F614F9" w14:paraId="3C4334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6F9E8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621A66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62,587,163.0</w:t>
            </w:r>
            <w:r w:rsidR="00E03F6D">
              <w:rPr>
                <w:rFonts w:ascii="Times New Roman" w:eastAsia="宋体" w:hAnsi="Times New Roman" w:cs="宋体" w:hint="eastAsia"/>
                <w:sz w:val="18"/>
                <w:szCs w:val="18"/>
              </w:rPr>
              <w:t>4</w:t>
            </w:r>
          </w:p>
        </w:tc>
        <w:tc>
          <w:tcPr>
            <w:tcW w:w="3213" w:type="dxa"/>
            <w:tcBorders>
              <w:top w:val="single" w:sz="2" w:space="0" w:color="auto"/>
              <w:left w:val="single" w:sz="2" w:space="0" w:color="auto"/>
              <w:bottom w:val="single" w:sz="2" w:space="0" w:color="auto"/>
              <w:right w:val="single" w:sz="2" w:space="0" w:color="auto"/>
            </w:tcBorders>
            <w:vAlign w:val="center"/>
          </w:tcPr>
          <w:p w14:paraId="53FA16A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75,170,578.93</w:t>
            </w:r>
          </w:p>
        </w:tc>
      </w:tr>
    </w:tbl>
    <w:p w14:paraId="794D37D1" w14:textId="77777777" w:rsidR="001D26E7" w:rsidRPr="00F614F9" w:rsidRDefault="00000000">
      <w:pPr>
        <w:keepNext/>
        <w:keepLines/>
        <w:spacing w:before="300" w:after="300" w:line="280" w:lineRule="exact"/>
        <w:outlineLvl w:val="4"/>
        <w:rPr>
          <w:rFonts w:ascii="Times New Roman" w:eastAsia="宋体" w:hAnsi="Times New Roman" w:cs="宋体"/>
          <w:b/>
          <w:bCs/>
          <w:szCs w:val="21"/>
        </w:rPr>
      </w:pPr>
      <w:bookmarkStart w:id="354" w:name="_Toc989176"/>
      <w:r w:rsidRPr="00F614F9">
        <w:rPr>
          <w:rFonts w:ascii="Times New Roman" w:eastAsia="宋体" w:hAnsi="Times New Roman" w:cs="宋体"/>
          <w:b/>
          <w:bCs/>
          <w:szCs w:val="21"/>
        </w:rPr>
        <w:lastRenderedPageBreak/>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按坏账计提方法分类披露</w:t>
      </w:r>
      <w:bookmarkEnd w:id="354"/>
    </w:p>
    <w:p w14:paraId="2263589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584A88DF"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75"/>
        <w:gridCol w:w="876"/>
        <w:gridCol w:w="877"/>
        <w:gridCol w:w="876"/>
        <w:gridCol w:w="877"/>
        <w:gridCol w:w="876"/>
        <w:gridCol w:w="876"/>
        <w:gridCol w:w="877"/>
        <w:gridCol w:w="876"/>
        <w:gridCol w:w="877"/>
        <w:gridCol w:w="876"/>
      </w:tblGrid>
      <w:tr w:rsidR="001D26E7" w:rsidRPr="00F614F9" w14:paraId="327A953E" w14:textId="77777777">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E71C20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2D2E744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6A2F451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0F7301A6"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3BC381A" w14:textId="77777777" w:rsidR="001D26E7" w:rsidRPr="00F614F9" w:rsidRDefault="001D26E7">
            <w:pPr>
              <w:rPr>
                <w:rFonts w:ascii="Times New Roman" w:hAnsi="Times New Roman"/>
              </w:rPr>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6C1095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690753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EEECA8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9DC725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91A35A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D8982F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r>
      <w:tr w:rsidR="001D26E7" w:rsidRPr="00F614F9" w14:paraId="28166E27"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A12F9B2"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5020AF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A6A7AE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1F977A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A6F76E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130D82D"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9E21DE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2A1DB9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672245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3EA155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642B494" w14:textId="77777777" w:rsidR="001D26E7" w:rsidRPr="00F614F9" w:rsidRDefault="001D26E7">
            <w:pPr>
              <w:rPr>
                <w:rFonts w:ascii="Times New Roman" w:hAnsi="Times New Roman"/>
              </w:rPr>
            </w:pPr>
          </w:p>
        </w:tc>
      </w:tr>
      <w:tr w:rsidR="001D26E7" w:rsidRPr="00F614F9" w14:paraId="71952516"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F8CA69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按单项计提坏账准备</w:t>
            </w:r>
          </w:p>
        </w:tc>
        <w:tc>
          <w:tcPr>
            <w:tcW w:w="876" w:type="dxa"/>
            <w:tcBorders>
              <w:top w:val="single" w:sz="2" w:space="0" w:color="auto"/>
              <w:left w:val="single" w:sz="2" w:space="0" w:color="auto"/>
              <w:bottom w:val="single" w:sz="2" w:space="0" w:color="auto"/>
              <w:right w:val="single" w:sz="2" w:space="0" w:color="auto"/>
            </w:tcBorders>
            <w:vAlign w:val="center"/>
          </w:tcPr>
          <w:p w14:paraId="51DF88D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5,731,075.55</w:t>
            </w:r>
          </w:p>
        </w:tc>
        <w:tc>
          <w:tcPr>
            <w:tcW w:w="876" w:type="dxa"/>
            <w:tcBorders>
              <w:top w:val="single" w:sz="2" w:space="0" w:color="auto"/>
              <w:left w:val="single" w:sz="2" w:space="0" w:color="auto"/>
              <w:bottom w:val="single" w:sz="2" w:space="0" w:color="auto"/>
              <w:right w:val="single" w:sz="2" w:space="0" w:color="auto"/>
            </w:tcBorders>
            <w:vAlign w:val="center"/>
          </w:tcPr>
          <w:p w14:paraId="0792149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9.16%</w:t>
            </w:r>
          </w:p>
        </w:tc>
        <w:tc>
          <w:tcPr>
            <w:tcW w:w="876" w:type="dxa"/>
            <w:tcBorders>
              <w:top w:val="single" w:sz="2" w:space="0" w:color="auto"/>
              <w:left w:val="single" w:sz="2" w:space="0" w:color="auto"/>
              <w:bottom w:val="single" w:sz="2" w:space="0" w:color="auto"/>
              <w:right w:val="single" w:sz="2" w:space="0" w:color="auto"/>
            </w:tcBorders>
            <w:vAlign w:val="center"/>
          </w:tcPr>
          <w:p w14:paraId="0A2CFFA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5,026,175.55</w:t>
            </w:r>
          </w:p>
        </w:tc>
        <w:tc>
          <w:tcPr>
            <w:tcW w:w="876" w:type="dxa"/>
            <w:tcBorders>
              <w:top w:val="single" w:sz="2" w:space="0" w:color="auto"/>
              <w:left w:val="single" w:sz="2" w:space="0" w:color="auto"/>
              <w:bottom w:val="single" w:sz="2" w:space="0" w:color="auto"/>
              <w:right w:val="single" w:sz="2" w:space="0" w:color="auto"/>
            </w:tcBorders>
            <w:vAlign w:val="center"/>
          </w:tcPr>
          <w:p w14:paraId="7B58B43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87.70%</w:t>
            </w:r>
          </w:p>
        </w:tc>
        <w:tc>
          <w:tcPr>
            <w:tcW w:w="876" w:type="dxa"/>
            <w:tcBorders>
              <w:top w:val="single" w:sz="2" w:space="0" w:color="auto"/>
              <w:left w:val="single" w:sz="2" w:space="0" w:color="auto"/>
              <w:bottom w:val="single" w:sz="2" w:space="0" w:color="auto"/>
              <w:right w:val="single" w:sz="2" w:space="0" w:color="auto"/>
            </w:tcBorders>
            <w:vAlign w:val="center"/>
          </w:tcPr>
          <w:p w14:paraId="15064FD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704,900.00</w:t>
            </w:r>
          </w:p>
        </w:tc>
        <w:tc>
          <w:tcPr>
            <w:tcW w:w="876" w:type="dxa"/>
            <w:tcBorders>
              <w:top w:val="single" w:sz="2" w:space="0" w:color="auto"/>
              <w:left w:val="single" w:sz="2" w:space="0" w:color="auto"/>
              <w:bottom w:val="single" w:sz="2" w:space="0" w:color="auto"/>
              <w:right w:val="single" w:sz="2" w:space="0" w:color="auto"/>
            </w:tcBorders>
            <w:vAlign w:val="center"/>
          </w:tcPr>
          <w:p w14:paraId="2E31A4E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4,335,829.88</w:t>
            </w:r>
          </w:p>
        </w:tc>
        <w:tc>
          <w:tcPr>
            <w:tcW w:w="876" w:type="dxa"/>
            <w:tcBorders>
              <w:top w:val="single" w:sz="2" w:space="0" w:color="auto"/>
              <w:left w:val="single" w:sz="2" w:space="0" w:color="auto"/>
              <w:bottom w:val="single" w:sz="2" w:space="0" w:color="auto"/>
              <w:right w:val="single" w:sz="2" w:space="0" w:color="auto"/>
            </w:tcBorders>
            <w:vAlign w:val="center"/>
          </w:tcPr>
          <w:p w14:paraId="418F00F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0.06%</w:t>
            </w:r>
          </w:p>
        </w:tc>
        <w:tc>
          <w:tcPr>
            <w:tcW w:w="876" w:type="dxa"/>
            <w:tcBorders>
              <w:top w:val="single" w:sz="2" w:space="0" w:color="auto"/>
              <w:left w:val="single" w:sz="2" w:space="0" w:color="auto"/>
              <w:bottom w:val="single" w:sz="2" w:space="0" w:color="auto"/>
              <w:right w:val="single" w:sz="2" w:space="0" w:color="auto"/>
            </w:tcBorders>
            <w:vAlign w:val="center"/>
          </w:tcPr>
          <w:p w14:paraId="2623CFA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2,776,957.66</w:t>
            </w:r>
          </w:p>
        </w:tc>
        <w:tc>
          <w:tcPr>
            <w:tcW w:w="876" w:type="dxa"/>
            <w:tcBorders>
              <w:top w:val="single" w:sz="2" w:space="0" w:color="auto"/>
              <w:left w:val="single" w:sz="2" w:space="0" w:color="auto"/>
              <w:bottom w:val="single" w:sz="2" w:space="0" w:color="auto"/>
              <w:right w:val="single" w:sz="2" w:space="0" w:color="auto"/>
            </w:tcBorders>
            <w:vAlign w:val="center"/>
          </w:tcPr>
          <w:p w14:paraId="46E30D8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64.05%</w:t>
            </w:r>
          </w:p>
        </w:tc>
        <w:tc>
          <w:tcPr>
            <w:tcW w:w="876" w:type="dxa"/>
            <w:tcBorders>
              <w:top w:val="single" w:sz="2" w:space="0" w:color="auto"/>
              <w:left w:val="single" w:sz="2" w:space="0" w:color="auto"/>
              <w:bottom w:val="single" w:sz="2" w:space="0" w:color="auto"/>
              <w:right w:val="single" w:sz="2" w:space="0" w:color="auto"/>
            </w:tcBorders>
            <w:vAlign w:val="center"/>
          </w:tcPr>
          <w:p w14:paraId="0F8B645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1,558,872.22</w:t>
            </w:r>
          </w:p>
        </w:tc>
      </w:tr>
      <w:tr w:rsidR="001D26E7" w:rsidRPr="00F614F9" w14:paraId="76D95649"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1BCA1C6"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C96E83F"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4587F07"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20DD442"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794C1F6"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0E20057"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933DAC1"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55BED16"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2A35010"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E436562"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A9525D5" w14:textId="77777777" w:rsidR="001D26E7" w:rsidRPr="00F614F9" w:rsidRDefault="001D26E7">
            <w:pPr>
              <w:rPr>
                <w:rFonts w:ascii="Times New Roman" w:hAnsi="Times New Roman"/>
              </w:rPr>
            </w:pPr>
          </w:p>
        </w:tc>
      </w:tr>
      <w:tr w:rsidR="001D26E7" w:rsidRPr="00F614F9" w14:paraId="454A6F3C"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0AD01CA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单项金额虽不重大但单项计提坏账准备的其它应收账款</w:t>
            </w:r>
          </w:p>
        </w:tc>
        <w:tc>
          <w:tcPr>
            <w:tcW w:w="876" w:type="dxa"/>
            <w:tcBorders>
              <w:top w:val="single" w:sz="2" w:space="0" w:color="auto"/>
              <w:left w:val="single" w:sz="2" w:space="0" w:color="auto"/>
              <w:bottom w:val="single" w:sz="2" w:space="0" w:color="auto"/>
              <w:right w:val="single" w:sz="2" w:space="0" w:color="auto"/>
            </w:tcBorders>
            <w:vAlign w:val="center"/>
          </w:tcPr>
          <w:p w14:paraId="6CE8803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5,731,075.55</w:t>
            </w:r>
          </w:p>
        </w:tc>
        <w:tc>
          <w:tcPr>
            <w:tcW w:w="876" w:type="dxa"/>
            <w:tcBorders>
              <w:top w:val="single" w:sz="2" w:space="0" w:color="auto"/>
              <w:left w:val="single" w:sz="2" w:space="0" w:color="auto"/>
              <w:bottom w:val="single" w:sz="2" w:space="0" w:color="auto"/>
              <w:right w:val="single" w:sz="2" w:space="0" w:color="auto"/>
            </w:tcBorders>
            <w:vAlign w:val="center"/>
          </w:tcPr>
          <w:p w14:paraId="2E8AE13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9.16%</w:t>
            </w:r>
          </w:p>
        </w:tc>
        <w:tc>
          <w:tcPr>
            <w:tcW w:w="876" w:type="dxa"/>
            <w:tcBorders>
              <w:top w:val="single" w:sz="2" w:space="0" w:color="auto"/>
              <w:left w:val="single" w:sz="2" w:space="0" w:color="auto"/>
              <w:bottom w:val="single" w:sz="2" w:space="0" w:color="auto"/>
              <w:right w:val="single" w:sz="2" w:space="0" w:color="auto"/>
            </w:tcBorders>
            <w:vAlign w:val="center"/>
          </w:tcPr>
          <w:p w14:paraId="20EF004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5,026,175.55</w:t>
            </w:r>
          </w:p>
        </w:tc>
        <w:tc>
          <w:tcPr>
            <w:tcW w:w="876" w:type="dxa"/>
            <w:tcBorders>
              <w:top w:val="single" w:sz="2" w:space="0" w:color="auto"/>
              <w:left w:val="single" w:sz="2" w:space="0" w:color="auto"/>
              <w:bottom w:val="single" w:sz="2" w:space="0" w:color="auto"/>
              <w:right w:val="single" w:sz="2" w:space="0" w:color="auto"/>
            </w:tcBorders>
            <w:vAlign w:val="center"/>
          </w:tcPr>
          <w:p w14:paraId="0BEA82F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87.70%</w:t>
            </w:r>
          </w:p>
        </w:tc>
        <w:tc>
          <w:tcPr>
            <w:tcW w:w="876" w:type="dxa"/>
            <w:tcBorders>
              <w:top w:val="single" w:sz="2" w:space="0" w:color="auto"/>
              <w:left w:val="single" w:sz="2" w:space="0" w:color="auto"/>
              <w:bottom w:val="single" w:sz="2" w:space="0" w:color="auto"/>
              <w:right w:val="single" w:sz="2" w:space="0" w:color="auto"/>
            </w:tcBorders>
            <w:vAlign w:val="center"/>
          </w:tcPr>
          <w:p w14:paraId="3EAE985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704,900.00</w:t>
            </w:r>
          </w:p>
        </w:tc>
        <w:tc>
          <w:tcPr>
            <w:tcW w:w="876" w:type="dxa"/>
            <w:tcBorders>
              <w:top w:val="single" w:sz="2" w:space="0" w:color="auto"/>
              <w:left w:val="single" w:sz="2" w:space="0" w:color="auto"/>
              <w:bottom w:val="single" w:sz="2" w:space="0" w:color="auto"/>
              <w:right w:val="single" w:sz="2" w:space="0" w:color="auto"/>
            </w:tcBorders>
            <w:vAlign w:val="center"/>
          </w:tcPr>
          <w:p w14:paraId="4B17294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4,335,829.88</w:t>
            </w:r>
          </w:p>
        </w:tc>
        <w:tc>
          <w:tcPr>
            <w:tcW w:w="876" w:type="dxa"/>
            <w:tcBorders>
              <w:top w:val="single" w:sz="2" w:space="0" w:color="auto"/>
              <w:left w:val="single" w:sz="2" w:space="0" w:color="auto"/>
              <w:bottom w:val="single" w:sz="2" w:space="0" w:color="auto"/>
              <w:right w:val="single" w:sz="2" w:space="0" w:color="auto"/>
            </w:tcBorders>
            <w:vAlign w:val="center"/>
          </w:tcPr>
          <w:p w14:paraId="52987E2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0.06%</w:t>
            </w:r>
          </w:p>
        </w:tc>
        <w:tc>
          <w:tcPr>
            <w:tcW w:w="876" w:type="dxa"/>
            <w:tcBorders>
              <w:top w:val="single" w:sz="2" w:space="0" w:color="auto"/>
              <w:left w:val="single" w:sz="2" w:space="0" w:color="auto"/>
              <w:bottom w:val="single" w:sz="2" w:space="0" w:color="auto"/>
              <w:right w:val="single" w:sz="2" w:space="0" w:color="auto"/>
            </w:tcBorders>
            <w:vAlign w:val="center"/>
          </w:tcPr>
          <w:p w14:paraId="3F2CC92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2,776,957.66</w:t>
            </w:r>
          </w:p>
        </w:tc>
        <w:tc>
          <w:tcPr>
            <w:tcW w:w="876" w:type="dxa"/>
            <w:tcBorders>
              <w:top w:val="single" w:sz="2" w:space="0" w:color="auto"/>
              <w:left w:val="single" w:sz="2" w:space="0" w:color="auto"/>
              <w:bottom w:val="single" w:sz="2" w:space="0" w:color="auto"/>
              <w:right w:val="single" w:sz="2" w:space="0" w:color="auto"/>
            </w:tcBorders>
            <w:vAlign w:val="center"/>
          </w:tcPr>
          <w:p w14:paraId="342DCA5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64.05%</w:t>
            </w:r>
          </w:p>
        </w:tc>
        <w:tc>
          <w:tcPr>
            <w:tcW w:w="876" w:type="dxa"/>
            <w:tcBorders>
              <w:top w:val="single" w:sz="2" w:space="0" w:color="auto"/>
              <w:left w:val="single" w:sz="2" w:space="0" w:color="auto"/>
              <w:bottom w:val="single" w:sz="2" w:space="0" w:color="auto"/>
              <w:right w:val="single" w:sz="2" w:space="0" w:color="auto"/>
            </w:tcBorders>
            <w:vAlign w:val="center"/>
          </w:tcPr>
          <w:p w14:paraId="5BB8380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1,558,872.22</w:t>
            </w:r>
          </w:p>
        </w:tc>
      </w:tr>
      <w:tr w:rsidR="001D26E7" w:rsidRPr="00F614F9" w14:paraId="26C03166"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39A32F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按组合计提坏账准备</w:t>
            </w:r>
          </w:p>
        </w:tc>
        <w:tc>
          <w:tcPr>
            <w:tcW w:w="876" w:type="dxa"/>
            <w:tcBorders>
              <w:top w:val="single" w:sz="2" w:space="0" w:color="auto"/>
              <w:left w:val="single" w:sz="2" w:space="0" w:color="auto"/>
              <w:bottom w:val="single" w:sz="2" w:space="0" w:color="auto"/>
              <w:right w:val="single" w:sz="2" w:space="0" w:color="auto"/>
            </w:tcBorders>
            <w:vAlign w:val="center"/>
          </w:tcPr>
          <w:p w14:paraId="5DA1928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56,856,087.49</w:t>
            </w:r>
          </w:p>
        </w:tc>
        <w:tc>
          <w:tcPr>
            <w:tcW w:w="876" w:type="dxa"/>
            <w:tcBorders>
              <w:top w:val="single" w:sz="2" w:space="0" w:color="auto"/>
              <w:left w:val="single" w:sz="2" w:space="0" w:color="auto"/>
              <w:bottom w:val="single" w:sz="2" w:space="0" w:color="auto"/>
              <w:right w:val="single" w:sz="2" w:space="0" w:color="auto"/>
            </w:tcBorders>
            <w:vAlign w:val="center"/>
          </w:tcPr>
          <w:p w14:paraId="1A7F47B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90.84%</w:t>
            </w:r>
          </w:p>
        </w:tc>
        <w:tc>
          <w:tcPr>
            <w:tcW w:w="876" w:type="dxa"/>
            <w:tcBorders>
              <w:top w:val="single" w:sz="2" w:space="0" w:color="auto"/>
              <w:left w:val="single" w:sz="2" w:space="0" w:color="auto"/>
              <w:bottom w:val="single" w:sz="2" w:space="0" w:color="auto"/>
              <w:right w:val="single" w:sz="2" w:space="0" w:color="auto"/>
            </w:tcBorders>
            <w:vAlign w:val="center"/>
          </w:tcPr>
          <w:p w14:paraId="1FEF2F4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12,732,420.73</w:t>
            </w:r>
          </w:p>
        </w:tc>
        <w:tc>
          <w:tcPr>
            <w:tcW w:w="876" w:type="dxa"/>
            <w:tcBorders>
              <w:top w:val="single" w:sz="2" w:space="0" w:color="auto"/>
              <w:left w:val="single" w:sz="2" w:space="0" w:color="auto"/>
              <w:bottom w:val="single" w:sz="2" w:space="0" w:color="auto"/>
              <w:right w:val="single" w:sz="2" w:space="0" w:color="auto"/>
            </w:tcBorders>
            <w:vAlign w:val="center"/>
          </w:tcPr>
          <w:p w14:paraId="35F614B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22.39%</w:t>
            </w:r>
          </w:p>
        </w:tc>
        <w:tc>
          <w:tcPr>
            <w:tcW w:w="876" w:type="dxa"/>
            <w:tcBorders>
              <w:top w:val="single" w:sz="2" w:space="0" w:color="auto"/>
              <w:left w:val="single" w:sz="2" w:space="0" w:color="auto"/>
              <w:bottom w:val="single" w:sz="2" w:space="0" w:color="auto"/>
              <w:right w:val="single" w:sz="2" w:space="0" w:color="auto"/>
            </w:tcBorders>
            <w:vAlign w:val="center"/>
          </w:tcPr>
          <w:p w14:paraId="3C86248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44,123,666.76</w:t>
            </w:r>
          </w:p>
        </w:tc>
        <w:tc>
          <w:tcPr>
            <w:tcW w:w="876" w:type="dxa"/>
            <w:tcBorders>
              <w:top w:val="single" w:sz="2" w:space="0" w:color="auto"/>
              <w:left w:val="single" w:sz="2" w:space="0" w:color="auto"/>
              <w:bottom w:val="single" w:sz="2" w:space="0" w:color="auto"/>
              <w:right w:val="single" w:sz="2" w:space="0" w:color="auto"/>
            </w:tcBorders>
            <w:vAlign w:val="center"/>
          </w:tcPr>
          <w:p w14:paraId="0133F35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70,834,749.05</w:t>
            </w:r>
          </w:p>
        </w:tc>
        <w:tc>
          <w:tcPr>
            <w:tcW w:w="876" w:type="dxa"/>
            <w:tcBorders>
              <w:top w:val="single" w:sz="2" w:space="0" w:color="auto"/>
              <w:left w:val="single" w:sz="2" w:space="0" w:color="auto"/>
              <w:bottom w:val="single" w:sz="2" w:space="0" w:color="auto"/>
              <w:right w:val="single" w:sz="2" w:space="0" w:color="auto"/>
            </w:tcBorders>
            <w:vAlign w:val="center"/>
          </w:tcPr>
          <w:p w14:paraId="4109F43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94.23%</w:t>
            </w:r>
          </w:p>
        </w:tc>
        <w:tc>
          <w:tcPr>
            <w:tcW w:w="876" w:type="dxa"/>
            <w:tcBorders>
              <w:top w:val="single" w:sz="2" w:space="0" w:color="auto"/>
              <w:left w:val="single" w:sz="2" w:space="0" w:color="auto"/>
              <w:bottom w:val="single" w:sz="2" w:space="0" w:color="auto"/>
              <w:right w:val="single" w:sz="2" w:space="0" w:color="auto"/>
            </w:tcBorders>
            <w:vAlign w:val="center"/>
          </w:tcPr>
          <w:p w14:paraId="35EBC0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5,705,097.70</w:t>
            </w:r>
          </w:p>
        </w:tc>
        <w:tc>
          <w:tcPr>
            <w:tcW w:w="876" w:type="dxa"/>
            <w:tcBorders>
              <w:top w:val="single" w:sz="2" w:space="0" w:color="auto"/>
              <w:left w:val="single" w:sz="2" w:space="0" w:color="auto"/>
              <w:bottom w:val="single" w:sz="2" w:space="0" w:color="auto"/>
              <w:right w:val="single" w:sz="2" w:space="0" w:color="auto"/>
            </w:tcBorders>
            <w:vAlign w:val="center"/>
          </w:tcPr>
          <w:p w14:paraId="3044A28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8.05%</w:t>
            </w:r>
          </w:p>
        </w:tc>
        <w:tc>
          <w:tcPr>
            <w:tcW w:w="876" w:type="dxa"/>
            <w:tcBorders>
              <w:top w:val="single" w:sz="2" w:space="0" w:color="auto"/>
              <w:left w:val="single" w:sz="2" w:space="0" w:color="auto"/>
              <w:bottom w:val="single" w:sz="2" w:space="0" w:color="auto"/>
              <w:right w:val="single" w:sz="2" w:space="0" w:color="auto"/>
            </w:tcBorders>
            <w:vAlign w:val="center"/>
          </w:tcPr>
          <w:p w14:paraId="541AE49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65,129,651.35</w:t>
            </w:r>
          </w:p>
        </w:tc>
      </w:tr>
      <w:tr w:rsidR="001D26E7" w:rsidRPr="00F614F9" w14:paraId="35B99469"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633E6E7"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02E0563"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09155CD"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2953ABE"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1FB65C0"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47B43EC"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7E9B862"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C5366FD"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6A2B427"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AE61781"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82099D1" w14:textId="77777777" w:rsidR="001D26E7" w:rsidRPr="00F614F9" w:rsidRDefault="001D26E7">
            <w:pPr>
              <w:rPr>
                <w:rFonts w:ascii="Times New Roman" w:hAnsi="Times New Roman"/>
              </w:rPr>
            </w:pPr>
          </w:p>
        </w:tc>
      </w:tr>
      <w:tr w:rsidR="001D26E7" w:rsidRPr="00F614F9" w14:paraId="55772FD1"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2B7F3D70"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按账龄组</w:t>
            </w:r>
            <w:proofErr w:type="gramEnd"/>
            <w:r w:rsidRPr="00F614F9">
              <w:rPr>
                <w:rFonts w:ascii="Times New Roman" w:eastAsia="宋体" w:hAnsi="Times New Roman" w:cs="宋体"/>
                <w:sz w:val="18"/>
                <w:szCs w:val="18"/>
              </w:rPr>
              <w:t>合</w:t>
            </w:r>
          </w:p>
        </w:tc>
        <w:tc>
          <w:tcPr>
            <w:tcW w:w="876" w:type="dxa"/>
            <w:tcBorders>
              <w:top w:val="single" w:sz="2" w:space="0" w:color="auto"/>
              <w:left w:val="single" w:sz="2" w:space="0" w:color="auto"/>
              <w:bottom w:val="single" w:sz="2" w:space="0" w:color="auto"/>
              <w:right w:val="single" w:sz="2" w:space="0" w:color="auto"/>
            </w:tcBorders>
            <w:vAlign w:val="center"/>
          </w:tcPr>
          <w:p w14:paraId="4B64BB7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56,856,087.49</w:t>
            </w:r>
          </w:p>
        </w:tc>
        <w:tc>
          <w:tcPr>
            <w:tcW w:w="876" w:type="dxa"/>
            <w:tcBorders>
              <w:top w:val="single" w:sz="2" w:space="0" w:color="auto"/>
              <w:left w:val="single" w:sz="2" w:space="0" w:color="auto"/>
              <w:bottom w:val="single" w:sz="2" w:space="0" w:color="auto"/>
              <w:right w:val="single" w:sz="2" w:space="0" w:color="auto"/>
            </w:tcBorders>
            <w:vAlign w:val="center"/>
          </w:tcPr>
          <w:p w14:paraId="7279A76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90.84%</w:t>
            </w:r>
          </w:p>
        </w:tc>
        <w:tc>
          <w:tcPr>
            <w:tcW w:w="876" w:type="dxa"/>
            <w:tcBorders>
              <w:top w:val="single" w:sz="2" w:space="0" w:color="auto"/>
              <w:left w:val="single" w:sz="2" w:space="0" w:color="auto"/>
              <w:bottom w:val="single" w:sz="2" w:space="0" w:color="auto"/>
              <w:right w:val="single" w:sz="2" w:space="0" w:color="auto"/>
            </w:tcBorders>
            <w:vAlign w:val="center"/>
          </w:tcPr>
          <w:p w14:paraId="4017804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12,732,420.73</w:t>
            </w:r>
          </w:p>
        </w:tc>
        <w:tc>
          <w:tcPr>
            <w:tcW w:w="876" w:type="dxa"/>
            <w:tcBorders>
              <w:top w:val="single" w:sz="2" w:space="0" w:color="auto"/>
              <w:left w:val="single" w:sz="2" w:space="0" w:color="auto"/>
              <w:bottom w:val="single" w:sz="2" w:space="0" w:color="auto"/>
              <w:right w:val="single" w:sz="2" w:space="0" w:color="auto"/>
            </w:tcBorders>
            <w:vAlign w:val="center"/>
          </w:tcPr>
          <w:p w14:paraId="60A0A1E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22.39%</w:t>
            </w:r>
          </w:p>
        </w:tc>
        <w:tc>
          <w:tcPr>
            <w:tcW w:w="876" w:type="dxa"/>
            <w:tcBorders>
              <w:top w:val="single" w:sz="2" w:space="0" w:color="auto"/>
              <w:left w:val="single" w:sz="2" w:space="0" w:color="auto"/>
              <w:bottom w:val="single" w:sz="2" w:space="0" w:color="auto"/>
              <w:right w:val="single" w:sz="2" w:space="0" w:color="auto"/>
            </w:tcBorders>
            <w:vAlign w:val="center"/>
          </w:tcPr>
          <w:p w14:paraId="0D709FD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44,123,666.76</w:t>
            </w:r>
          </w:p>
        </w:tc>
        <w:tc>
          <w:tcPr>
            <w:tcW w:w="876" w:type="dxa"/>
            <w:tcBorders>
              <w:top w:val="single" w:sz="2" w:space="0" w:color="auto"/>
              <w:left w:val="single" w:sz="2" w:space="0" w:color="auto"/>
              <w:bottom w:val="single" w:sz="2" w:space="0" w:color="auto"/>
              <w:right w:val="single" w:sz="2" w:space="0" w:color="auto"/>
            </w:tcBorders>
            <w:vAlign w:val="center"/>
          </w:tcPr>
          <w:p w14:paraId="34B000E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70,834,749.05</w:t>
            </w:r>
          </w:p>
        </w:tc>
        <w:tc>
          <w:tcPr>
            <w:tcW w:w="876" w:type="dxa"/>
            <w:tcBorders>
              <w:top w:val="single" w:sz="2" w:space="0" w:color="auto"/>
              <w:left w:val="single" w:sz="2" w:space="0" w:color="auto"/>
              <w:bottom w:val="single" w:sz="2" w:space="0" w:color="auto"/>
              <w:right w:val="single" w:sz="2" w:space="0" w:color="auto"/>
            </w:tcBorders>
            <w:vAlign w:val="center"/>
          </w:tcPr>
          <w:p w14:paraId="5F1F479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94.23%</w:t>
            </w:r>
          </w:p>
        </w:tc>
        <w:tc>
          <w:tcPr>
            <w:tcW w:w="876" w:type="dxa"/>
            <w:tcBorders>
              <w:top w:val="single" w:sz="2" w:space="0" w:color="auto"/>
              <w:left w:val="single" w:sz="2" w:space="0" w:color="auto"/>
              <w:bottom w:val="single" w:sz="2" w:space="0" w:color="auto"/>
              <w:right w:val="single" w:sz="2" w:space="0" w:color="auto"/>
            </w:tcBorders>
            <w:vAlign w:val="center"/>
          </w:tcPr>
          <w:p w14:paraId="4E09D24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5,705,097.70</w:t>
            </w:r>
          </w:p>
        </w:tc>
        <w:tc>
          <w:tcPr>
            <w:tcW w:w="876" w:type="dxa"/>
            <w:tcBorders>
              <w:top w:val="single" w:sz="2" w:space="0" w:color="auto"/>
              <w:left w:val="single" w:sz="2" w:space="0" w:color="auto"/>
              <w:bottom w:val="single" w:sz="2" w:space="0" w:color="auto"/>
              <w:right w:val="single" w:sz="2" w:space="0" w:color="auto"/>
            </w:tcBorders>
            <w:vAlign w:val="center"/>
          </w:tcPr>
          <w:p w14:paraId="69D5D6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8.05%</w:t>
            </w:r>
          </w:p>
        </w:tc>
        <w:tc>
          <w:tcPr>
            <w:tcW w:w="876" w:type="dxa"/>
            <w:tcBorders>
              <w:top w:val="single" w:sz="2" w:space="0" w:color="auto"/>
              <w:left w:val="single" w:sz="2" w:space="0" w:color="auto"/>
              <w:bottom w:val="single" w:sz="2" w:space="0" w:color="auto"/>
              <w:right w:val="single" w:sz="2" w:space="0" w:color="auto"/>
            </w:tcBorders>
            <w:vAlign w:val="center"/>
          </w:tcPr>
          <w:p w14:paraId="4B92B00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65,129,651.35</w:t>
            </w:r>
          </w:p>
        </w:tc>
      </w:tr>
      <w:tr w:rsidR="001D26E7" w:rsidRPr="00F614F9" w14:paraId="5B023D2E"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8723EC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14:paraId="31DEB6E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62,587,163.04</w:t>
            </w:r>
          </w:p>
        </w:tc>
        <w:tc>
          <w:tcPr>
            <w:tcW w:w="876" w:type="dxa"/>
            <w:tcBorders>
              <w:top w:val="single" w:sz="2" w:space="0" w:color="auto"/>
              <w:left w:val="single" w:sz="2" w:space="0" w:color="auto"/>
              <w:bottom w:val="single" w:sz="2" w:space="0" w:color="auto"/>
              <w:right w:val="single" w:sz="2" w:space="0" w:color="auto"/>
            </w:tcBorders>
            <w:vAlign w:val="center"/>
          </w:tcPr>
          <w:p w14:paraId="481A88C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3CFD956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17,758,596.28</w:t>
            </w:r>
          </w:p>
        </w:tc>
        <w:tc>
          <w:tcPr>
            <w:tcW w:w="876" w:type="dxa"/>
            <w:tcBorders>
              <w:top w:val="single" w:sz="2" w:space="0" w:color="auto"/>
              <w:left w:val="single" w:sz="2" w:space="0" w:color="auto"/>
              <w:bottom w:val="single" w:sz="2" w:space="0" w:color="auto"/>
              <w:right w:val="single" w:sz="2" w:space="0" w:color="auto"/>
            </w:tcBorders>
            <w:vAlign w:val="center"/>
          </w:tcPr>
          <w:p w14:paraId="675A68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28.37%</w:t>
            </w:r>
          </w:p>
        </w:tc>
        <w:tc>
          <w:tcPr>
            <w:tcW w:w="876" w:type="dxa"/>
            <w:tcBorders>
              <w:top w:val="single" w:sz="2" w:space="0" w:color="auto"/>
              <w:left w:val="single" w:sz="2" w:space="0" w:color="auto"/>
              <w:bottom w:val="single" w:sz="2" w:space="0" w:color="auto"/>
              <w:right w:val="single" w:sz="2" w:space="0" w:color="auto"/>
            </w:tcBorders>
            <w:vAlign w:val="center"/>
          </w:tcPr>
          <w:p w14:paraId="127000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44,828,566.76</w:t>
            </w:r>
          </w:p>
        </w:tc>
        <w:tc>
          <w:tcPr>
            <w:tcW w:w="876" w:type="dxa"/>
            <w:tcBorders>
              <w:top w:val="single" w:sz="2" w:space="0" w:color="auto"/>
              <w:left w:val="single" w:sz="2" w:space="0" w:color="auto"/>
              <w:bottom w:val="single" w:sz="2" w:space="0" w:color="auto"/>
              <w:right w:val="single" w:sz="2" w:space="0" w:color="auto"/>
            </w:tcBorders>
            <w:vAlign w:val="center"/>
          </w:tcPr>
          <w:p w14:paraId="6DCE696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75,170,578.93</w:t>
            </w:r>
          </w:p>
        </w:tc>
        <w:tc>
          <w:tcPr>
            <w:tcW w:w="876" w:type="dxa"/>
            <w:tcBorders>
              <w:top w:val="single" w:sz="2" w:space="0" w:color="auto"/>
              <w:left w:val="single" w:sz="2" w:space="0" w:color="auto"/>
              <w:bottom w:val="single" w:sz="2" w:space="0" w:color="auto"/>
              <w:right w:val="single" w:sz="2" w:space="0" w:color="auto"/>
            </w:tcBorders>
            <w:vAlign w:val="center"/>
          </w:tcPr>
          <w:p w14:paraId="22ADCF7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00FD9DB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8,482,055.36</w:t>
            </w:r>
          </w:p>
        </w:tc>
        <w:tc>
          <w:tcPr>
            <w:tcW w:w="876" w:type="dxa"/>
            <w:tcBorders>
              <w:top w:val="single" w:sz="2" w:space="0" w:color="auto"/>
              <w:left w:val="single" w:sz="2" w:space="0" w:color="auto"/>
              <w:bottom w:val="single" w:sz="2" w:space="0" w:color="auto"/>
              <w:right w:val="single" w:sz="2" w:space="0" w:color="auto"/>
            </w:tcBorders>
            <w:vAlign w:val="center"/>
          </w:tcPr>
          <w:p w14:paraId="1C975A6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11.28%</w:t>
            </w:r>
          </w:p>
        </w:tc>
        <w:tc>
          <w:tcPr>
            <w:tcW w:w="876" w:type="dxa"/>
            <w:tcBorders>
              <w:top w:val="single" w:sz="2" w:space="0" w:color="auto"/>
              <w:left w:val="single" w:sz="2" w:space="0" w:color="auto"/>
              <w:bottom w:val="single" w:sz="2" w:space="0" w:color="auto"/>
              <w:right w:val="single" w:sz="2" w:space="0" w:color="auto"/>
            </w:tcBorders>
            <w:vAlign w:val="center"/>
          </w:tcPr>
          <w:p w14:paraId="7573153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66,688,523.57</w:t>
            </w:r>
          </w:p>
        </w:tc>
      </w:tr>
    </w:tbl>
    <w:p w14:paraId="7FF1ED8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按单项计提坏账准备：</w:t>
      </w:r>
    </w:p>
    <w:p w14:paraId="7F32D38B" w14:textId="77777777" w:rsidR="001D26E7" w:rsidRPr="00F614F9" w:rsidRDefault="00977E90" w:rsidP="00977E9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hint="eastAsia"/>
          <w:sz w:val="18"/>
          <w:szCs w:val="18"/>
        </w:rPr>
        <w:t>无</w:t>
      </w:r>
    </w:p>
    <w:p w14:paraId="5BEA8AF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按预期信用损失一般模型计提坏账准备：</w:t>
      </w:r>
    </w:p>
    <w:p w14:paraId="4FE2B964"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1D26E7" w:rsidRPr="00F614F9" w14:paraId="106B1C8F"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7EF14F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A04D15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5E0404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710160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F28EF2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合计</w:t>
            </w:r>
          </w:p>
        </w:tc>
      </w:tr>
      <w:tr w:rsidR="001D26E7" w:rsidRPr="00F614F9" w14:paraId="65D69108"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83363C0" w14:textId="77777777" w:rsidR="001D26E7" w:rsidRPr="00F614F9" w:rsidRDefault="001D26E7">
            <w:pPr>
              <w:rPr>
                <w:rFonts w:ascii="Times New Roman" w:hAnsi="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686B9B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未来</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99013D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757432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9B813A6" w14:textId="77777777" w:rsidR="001D26E7" w:rsidRPr="00F614F9" w:rsidRDefault="001D26E7">
            <w:pPr>
              <w:rPr>
                <w:rFonts w:ascii="Times New Roman" w:hAnsi="Times New Roman"/>
              </w:rPr>
            </w:pPr>
          </w:p>
        </w:tc>
      </w:tr>
      <w:tr w:rsidR="001D26E7" w:rsidRPr="00F614F9" w14:paraId="5D1B140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386D5E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日余额</w:t>
            </w:r>
          </w:p>
        </w:tc>
        <w:tc>
          <w:tcPr>
            <w:tcW w:w="1928" w:type="dxa"/>
            <w:tcBorders>
              <w:top w:val="single" w:sz="2" w:space="0" w:color="auto"/>
              <w:left w:val="single" w:sz="2" w:space="0" w:color="auto"/>
              <w:bottom w:val="single" w:sz="2" w:space="0" w:color="auto"/>
              <w:right w:val="single" w:sz="2" w:space="0" w:color="auto"/>
            </w:tcBorders>
            <w:vAlign w:val="center"/>
          </w:tcPr>
          <w:p w14:paraId="16C975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5,708,375.48</w:t>
            </w:r>
          </w:p>
        </w:tc>
        <w:tc>
          <w:tcPr>
            <w:tcW w:w="1928" w:type="dxa"/>
            <w:tcBorders>
              <w:top w:val="single" w:sz="2" w:space="0" w:color="auto"/>
              <w:left w:val="single" w:sz="2" w:space="0" w:color="auto"/>
              <w:bottom w:val="single" w:sz="2" w:space="0" w:color="auto"/>
              <w:right w:val="single" w:sz="2" w:space="0" w:color="auto"/>
            </w:tcBorders>
            <w:vAlign w:val="center"/>
          </w:tcPr>
          <w:p w14:paraId="49AAEDE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2,773,679.88</w:t>
            </w:r>
          </w:p>
        </w:tc>
        <w:tc>
          <w:tcPr>
            <w:tcW w:w="1928" w:type="dxa"/>
            <w:tcBorders>
              <w:top w:val="single" w:sz="2" w:space="0" w:color="auto"/>
              <w:left w:val="single" w:sz="2" w:space="0" w:color="auto"/>
              <w:bottom w:val="single" w:sz="2" w:space="0" w:color="auto"/>
              <w:right w:val="single" w:sz="2" w:space="0" w:color="auto"/>
            </w:tcBorders>
            <w:vAlign w:val="center"/>
          </w:tcPr>
          <w:p w14:paraId="3D74A050"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E36F32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8,482,055.36</w:t>
            </w:r>
          </w:p>
        </w:tc>
      </w:tr>
      <w:tr w:rsidR="001D26E7" w:rsidRPr="00F614F9" w14:paraId="3AAC919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2DD44B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DA1DBFA" w14:textId="77777777" w:rsidR="001D26E7" w:rsidRPr="00F614F9" w:rsidRDefault="001D26E7">
            <w:pPr>
              <w:rPr>
                <w:rFonts w:ascii="Times New Roman" w:hAnsi="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580C1FD" w14:textId="77777777" w:rsidR="001D26E7" w:rsidRPr="00F614F9" w:rsidRDefault="001D26E7">
            <w:pPr>
              <w:rPr>
                <w:rFonts w:ascii="Times New Roman" w:hAnsi="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79EDB48" w14:textId="77777777" w:rsidR="001D26E7" w:rsidRPr="00F614F9" w:rsidRDefault="001D26E7">
            <w:pPr>
              <w:rPr>
                <w:rFonts w:ascii="Times New Roman" w:hAnsi="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44F20DE" w14:textId="77777777" w:rsidR="001D26E7" w:rsidRPr="00F614F9" w:rsidRDefault="001D26E7">
            <w:pPr>
              <w:rPr>
                <w:rFonts w:ascii="Times New Roman" w:hAnsi="Times New Roman"/>
              </w:rPr>
            </w:pPr>
          </w:p>
        </w:tc>
      </w:tr>
      <w:tr w:rsidR="001D26E7" w:rsidRPr="00F614F9" w14:paraId="4520FFD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95AC08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14:paraId="7999A18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7,032,045.2</w:t>
            </w:r>
            <w:r w:rsidR="001B61B9">
              <w:rPr>
                <w:rFonts w:ascii="Times New Roman" w:eastAsia="宋体" w:hAnsi="Times New Roman" w:cs="宋体" w:hint="eastAsia"/>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14:paraId="15D5F29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2,252,495.67</w:t>
            </w:r>
          </w:p>
        </w:tc>
        <w:tc>
          <w:tcPr>
            <w:tcW w:w="1928" w:type="dxa"/>
            <w:tcBorders>
              <w:top w:val="single" w:sz="2" w:space="0" w:color="auto"/>
              <w:left w:val="single" w:sz="2" w:space="0" w:color="auto"/>
              <w:bottom w:val="single" w:sz="2" w:space="0" w:color="auto"/>
              <w:right w:val="single" w:sz="2" w:space="0" w:color="auto"/>
            </w:tcBorders>
            <w:vAlign w:val="center"/>
          </w:tcPr>
          <w:p w14:paraId="4BC82FCB"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9DE6DA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9,2</w:t>
            </w:r>
            <w:r w:rsidR="00EE433A">
              <w:rPr>
                <w:rFonts w:ascii="Times New Roman" w:eastAsia="宋体" w:hAnsi="Times New Roman" w:cs="宋体" w:hint="eastAsia"/>
                <w:sz w:val="18"/>
                <w:szCs w:val="18"/>
              </w:rPr>
              <w:t>28</w:t>
            </w:r>
            <w:r w:rsidRPr="00F614F9">
              <w:rPr>
                <w:rFonts w:ascii="Times New Roman" w:eastAsia="宋体" w:hAnsi="Times New Roman" w:cs="宋体"/>
                <w:sz w:val="18"/>
                <w:szCs w:val="18"/>
              </w:rPr>
              <w:t>,540.92</w:t>
            </w:r>
          </w:p>
        </w:tc>
      </w:tr>
      <w:tr w:rsidR="001D26E7" w:rsidRPr="00F614F9" w14:paraId="0BB88B1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E0313E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本期核销</w:t>
            </w:r>
          </w:p>
        </w:tc>
        <w:tc>
          <w:tcPr>
            <w:tcW w:w="1928" w:type="dxa"/>
            <w:tcBorders>
              <w:top w:val="single" w:sz="2" w:space="0" w:color="auto"/>
              <w:left w:val="single" w:sz="2" w:space="0" w:color="auto"/>
              <w:bottom w:val="single" w:sz="2" w:space="0" w:color="auto"/>
              <w:right w:val="single" w:sz="2" w:space="0" w:color="auto"/>
            </w:tcBorders>
            <w:vAlign w:val="center"/>
          </w:tcPr>
          <w:p w14:paraId="77202F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8,000.00</w:t>
            </w:r>
          </w:p>
        </w:tc>
        <w:tc>
          <w:tcPr>
            <w:tcW w:w="1928" w:type="dxa"/>
            <w:tcBorders>
              <w:top w:val="single" w:sz="2" w:space="0" w:color="auto"/>
              <w:left w:val="single" w:sz="2" w:space="0" w:color="auto"/>
              <w:bottom w:val="single" w:sz="2" w:space="0" w:color="auto"/>
              <w:right w:val="single" w:sz="2" w:space="0" w:color="auto"/>
            </w:tcBorders>
            <w:vAlign w:val="center"/>
          </w:tcPr>
          <w:p w14:paraId="28CB61D9"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D759096"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2387A4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8,000.00</w:t>
            </w:r>
          </w:p>
        </w:tc>
      </w:tr>
      <w:tr w:rsidR="001D26E7" w:rsidRPr="00F614F9" w14:paraId="0D71F18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1BD47F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31</w:t>
            </w:r>
            <w:r w:rsidRPr="00F614F9">
              <w:rPr>
                <w:rFonts w:ascii="Times New Roman" w:eastAsia="宋体" w:hAnsi="Times New Roman" w:cs="宋体"/>
                <w:sz w:val="18"/>
                <w:szCs w:val="18"/>
              </w:rPr>
              <w:t>日余额</w:t>
            </w:r>
          </w:p>
        </w:tc>
        <w:tc>
          <w:tcPr>
            <w:tcW w:w="1928" w:type="dxa"/>
            <w:tcBorders>
              <w:top w:val="single" w:sz="2" w:space="0" w:color="auto"/>
              <w:left w:val="single" w:sz="2" w:space="0" w:color="auto"/>
              <w:bottom w:val="single" w:sz="2" w:space="0" w:color="auto"/>
              <w:right w:val="single" w:sz="2" w:space="0" w:color="auto"/>
            </w:tcBorders>
            <w:vAlign w:val="center"/>
          </w:tcPr>
          <w:p w14:paraId="157E178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12,732,420.73</w:t>
            </w:r>
          </w:p>
        </w:tc>
        <w:tc>
          <w:tcPr>
            <w:tcW w:w="1928" w:type="dxa"/>
            <w:tcBorders>
              <w:top w:val="single" w:sz="2" w:space="0" w:color="auto"/>
              <w:left w:val="single" w:sz="2" w:space="0" w:color="auto"/>
              <w:bottom w:val="single" w:sz="2" w:space="0" w:color="auto"/>
              <w:right w:val="single" w:sz="2" w:space="0" w:color="auto"/>
            </w:tcBorders>
            <w:vAlign w:val="center"/>
          </w:tcPr>
          <w:p w14:paraId="2158B51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5,026,175.55</w:t>
            </w:r>
          </w:p>
        </w:tc>
        <w:tc>
          <w:tcPr>
            <w:tcW w:w="1928" w:type="dxa"/>
            <w:tcBorders>
              <w:top w:val="single" w:sz="2" w:space="0" w:color="auto"/>
              <w:left w:val="single" w:sz="2" w:space="0" w:color="auto"/>
              <w:bottom w:val="single" w:sz="2" w:space="0" w:color="auto"/>
              <w:right w:val="single" w:sz="2" w:space="0" w:color="auto"/>
            </w:tcBorders>
            <w:vAlign w:val="center"/>
          </w:tcPr>
          <w:p w14:paraId="6327E52E"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C900DE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17,758,596.28</w:t>
            </w:r>
          </w:p>
        </w:tc>
      </w:tr>
    </w:tbl>
    <w:p w14:paraId="674B414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各阶段划分依据和坏账准备计提比例</w:t>
      </w:r>
    </w:p>
    <w:p w14:paraId="4D14F379" w14:textId="77777777" w:rsidR="001D26E7" w:rsidRPr="00F614F9" w:rsidRDefault="001D26E7">
      <w:pPr>
        <w:rPr>
          <w:rFonts w:ascii="Times New Roman" w:hAnsi="Times New Roman"/>
        </w:rPr>
      </w:pPr>
    </w:p>
    <w:p w14:paraId="37CD5441"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损失准备本期变动金额重大的账面余额变动情况</w:t>
      </w:r>
    </w:p>
    <w:p w14:paraId="5B261FA6"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6098FB92" w14:textId="77777777" w:rsidR="001D26E7" w:rsidRPr="00F614F9" w:rsidRDefault="00000000">
      <w:pPr>
        <w:keepNext/>
        <w:keepLines/>
        <w:spacing w:before="300" w:after="300" w:line="280" w:lineRule="exact"/>
        <w:outlineLvl w:val="4"/>
        <w:rPr>
          <w:rFonts w:ascii="Times New Roman" w:eastAsia="宋体" w:hAnsi="Times New Roman" w:cs="宋体"/>
          <w:b/>
          <w:bCs/>
          <w:szCs w:val="21"/>
        </w:rPr>
      </w:pPr>
      <w:bookmarkStart w:id="355" w:name="_Toc989177"/>
      <w:r w:rsidRPr="00F614F9">
        <w:rPr>
          <w:rFonts w:ascii="Times New Roman" w:eastAsia="宋体" w:hAnsi="Times New Roman" w:cs="宋体"/>
          <w:b/>
          <w:bCs/>
          <w:szCs w:val="21"/>
        </w:rPr>
        <w:lastRenderedPageBreak/>
        <w:t>4</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本期计提、收回或转回的坏账准备情况</w:t>
      </w:r>
      <w:bookmarkEnd w:id="355"/>
    </w:p>
    <w:p w14:paraId="67F7E8D4"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本期计提坏账准备情况：</w:t>
      </w:r>
    </w:p>
    <w:p w14:paraId="2CABF039"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1D26E7" w:rsidRPr="00F614F9" w14:paraId="53D22D0E"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B2B811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F03322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28A7FF3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FF70D9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r>
      <w:tr w:rsidR="001D26E7" w:rsidRPr="00F614F9" w14:paraId="66C7D68B"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11756F1" w14:textId="77777777" w:rsidR="001D26E7" w:rsidRPr="00F614F9" w:rsidRDefault="001D26E7">
            <w:pPr>
              <w:rPr>
                <w:rFonts w:ascii="Times New Roman" w:hAnsi="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76F21C2" w14:textId="77777777" w:rsidR="001D26E7" w:rsidRPr="00F614F9" w:rsidRDefault="001D26E7">
            <w:pPr>
              <w:rPr>
                <w:rFonts w:ascii="Times New Roman" w:hAnsi="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D6EF0E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41BED0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E61516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67DB6A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FD55918" w14:textId="77777777" w:rsidR="001D26E7" w:rsidRPr="00F614F9" w:rsidRDefault="001D26E7">
            <w:pPr>
              <w:rPr>
                <w:rFonts w:ascii="Times New Roman" w:hAnsi="Times New Roman"/>
              </w:rPr>
            </w:pPr>
          </w:p>
        </w:tc>
      </w:tr>
      <w:tr w:rsidR="001D26E7" w:rsidRPr="00F614F9" w14:paraId="276A21D9"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B7E70D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其他应收款坏账</w:t>
            </w:r>
          </w:p>
        </w:tc>
        <w:tc>
          <w:tcPr>
            <w:tcW w:w="1377" w:type="dxa"/>
            <w:tcBorders>
              <w:top w:val="single" w:sz="2" w:space="0" w:color="auto"/>
              <w:left w:val="single" w:sz="2" w:space="0" w:color="auto"/>
              <w:bottom w:val="single" w:sz="2" w:space="0" w:color="auto"/>
              <w:right w:val="single" w:sz="2" w:space="0" w:color="auto"/>
            </w:tcBorders>
            <w:vAlign w:val="center"/>
          </w:tcPr>
          <w:p w14:paraId="5CBB692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8,482,055.36</w:t>
            </w:r>
          </w:p>
        </w:tc>
        <w:tc>
          <w:tcPr>
            <w:tcW w:w="1377" w:type="dxa"/>
            <w:tcBorders>
              <w:top w:val="single" w:sz="2" w:space="0" w:color="auto"/>
              <w:left w:val="single" w:sz="2" w:space="0" w:color="auto"/>
              <w:bottom w:val="single" w:sz="2" w:space="0" w:color="auto"/>
              <w:right w:val="single" w:sz="2" w:space="0" w:color="auto"/>
            </w:tcBorders>
            <w:vAlign w:val="center"/>
          </w:tcPr>
          <w:p w14:paraId="1CBDEBD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9,284,540.92</w:t>
            </w:r>
          </w:p>
        </w:tc>
        <w:tc>
          <w:tcPr>
            <w:tcW w:w="1377" w:type="dxa"/>
            <w:tcBorders>
              <w:top w:val="single" w:sz="2" w:space="0" w:color="auto"/>
              <w:left w:val="single" w:sz="2" w:space="0" w:color="auto"/>
              <w:bottom w:val="single" w:sz="2" w:space="0" w:color="auto"/>
              <w:right w:val="single" w:sz="2" w:space="0" w:color="auto"/>
            </w:tcBorders>
            <w:vAlign w:val="center"/>
          </w:tcPr>
          <w:p w14:paraId="3D0D5572"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393D50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8,000.00</w:t>
            </w:r>
          </w:p>
        </w:tc>
        <w:tc>
          <w:tcPr>
            <w:tcW w:w="1377" w:type="dxa"/>
            <w:tcBorders>
              <w:top w:val="single" w:sz="2" w:space="0" w:color="auto"/>
              <w:left w:val="single" w:sz="2" w:space="0" w:color="auto"/>
              <w:bottom w:val="single" w:sz="2" w:space="0" w:color="auto"/>
              <w:right w:val="single" w:sz="2" w:space="0" w:color="auto"/>
            </w:tcBorders>
            <w:vAlign w:val="center"/>
          </w:tcPr>
          <w:p w14:paraId="1961170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CBC85E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17,758,596.28</w:t>
            </w:r>
          </w:p>
        </w:tc>
      </w:tr>
      <w:tr w:rsidR="001D26E7" w:rsidRPr="00F614F9" w14:paraId="69DF1B0B"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DA1526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20E2373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8,482,055.36</w:t>
            </w:r>
          </w:p>
        </w:tc>
        <w:tc>
          <w:tcPr>
            <w:tcW w:w="1377" w:type="dxa"/>
            <w:tcBorders>
              <w:top w:val="single" w:sz="2" w:space="0" w:color="auto"/>
              <w:left w:val="single" w:sz="2" w:space="0" w:color="auto"/>
              <w:bottom w:val="single" w:sz="2" w:space="0" w:color="auto"/>
              <w:right w:val="single" w:sz="2" w:space="0" w:color="auto"/>
            </w:tcBorders>
            <w:vAlign w:val="center"/>
          </w:tcPr>
          <w:p w14:paraId="216C387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9,284,540.92</w:t>
            </w:r>
          </w:p>
        </w:tc>
        <w:tc>
          <w:tcPr>
            <w:tcW w:w="1377" w:type="dxa"/>
            <w:tcBorders>
              <w:top w:val="single" w:sz="2" w:space="0" w:color="auto"/>
              <w:left w:val="single" w:sz="2" w:space="0" w:color="auto"/>
              <w:bottom w:val="single" w:sz="2" w:space="0" w:color="auto"/>
              <w:right w:val="single" w:sz="2" w:space="0" w:color="auto"/>
            </w:tcBorders>
            <w:vAlign w:val="center"/>
          </w:tcPr>
          <w:p w14:paraId="4FBF8CD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28A08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8,000.00</w:t>
            </w:r>
          </w:p>
        </w:tc>
        <w:tc>
          <w:tcPr>
            <w:tcW w:w="1377" w:type="dxa"/>
            <w:tcBorders>
              <w:top w:val="single" w:sz="2" w:space="0" w:color="auto"/>
              <w:left w:val="single" w:sz="2" w:space="0" w:color="auto"/>
              <w:bottom w:val="single" w:sz="2" w:space="0" w:color="auto"/>
              <w:right w:val="single" w:sz="2" w:space="0" w:color="auto"/>
            </w:tcBorders>
            <w:vAlign w:val="center"/>
          </w:tcPr>
          <w:p w14:paraId="046FBAD8"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D5FA8E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17,758,596.28</w:t>
            </w:r>
          </w:p>
        </w:tc>
      </w:tr>
    </w:tbl>
    <w:p w14:paraId="2F1D58F4" w14:textId="77777777" w:rsidR="00872599" w:rsidRPr="00F614F9" w:rsidRDefault="00000000">
      <w:pPr>
        <w:pStyle w:val="a3"/>
        <w:divId w:val="1307902054"/>
        <w:rPr>
          <w:rFonts w:ascii="Times New Roman" w:hAnsi="Times New Roman"/>
          <w:sz w:val="18"/>
          <w:szCs w:val="18"/>
        </w:rPr>
      </w:pPr>
      <w:r w:rsidRPr="00F614F9">
        <w:rPr>
          <w:rFonts w:ascii="Times New Roman" w:hAnsi="Times New Roman" w:hint="eastAsia"/>
          <w:sz w:val="18"/>
          <w:szCs w:val="18"/>
        </w:rPr>
        <w:t>无</w:t>
      </w:r>
    </w:p>
    <w:p w14:paraId="13EA47F5"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其中本期坏账准备转回或收回金额重要的：</w:t>
      </w:r>
    </w:p>
    <w:p w14:paraId="1DD74824" w14:textId="77777777" w:rsidR="00872599" w:rsidRPr="00F614F9" w:rsidRDefault="00000000">
      <w:pPr>
        <w:pStyle w:val="a3"/>
        <w:divId w:val="384372693"/>
        <w:rPr>
          <w:rFonts w:ascii="Times New Roman" w:hAnsi="Times New Roman"/>
          <w:sz w:val="18"/>
          <w:szCs w:val="18"/>
        </w:rPr>
      </w:pPr>
      <w:r w:rsidRPr="00F614F9">
        <w:rPr>
          <w:rFonts w:ascii="Times New Roman" w:hAnsi="Times New Roman" w:hint="eastAsia"/>
          <w:sz w:val="18"/>
          <w:szCs w:val="18"/>
        </w:rPr>
        <w:t>无</w:t>
      </w:r>
    </w:p>
    <w:p w14:paraId="66F74127" w14:textId="77777777" w:rsidR="001D26E7" w:rsidRPr="00F614F9" w:rsidRDefault="00000000">
      <w:pPr>
        <w:keepNext/>
        <w:keepLines/>
        <w:spacing w:before="300" w:after="300" w:line="280" w:lineRule="exact"/>
        <w:outlineLvl w:val="4"/>
        <w:rPr>
          <w:rFonts w:ascii="Times New Roman" w:eastAsia="宋体" w:hAnsi="Times New Roman" w:cs="宋体"/>
          <w:b/>
          <w:bCs/>
          <w:szCs w:val="21"/>
        </w:rPr>
      </w:pPr>
      <w:bookmarkStart w:id="356" w:name="_Toc989178"/>
      <w:r w:rsidRPr="00F614F9">
        <w:rPr>
          <w:rFonts w:ascii="Times New Roman" w:eastAsia="宋体" w:hAnsi="Times New Roman" w:cs="宋体"/>
          <w:b/>
          <w:bCs/>
          <w:szCs w:val="21"/>
        </w:rPr>
        <w:t>5</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本期实际核销的其他应收款情况</w:t>
      </w:r>
      <w:bookmarkEnd w:id="356"/>
    </w:p>
    <w:p w14:paraId="368B5839" w14:textId="77777777" w:rsidR="00872599" w:rsidRPr="00F614F9" w:rsidRDefault="00000000">
      <w:pPr>
        <w:pStyle w:val="a3"/>
        <w:divId w:val="44255702"/>
        <w:rPr>
          <w:rFonts w:ascii="Times New Roman" w:hAnsi="Times New Roman"/>
          <w:sz w:val="18"/>
          <w:szCs w:val="18"/>
        </w:rPr>
      </w:pPr>
      <w:r w:rsidRPr="00F614F9">
        <w:rPr>
          <w:rFonts w:ascii="Times New Roman" w:hAnsi="Times New Roman" w:hint="eastAsia"/>
          <w:sz w:val="18"/>
          <w:szCs w:val="18"/>
        </w:rPr>
        <w:t>无</w:t>
      </w:r>
    </w:p>
    <w:p w14:paraId="1AC4617E" w14:textId="77777777" w:rsidR="001D26E7" w:rsidRPr="00F614F9" w:rsidRDefault="00000000">
      <w:pPr>
        <w:keepNext/>
        <w:keepLines/>
        <w:spacing w:before="300" w:after="300" w:line="280" w:lineRule="exact"/>
        <w:outlineLvl w:val="4"/>
        <w:rPr>
          <w:rFonts w:ascii="Times New Roman" w:eastAsia="宋体" w:hAnsi="Times New Roman" w:cs="宋体"/>
          <w:b/>
          <w:bCs/>
          <w:szCs w:val="21"/>
        </w:rPr>
      </w:pPr>
      <w:bookmarkStart w:id="357" w:name="_Toc989179"/>
      <w:r w:rsidRPr="00F614F9">
        <w:rPr>
          <w:rFonts w:ascii="Times New Roman" w:eastAsia="宋体" w:hAnsi="Times New Roman" w:cs="宋体"/>
          <w:b/>
          <w:bCs/>
          <w:szCs w:val="21"/>
        </w:rPr>
        <w:t>6</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按欠款方归集的期末余额前五名的其他应收款情况</w:t>
      </w:r>
      <w:bookmarkEnd w:id="357"/>
    </w:p>
    <w:p w14:paraId="7ADCEFFE"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1D26E7" w:rsidRPr="00F614F9" w14:paraId="293D3A71"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8EFDF9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56117C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8DA973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4E81C7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7996C0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3D338F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坏账准备期末余额</w:t>
            </w:r>
          </w:p>
        </w:tc>
      </w:tr>
      <w:tr w:rsidR="001D26E7" w:rsidRPr="00F614F9" w14:paraId="59788862"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CF7CB4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w:t>
            </w:r>
            <w:r w:rsidRPr="00F614F9">
              <w:rPr>
                <w:rFonts w:ascii="Times New Roman" w:eastAsia="宋体" w:hAnsi="Times New Roman" w:cs="宋体"/>
                <w:sz w:val="18"/>
                <w:szCs w:val="18"/>
              </w:rPr>
              <w:t>A</w:t>
            </w:r>
          </w:p>
        </w:tc>
        <w:tc>
          <w:tcPr>
            <w:tcW w:w="1606" w:type="dxa"/>
            <w:tcBorders>
              <w:top w:val="single" w:sz="2" w:space="0" w:color="auto"/>
              <w:left w:val="single" w:sz="2" w:space="0" w:color="auto"/>
              <w:bottom w:val="single" w:sz="2" w:space="0" w:color="auto"/>
              <w:right w:val="single" w:sz="2" w:space="0" w:color="auto"/>
            </w:tcBorders>
            <w:vAlign w:val="center"/>
          </w:tcPr>
          <w:p w14:paraId="393F496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14:paraId="4BEFB4A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14,000,000.00</w:t>
            </w:r>
          </w:p>
        </w:tc>
        <w:tc>
          <w:tcPr>
            <w:tcW w:w="1606" w:type="dxa"/>
            <w:tcBorders>
              <w:top w:val="single" w:sz="2" w:space="0" w:color="auto"/>
              <w:left w:val="single" w:sz="2" w:space="0" w:color="auto"/>
              <w:bottom w:val="single" w:sz="2" w:space="0" w:color="auto"/>
              <w:right w:val="single" w:sz="2" w:space="0" w:color="auto"/>
            </w:tcBorders>
            <w:vAlign w:val="center"/>
          </w:tcPr>
          <w:p w14:paraId="45F177E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1-2</w:t>
            </w:r>
            <w:r w:rsidRPr="00F614F9">
              <w:rPr>
                <w:rFonts w:ascii="Times New Roman" w:eastAsia="宋体" w:hAnsi="Times New Roman" w:cs="宋体"/>
                <w:sz w:val="18"/>
                <w:szCs w:val="18"/>
              </w:rPr>
              <w:t>年</w:t>
            </w:r>
          </w:p>
        </w:tc>
        <w:tc>
          <w:tcPr>
            <w:tcW w:w="1606" w:type="dxa"/>
            <w:tcBorders>
              <w:top w:val="single" w:sz="2" w:space="0" w:color="auto"/>
              <w:left w:val="single" w:sz="2" w:space="0" w:color="auto"/>
              <w:bottom w:val="single" w:sz="2" w:space="0" w:color="auto"/>
              <w:right w:val="single" w:sz="2" w:space="0" w:color="auto"/>
            </w:tcBorders>
            <w:vAlign w:val="center"/>
          </w:tcPr>
          <w:p w14:paraId="5B90C21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22.37%</w:t>
            </w:r>
          </w:p>
        </w:tc>
        <w:tc>
          <w:tcPr>
            <w:tcW w:w="1606" w:type="dxa"/>
            <w:tcBorders>
              <w:top w:val="single" w:sz="2" w:space="0" w:color="auto"/>
              <w:left w:val="single" w:sz="2" w:space="0" w:color="auto"/>
              <w:bottom w:val="single" w:sz="2" w:space="0" w:color="auto"/>
              <w:right w:val="single" w:sz="2" w:space="0" w:color="auto"/>
            </w:tcBorders>
            <w:vAlign w:val="center"/>
          </w:tcPr>
          <w:p w14:paraId="5B72AD8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3,207,917.47</w:t>
            </w:r>
          </w:p>
        </w:tc>
      </w:tr>
      <w:tr w:rsidR="001D26E7" w:rsidRPr="00F614F9" w14:paraId="486C878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014FE1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w:t>
            </w:r>
            <w:r w:rsidRPr="00F614F9">
              <w:rPr>
                <w:rFonts w:ascii="Times New Roman" w:eastAsia="宋体" w:hAnsi="Times New Roman" w:cs="宋体"/>
                <w:sz w:val="18"/>
                <w:szCs w:val="18"/>
              </w:rPr>
              <w:t>B</w:t>
            </w:r>
          </w:p>
        </w:tc>
        <w:tc>
          <w:tcPr>
            <w:tcW w:w="1606" w:type="dxa"/>
            <w:tcBorders>
              <w:top w:val="single" w:sz="2" w:space="0" w:color="auto"/>
              <w:left w:val="single" w:sz="2" w:space="0" w:color="auto"/>
              <w:bottom w:val="single" w:sz="2" w:space="0" w:color="auto"/>
              <w:right w:val="single" w:sz="2" w:space="0" w:color="auto"/>
            </w:tcBorders>
            <w:vAlign w:val="center"/>
          </w:tcPr>
          <w:p w14:paraId="406517D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14:paraId="0151732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10,684,136.67</w:t>
            </w:r>
          </w:p>
        </w:tc>
        <w:tc>
          <w:tcPr>
            <w:tcW w:w="1606" w:type="dxa"/>
            <w:tcBorders>
              <w:top w:val="single" w:sz="2" w:space="0" w:color="auto"/>
              <w:left w:val="single" w:sz="2" w:space="0" w:color="auto"/>
              <w:bottom w:val="single" w:sz="2" w:space="0" w:color="auto"/>
              <w:right w:val="single" w:sz="2" w:space="0" w:color="auto"/>
            </w:tcBorders>
            <w:vAlign w:val="center"/>
          </w:tcPr>
          <w:p w14:paraId="2CBA3AB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4-6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年</w:t>
            </w:r>
          </w:p>
        </w:tc>
        <w:tc>
          <w:tcPr>
            <w:tcW w:w="1606" w:type="dxa"/>
            <w:tcBorders>
              <w:top w:val="single" w:sz="2" w:space="0" w:color="auto"/>
              <w:left w:val="single" w:sz="2" w:space="0" w:color="auto"/>
              <w:bottom w:val="single" w:sz="2" w:space="0" w:color="auto"/>
              <w:right w:val="single" w:sz="2" w:space="0" w:color="auto"/>
            </w:tcBorders>
            <w:vAlign w:val="center"/>
          </w:tcPr>
          <w:p w14:paraId="7F6B38C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17.07%</w:t>
            </w:r>
          </w:p>
        </w:tc>
        <w:tc>
          <w:tcPr>
            <w:tcW w:w="1606" w:type="dxa"/>
            <w:tcBorders>
              <w:top w:val="single" w:sz="2" w:space="0" w:color="auto"/>
              <w:left w:val="single" w:sz="2" w:space="0" w:color="auto"/>
              <w:bottom w:val="single" w:sz="2" w:space="0" w:color="auto"/>
              <w:right w:val="single" w:sz="2" w:space="0" w:color="auto"/>
            </w:tcBorders>
            <w:vAlign w:val="center"/>
          </w:tcPr>
          <w:p w14:paraId="4F6DF5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1,537,561.11</w:t>
            </w:r>
          </w:p>
        </w:tc>
      </w:tr>
      <w:tr w:rsidR="001D26E7" w:rsidRPr="00F614F9" w14:paraId="40D32DE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698EDD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w:t>
            </w:r>
            <w:r w:rsidRPr="00F614F9">
              <w:rPr>
                <w:rFonts w:ascii="Times New Roman" w:eastAsia="宋体" w:hAnsi="Times New Roman" w:cs="宋体"/>
                <w:sz w:val="18"/>
                <w:szCs w:val="18"/>
              </w:rPr>
              <w:t>C</w:t>
            </w:r>
          </w:p>
        </w:tc>
        <w:tc>
          <w:tcPr>
            <w:tcW w:w="1606" w:type="dxa"/>
            <w:tcBorders>
              <w:top w:val="single" w:sz="2" w:space="0" w:color="auto"/>
              <w:left w:val="single" w:sz="2" w:space="0" w:color="auto"/>
              <w:bottom w:val="single" w:sz="2" w:space="0" w:color="auto"/>
              <w:right w:val="single" w:sz="2" w:space="0" w:color="auto"/>
            </w:tcBorders>
            <w:vAlign w:val="center"/>
          </w:tcPr>
          <w:p w14:paraId="33E9EF4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14:paraId="308C84C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5,500,000.00</w:t>
            </w:r>
          </w:p>
        </w:tc>
        <w:tc>
          <w:tcPr>
            <w:tcW w:w="1606" w:type="dxa"/>
            <w:tcBorders>
              <w:top w:val="single" w:sz="2" w:space="0" w:color="auto"/>
              <w:left w:val="single" w:sz="2" w:space="0" w:color="auto"/>
              <w:bottom w:val="single" w:sz="2" w:space="0" w:color="auto"/>
              <w:right w:val="single" w:sz="2" w:space="0" w:color="auto"/>
            </w:tcBorders>
            <w:vAlign w:val="center"/>
          </w:tcPr>
          <w:p w14:paraId="19CDA86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1-2</w:t>
            </w:r>
            <w:r w:rsidRPr="00F614F9">
              <w:rPr>
                <w:rFonts w:ascii="Times New Roman" w:eastAsia="宋体" w:hAnsi="Times New Roman" w:cs="宋体"/>
                <w:sz w:val="18"/>
                <w:szCs w:val="18"/>
              </w:rPr>
              <w:t>年</w:t>
            </w:r>
          </w:p>
        </w:tc>
        <w:tc>
          <w:tcPr>
            <w:tcW w:w="1606" w:type="dxa"/>
            <w:tcBorders>
              <w:top w:val="single" w:sz="2" w:space="0" w:color="auto"/>
              <w:left w:val="single" w:sz="2" w:space="0" w:color="auto"/>
              <w:bottom w:val="single" w:sz="2" w:space="0" w:color="auto"/>
              <w:right w:val="single" w:sz="2" w:space="0" w:color="auto"/>
            </w:tcBorders>
            <w:vAlign w:val="center"/>
          </w:tcPr>
          <w:p w14:paraId="01C2F59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8.79%</w:t>
            </w:r>
          </w:p>
        </w:tc>
        <w:tc>
          <w:tcPr>
            <w:tcW w:w="1606" w:type="dxa"/>
            <w:tcBorders>
              <w:top w:val="single" w:sz="2" w:space="0" w:color="auto"/>
              <w:left w:val="single" w:sz="2" w:space="0" w:color="auto"/>
              <w:bottom w:val="single" w:sz="2" w:space="0" w:color="auto"/>
              <w:right w:val="single" w:sz="2" w:space="0" w:color="auto"/>
            </w:tcBorders>
            <w:vAlign w:val="center"/>
          </w:tcPr>
          <w:p w14:paraId="2F53E70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1,260,253.29</w:t>
            </w:r>
          </w:p>
        </w:tc>
      </w:tr>
      <w:tr w:rsidR="001D26E7" w:rsidRPr="00F614F9" w14:paraId="4F2CCA86"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095859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w:t>
            </w:r>
            <w:r w:rsidRPr="00F614F9">
              <w:rPr>
                <w:rFonts w:ascii="Times New Roman" w:eastAsia="宋体" w:hAnsi="Times New Roman" w:cs="宋体"/>
                <w:sz w:val="18"/>
                <w:szCs w:val="18"/>
              </w:rPr>
              <w:t>D</w:t>
            </w:r>
          </w:p>
        </w:tc>
        <w:tc>
          <w:tcPr>
            <w:tcW w:w="1606" w:type="dxa"/>
            <w:tcBorders>
              <w:top w:val="single" w:sz="2" w:space="0" w:color="auto"/>
              <w:left w:val="single" w:sz="2" w:space="0" w:color="auto"/>
              <w:bottom w:val="single" w:sz="2" w:space="0" w:color="auto"/>
              <w:right w:val="single" w:sz="2" w:space="0" w:color="auto"/>
            </w:tcBorders>
            <w:vAlign w:val="center"/>
          </w:tcPr>
          <w:p w14:paraId="03319C1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融资租赁保证金</w:t>
            </w:r>
          </w:p>
        </w:tc>
        <w:tc>
          <w:tcPr>
            <w:tcW w:w="1606" w:type="dxa"/>
            <w:tcBorders>
              <w:top w:val="single" w:sz="2" w:space="0" w:color="auto"/>
              <w:left w:val="single" w:sz="2" w:space="0" w:color="auto"/>
              <w:bottom w:val="single" w:sz="2" w:space="0" w:color="auto"/>
              <w:right w:val="single" w:sz="2" w:space="0" w:color="auto"/>
            </w:tcBorders>
            <w:vAlign w:val="center"/>
          </w:tcPr>
          <w:p w14:paraId="213DC9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5,000,000.00</w:t>
            </w:r>
          </w:p>
        </w:tc>
        <w:tc>
          <w:tcPr>
            <w:tcW w:w="1606" w:type="dxa"/>
            <w:tcBorders>
              <w:top w:val="single" w:sz="2" w:space="0" w:color="auto"/>
              <w:left w:val="single" w:sz="2" w:space="0" w:color="auto"/>
              <w:bottom w:val="single" w:sz="2" w:space="0" w:color="auto"/>
              <w:right w:val="single" w:sz="2" w:space="0" w:color="auto"/>
            </w:tcBorders>
            <w:vAlign w:val="center"/>
          </w:tcPr>
          <w:p w14:paraId="5A62E42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7-9</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10-12</w:t>
            </w:r>
            <w:r w:rsidRPr="00F614F9">
              <w:rPr>
                <w:rFonts w:ascii="Times New Roman" w:eastAsia="宋体" w:hAnsi="Times New Roman" w:cs="宋体"/>
                <w:sz w:val="18"/>
                <w:szCs w:val="18"/>
              </w:rPr>
              <w:t>月</w:t>
            </w:r>
          </w:p>
        </w:tc>
        <w:tc>
          <w:tcPr>
            <w:tcW w:w="1606" w:type="dxa"/>
            <w:tcBorders>
              <w:top w:val="single" w:sz="2" w:space="0" w:color="auto"/>
              <w:left w:val="single" w:sz="2" w:space="0" w:color="auto"/>
              <w:bottom w:val="single" w:sz="2" w:space="0" w:color="auto"/>
              <w:right w:val="single" w:sz="2" w:space="0" w:color="auto"/>
            </w:tcBorders>
            <w:vAlign w:val="center"/>
          </w:tcPr>
          <w:p w14:paraId="1ED7F5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7.99%</w:t>
            </w:r>
          </w:p>
        </w:tc>
        <w:tc>
          <w:tcPr>
            <w:tcW w:w="1606" w:type="dxa"/>
            <w:tcBorders>
              <w:top w:val="single" w:sz="2" w:space="0" w:color="auto"/>
              <w:left w:val="single" w:sz="2" w:space="0" w:color="auto"/>
              <w:bottom w:val="single" w:sz="2" w:space="0" w:color="auto"/>
              <w:right w:val="single" w:sz="2" w:space="0" w:color="auto"/>
            </w:tcBorders>
            <w:vAlign w:val="center"/>
          </w:tcPr>
          <w:p w14:paraId="5DF65BC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61,663.57</w:t>
            </w:r>
          </w:p>
        </w:tc>
      </w:tr>
      <w:tr w:rsidR="001D26E7" w:rsidRPr="00F614F9" w14:paraId="5A0E9CC0"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462449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w:t>
            </w:r>
            <w:r w:rsidRPr="00F614F9">
              <w:rPr>
                <w:rFonts w:ascii="Times New Roman" w:eastAsia="宋体" w:hAnsi="Times New Roman" w:cs="宋体"/>
                <w:sz w:val="18"/>
                <w:szCs w:val="18"/>
              </w:rPr>
              <w:t>E</w:t>
            </w:r>
          </w:p>
        </w:tc>
        <w:tc>
          <w:tcPr>
            <w:tcW w:w="1606" w:type="dxa"/>
            <w:tcBorders>
              <w:top w:val="single" w:sz="2" w:space="0" w:color="auto"/>
              <w:left w:val="single" w:sz="2" w:space="0" w:color="auto"/>
              <w:bottom w:val="single" w:sz="2" w:space="0" w:color="auto"/>
              <w:right w:val="single" w:sz="2" w:space="0" w:color="auto"/>
            </w:tcBorders>
            <w:vAlign w:val="center"/>
          </w:tcPr>
          <w:p w14:paraId="48EEC48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14:paraId="0AF731B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3,419,400.00</w:t>
            </w:r>
          </w:p>
        </w:tc>
        <w:tc>
          <w:tcPr>
            <w:tcW w:w="1606" w:type="dxa"/>
            <w:tcBorders>
              <w:top w:val="single" w:sz="2" w:space="0" w:color="auto"/>
              <w:left w:val="single" w:sz="2" w:space="0" w:color="auto"/>
              <w:bottom w:val="single" w:sz="2" w:space="0" w:color="auto"/>
              <w:right w:val="single" w:sz="2" w:space="0" w:color="auto"/>
            </w:tcBorders>
            <w:vAlign w:val="center"/>
          </w:tcPr>
          <w:p w14:paraId="4839E5F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2-3</w:t>
            </w:r>
            <w:r w:rsidRPr="00F614F9">
              <w:rPr>
                <w:rFonts w:ascii="Times New Roman" w:eastAsia="宋体" w:hAnsi="Times New Roman" w:cs="宋体"/>
                <w:sz w:val="18"/>
                <w:szCs w:val="18"/>
              </w:rPr>
              <w:t>年</w:t>
            </w:r>
          </w:p>
        </w:tc>
        <w:tc>
          <w:tcPr>
            <w:tcW w:w="1606" w:type="dxa"/>
            <w:tcBorders>
              <w:top w:val="single" w:sz="2" w:space="0" w:color="auto"/>
              <w:left w:val="single" w:sz="2" w:space="0" w:color="auto"/>
              <w:bottom w:val="single" w:sz="2" w:space="0" w:color="auto"/>
              <w:right w:val="single" w:sz="2" w:space="0" w:color="auto"/>
            </w:tcBorders>
            <w:vAlign w:val="center"/>
          </w:tcPr>
          <w:p w14:paraId="7037CA9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5.46%</w:t>
            </w:r>
          </w:p>
        </w:tc>
        <w:tc>
          <w:tcPr>
            <w:tcW w:w="1606" w:type="dxa"/>
            <w:tcBorders>
              <w:top w:val="single" w:sz="2" w:space="0" w:color="auto"/>
              <w:left w:val="single" w:sz="2" w:space="0" w:color="auto"/>
              <w:bottom w:val="single" w:sz="2" w:space="0" w:color="auto"/>
              <w:right w:val="single" w:sz="2" w:space="0" w:color="auto"/>
            </w:tcBorders>
            <w:vAlign w:val="center"/>
          </w:tcPr>
          <w:p w14:paraId="27649E0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1,627,575.00</w:t>
            </w:r>
          </w:p>
        </w:tc>
      </w:tr>
      <w:tr w:rsidR="001D26E7" w:rsidRPr="00F614F9" w14:paraId="17DD3310"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DA04C6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9A0501C" w14:textId="77777777" w:rsidR="001D26E7" w:rsidRPr="00F614F9" w:rsidRDefault="001D26E7">
            <w:pPr>
              <w:rPr>
                <w:rFonts w:ascii="Times New Roman" w:hAnsi="Times New Roman"/>
              </w:rPr>
            </w:pPr>
          </w:p>
        </w:tc>
        <w:tc>
          <w:tcPr>
            <w:tcW w:w="1606" w:type="dxa"/>
            <w:tcBorders>
              <w:top w:val="single" w:sz="2" w:space="0" w:color="auto"/>
              <w:left w:val="single" w:sz="2" w:space="0" w:color="auto"/>
              <w:bottom w:val="single" w:sz="2" w:space="0" w:color="auto"/>
              <w:right w:val="single" w:sz="2" w:space="0" w:color="auto"/>
            </w:tcBorders>
            <w:vAlign w:val="center"/>
          </w:tcPr>
          <w:p w14:paraId="662DEE4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38,603,536.67</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B1BFFA7" w14:textId="77777777" w:rsidR="001D26E7" w:rsidRPr="00F614F9" w:rsidRDefault="001D26E7">
            <w:pPr>
              <w:rPr>
                <w:rFonts w:ascii="Times New Roman" w:hAnsi="Times New Roman"/>
              </w:rPr>
            </w:pPr>
          </w:p>
        </w:tc>
        <w:tc>
          <w:tcPr>
            <w:tcW w:w="1606" w:type="dxa"/>
            <w:tcBorders>
              <w:top w:val="single" w:sz="2" w:space="0" w:color="auto"/>
              <w:left w:val="single" w:sz="2" w:space="0" w:color="auto"/>
              <w:bottom w:val="single" w:sz="2" w:space="0" w:color="auto"/>
              <w:right w:val="single" w:sz="2" w:space="0" w:color="auto"/>
            </w:tcBorders>
            <w:vAlign w:val="center"/>
          </w:tcPr>
          <w:p w14:paraId="4C2B70E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61.68%</w:t>
            </w:r>
          </w:p>
        </w:tc>
        <w:tc>
          <w:tcPr>
            <w:tcW w:w="1606" w:type="dxa"/>
            <w:tcBorders>
              <w:top w:val="single" w:sz="2" w:space="0" w:color="auto"/>
              <w:left w:val="single" w:sz="2" w:space="0" w:color="auto"/>
              <w:bottom w:val="single" w:sz="2" w:space="0" w:color="auto"/>
              <w:right w:val="single" w:sz="2" w:space="0" w:color="auto"/>
            </w:tcBorders>
            <w:vAlign w:val="center"/>
          </w:tcPr>
          <w:p w14:paraId="399803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7,694,970.44</w:t>
            </w:r>
          </w:p>
        </w:tc>
      </w:tr>
    </w:tbl>
    <w:p w14:paraId="1BFCAADB" w14:textId="77777777" w:rsidR="001D26E7" w:rsidRPr="00F614F9" w:rsidRDefault="00000000">
      <w:pPr>
        <w:keepNext/>
        <w:keepLines/>
        <w:spacing w:before="300" w:after="300" w:line="280" w:lineRule="exact"/>
        <w:outlineLvl w:val="4"/>
        <w:rPr>
          <w:rFonts w:ascii="Times New Roman" w:eastAsia="宋体" w:hAnsi="Times New Roman" w:cs="宋体"/>
          <w:b/>
          <w:bCs/>
          <w:szCs w:val="21"/>
        </w:rPr>
      </w:pPr>
      <w:bookmarkStart w:id="358" w:name="_Toc989180"/>
      <w:r w:rsidRPr="00F614F9">
        <w:rPr>
          <w:rFonts w:ascii="Times New Roman" w:eastAsia="宋体" w:hAnsi="Times New Roman" w:cs="宋体"/>
          <w:b/>
          <w:bCs/>
          <w:szCs w:val="21"/>
        </w:rPr>
        <w:t>7</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因资金集中管理而列报于其他应收款</w:t>
      </w:r>
      <w:bookmarkEnd w:id="358"/>
    </w:p>
    <w:p w14:paraId="47335652" w14:textId="77777777" w:rsidR="00872599" w:rsidRPr="00F614F9" w:rsidRDefault="00000000">
      <w:pPr>
        <w:pStyle w:val="a3"/>
        <w:divId w:val="1295520345"/>
        <w:rPr>
          <w:rFonts w:ascii="Times New Roman" w:hAnsi="Times New Roman"/>
          <w:sz w:val="18"/>
          <w:szCs w:val="18"/>
        </w:rPr>
      </w:pPr>
      <w:r w:rsidRPr="00F614F9">
        <w:rPr>
          <w:rFonts w:ascii="Times New Roman" w:hAnsi="Times New Roman" w:hint="eastAsia"/>
          <w:sz w:val="18"/>
          <w:szCs w:val="18"/>
        </w:rPr>
        <w:t>无</w:t>
      </w:r>
    </w:p>
    <w:p w14:paraId="17835B90" w14:textId="77777777" w:rsidR="001D26E7" w:rsidRPr="00F614F9" w:rsidRDefault="00000000">
      <w:pPr>
        <w:pStyle w:val="3"/>
        <w:spacing w:line="280" w:lineRule="exact"/>
        <w:jc w:val="left"/>
        <w:rPr>
          <w:rFonts w:ascii="Times New Roman" w:hAnsi="Times New Roman" w:cs="宋体"/>
          <w:b/>
          <w:bCs/>
        </w:rPr>
      </w:pPr>
      <w:bookmarkStart w:id="359" w:name="_Toc989181"/>
      <w:r w:rsidRPr="00F614F9">
        <w:rPr>
          <w:rFonts w:ascii="Times New Roman" w:hAnsi="Times New Roman" w:cs="宋体"/>
          <w:b/>
          <w:bCs/>
        </w:rPr>
        <w:t>9</w:t>
      </w:r>
      <w:r w:rsidRPr="00F614F9">
        <w:rPr>
          <w:rFonts w:ascii="Times New Roman" w:hAnsi="Times New Roman" w:cs="宋体"/>
          <w:b/>
          <w:bCs/>
        </w:rPr>
        <w:t>、预付款项</w:t>
      </w:r>
      <w:bookmarkEnd w:id="359"/>
    </w:p>
    <w:p w14:paraId="255C59A3"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60" w:name="_Toc989182"/>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预付</w:t>
      </w:r>
      <w:proofErr w:type="gramStart"/>
      <w:r w:rsidRPr="00F614F9">
        <w:rPr>
          <w:rFonts w:ascii="Times New Roman" w:eastAsia="宋体" w:hAnsi="Times New Roman" w:cs="宋体"/>
          <w:b/>
          <w:bCs/>
          <w:szCs w:val="21"/>
        </w:rPr>
        <w:t>款项按账龄</w:t>
      </w:r>
      <w:proofErr w:type="gramEnd"/>
      <w:r w:rsidRPr="00F614F9">
        <w:rPr>
          <w:rFonts w:ascii="Times New Roman" w:eastAsia="宋体" w:hAnsi="Times New Roman" w:cs="宋体"/>
          <w:b/>
          <w:bCs/>
          <w:szCs w:val="21"/>
        </w:rPr>
        <w:t>列示</w:t>
      </w:r>
      <w:bookmarkEnd w:id="360"/>
    </w:p>
    <w:p w14:paraId="62E79023"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1D26E7" w:rsidRPr="00F614F9" w14:paraId="4A0E9475"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8918B5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账龄</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29AA54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1C267A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182F4E9B"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C6227D8" w14:textId="77777777" w:rsidR="001D26E7" w:rsidRPr="00F614F9" w:rsidRDefault="001D26E7">
            <w:pPr>
              <w:rPr>
                <w:rFonts w:ascii="Times New Roman" w:hAnsi="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C9F4D0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65BE5C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E8AFF5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573D7E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比例</w:t>
            </w:r>
          </w:p>
        </w:tc>
      </w:tr>
      <w:tr w:rsidR="001D26E7" w:rsidRPr="00F614F9" w14:paraId="0A9CC07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9E749E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年以内</w:t>
            </w:r>
          </w:p>
        </w:tc>
        <w:tc>
          <w:tcPr>
            <w:tcW w:w="1928" w:type="dxa"/>
            <w:tcBorders>
              <w:top w:val="single" w:sz="2" w:space="0" w:color="auto"/>
              <w:left w:val="single" w:sz="2" w:space="0" w:color="auto"/>
              <w:bottom w:val="single" w:sz="2" w:space="0" w:color="auto"/>
              <w:right w:val="single" w:sz="2" w:space="0" w:color="auto"/>
            </w:tcBorders>
            <w:vAlign w:val="center"/>
          </w:tcPr>
          <w:p w14:paraId="690BFD1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79,192,903.35</w:t>
            </w:r>
          </w:p>
        </w:tc>
        <w:tc>
          <w:tcPr>
            <w:tcW w:w="1928" w:type="dxa"/>
            <w:tcBorders>
              <w:top w:val="single" w:sz="2" w:space="0" w:color="auto"/>
              <w:left w:val="single" w:sz="2" w:space="0" w:color="auto"/>
              <w:bottom w:val="single" w:sz="2" w:space="0" w:color="auto"/>
              <w:right w:val="single" w:sz="2" w:space="0" w:color="auto"/>
            </w:tcBorders>
            <w:vAlign w:val="center"/>
          </w:tcPr>
          <w:p w14:paraId="0BF915B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97.29%</w:t>
            </w:r>
          </w:p>
        </w:tc>
        <w:tc>
          <w:tcPr>
            <w:tcW w:w="1928" w:type="dxa"/>
            <w:tcBorders>
              <w:top w:val="single" w:sz="2" w:space="0" w:color="auto"/>
              <w:left w:val="single" w:sz="2" w:space="0" w:color="auto"/>
              <w:bottom w:val="single" w:sz="2" w:space="0" w:color="auto"/>
              <w:right w:val="single" w:sz="2" w:space="0" w:color="auto"/>
            </w:tcBorders>
            <w:vAlign w:val="center"/>
          </w:tcPr>
          <w:p w14:paraId="6DC3472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195,831,037.89</w:t>
            </w:r>
          </w:p>
        </w:tc>
        <w:tc>
          <w:tcPr>
            <w:tcW w:w="1928" w:type="dxa"/>
            <w:tcBorders>
              <w:top w:val="single" w:sz="2" w:space="0" w:color="auto"/>
              <w:left w:val="single" w:sz="2" w:space="0" w:color="auto"/>
              <w:bottom w:val="single" w:sz="2" w:space="0" w:color="auto"/>
              <w:right w:val="single" w:sz="2" w:space="0" w:color="auto"/>
            </w:tcBorders>
            <w:vAlign w:val="center"/>
          </w:tcPr>
          <w:p w14:paraId="778D810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98.26%</w:t>
            </w:r>
          </w:p>
        </w:tc>
      </w:tr>
      <w:tr w:rsidR="001D26E7" w:rsidRPr="00F614F9" w14:paraId="2C2EF35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A91637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至</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年</w:t>
            </w:r>
          </w:p>
        </w:tc>
        <w:tc>
          <w:tcPr>
            <w:tcW w:w="1928" w:type="dxa"/>
            <w:tcBorders>
              <w:top w:val="single" w:sz="2" w:space="0" w:color="auto"/>
              <w:left w:val="single" w:sz="2" w:space="0" w:color="auto"/>
              <w:bottom w:val="single" w:sz="2" w:space="0" w:color="auto"/>
              <w:right w:val="single" w:sz="2" w:space="0" w:color="auto"/>
            </w:tcBorders>
            <w:vAlign w:val="center"/>
          </w:tcPr>
          <w:p w14:paraId="76A2715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908,070.62</w:t>
            </w:r>
          </w:p>
        </w:tc>
        <w:tc>
          <w:tcPr>
            <w:tcW w:w="1928" w:type="dxa"/>
            <w:tcBorders>
              <w:top w:val="single" w:sz="2" w:space="0" w:color="auto"/>
              <w:left w:val="single" w:sz="2" w:space="0" w:color="auto"/>
              <w:bottom w:val="single" w:sz="2" w:space="0" w:color="auto"/>
              <w:right w:val="single" w:sz="2" w:space="0" w:color="auto"/>
            </w:tcBorders>
            <w:vAlign w:val="center"/>
          </w:tcPr>
          <w:p w14:paraId="50E3535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1.12%</w:t>
            </w:r>
          </w:p>
        </w:tc>
        <w:tc>
          <w:tcPr>
            <w:tcW w:w="1928" w:type="dxa"/>
            <w:tcBorders>
              <w:top w:val="single" w:sz="2" w:space="0" w:color="auto"/>
              <w:left w:val="single" w:sz="2" w:space="0" w:color="auto"/>
              <w:bottom w:val="single" w:sz="2" w:space="0" w:color="auto"/>
              <w:right w:val="single" w:sz="2" w:space="0" w:color="auto"/>
            </w:tcBorders>
            <w:vAlign w:val="center"/>
          </w:tcPr>
          <w:p w14:paraId="3C016C7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3,464,899.70</w:t>
            </w:r>
          </w:p>
        </w:tc>
        <w:tc>
          <w:tcPr>
            <w:tcW w:w="1928" w:type="dxa"/>
            <w:tcBorders>
              <w:top w:val="single" w:sz="2" w:space="0" w:color="auto"/>
              <w:left w:val="single" w:sz="2" w:space="0" w:color="auto"/>
              <w:bottom w:val="single" w:sz="2" w:space="0" w:color="auto"/>
              <w:right w:val="single" w:sz="2" w:space="0" w:color="auto"/>
            </w:tcBorders>
            <w:vAlign w:val="center"/>
          </w:tcPr>
          <w:p w14:paraId="1DAA5FE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1.74%</w:t>
            </w:r>
          </w:p>
        </w:tc>
      </w:tr>
      <w:tr w:rsidR="001D26E7" w:rsidRPr="00F614F9" w14:paraId="75CAA5A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03B490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2</w:t>
            </w:r>
            <w:r w:rsidRPr="00F614F9">
              <w:rPr>
                <w:rFonts w:ascii="Times New Roman" w:eastAsia="宋体" w:hAnsi="Times New Roman" w:cs="宋体"/>
                <w:sz w:val="18"/>
                <w:szCs w:val="18"/>
              </w:rPr>
              <w:t>至</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年</w:t>
            </w:r>
          </w:p>
        </w:tc>
        <w:tc>
          <w:tcPr>
            <w:tcW w:w="1928" w:type="dxa"/>
            <w:tcBorders>
              <w:top w:val="single" w:sz="2" w:space="0" w:color="auto"/>
              <w:left w:val="single" w:sz="2" w:space="0" w:color="auto"/>
              <w:bottom w:val="single" w:sz="2" w:space="0" w:color="auto"/>
              <w:right w:val="single" w:sz="2" w:space="0" w:color="auto"/>
            </w:tcBorders>
            <w:vAlign w:val="center"/>
          </w:tcPr>
          <w:p w14:paraId="1D6E1A6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1,294,504.82</w:t>
            </w:r>
          </w:p>
        </w:tc>
        <w:tc>
          <w:tcPr>
            <w:tcW w:w="1928" w:type="dxa"/>
            <w:tcBorders>
              <w:top w:val="single" w:sz="2" w:space="0" w:color="auto"/>
              <w:left w:val="single" w:sz="2" w:space="0" w:color="auto"/>
              <w:bottom w:val="single" w:sz="2" w:space="0" w:color="auto"/>
              <w:right w:val="single" w:sz="2" w:space="0" w:color="auto"/>
            </w:tcBorders>
            <w:vAlign w:val="center"/>
          </w:tcPr>
          <w:p w14:paraId="23F8322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1.59%</w:t>
            </w:r>
          </w:p>
        </w:tc>
        <w:tc>
          <w:tcPr>
            <w:tcW w:w="1928" w:type="dxa"/>
            <w:tcBorders>
              <w:top w:val="single" w:sz="2" w:space="0" w:color="auto"/>
              <w:left w:val="single" w:sz="2" w:space="0" w:color="auto"/>
              <w:bottom w:val="single" w:sz="2" w:space="0" w:color="auto"/>
              <w:right w:val="single" w:sz="2" w:space="0" w:color="auto"/>
            </w:tcBorders>
            <w:vAlign w:val="center"/>
          </w:tcPr>
          <w:p w14:paraId="03A9776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7,817.00</w:t>
            </w:r>
          </w:p>
        </w:tc>
        <w:tc>
          <w:tcPr>
            <w:tcW w:w="1928" w:type="dxa"/>
            <w:tcBorders>
              <w:top w:val="single" w:sz="2" w:space="0" w:color="auto"/>
              <w:left w:val="single" w:sz="2" w:space="0" w:color="auto"/>
              <w:bottom w:val="single" w:sz="2" w:space="0" w:color="auto"/>
              <w:right w:val="single" w:sz="2" w:space="0" w:color="auto"/>
            </w:tcBorders>
            <w:vAlign w:val="center"/>
          </w:tcPr>
          <w:p w14:paraId="1756BE2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F02F336"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A42DC2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72058DC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81,395,478.79</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A1CE6A1" w14:textId="77777777" w:rsidR="001D26E7" w:rsidRPr="00F614F9" w:rsidRDefault="001D26E7">
            <w:pPr>
              <w:rPr>
                <w:rFonts w:ascii="Times New Roman" w:hAnsi="Times New Roman"/>
              </w:rPr>
            </w:pPr>
          </w:p>
        </w:tc>
        <w:tc>
          <w:tcPr>
            <w:tcW w:w="1928" w:type="dxa"/>
            <w:tcBorders>
              <w:top w:val="single" w:sz="2" w:space="0" w:color="auto"/>
              <w:left w:val="single" w:sz="2" w:space="0" w:color="auto"/>
              <w:bottom w:val="single" w:sz="2" w:space="0" w:color="auto"/>
              <w:right w:val="single" w:sz="2" w:space="0" w:color="auto"/>
            </w:tcBorders>
            <w:vAlign w:val="center"/>
          </w:tcPr>
          <w:p w14:paraId="21C8988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199,303,754.59</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78FB441" w14:textId="77777777" w:rsidR="001D26E7" w:rsidRPr="00F614F9" w:rsidRDefault="001D26E7">
            <w:pPr>
              <w:rPr>
                <w:rFonts w:ascii="Times New Roman" w:hAnsi="Times New Roman"/>
              </w:rPr>
            </w:pPr>
          </w:p>
        </w:tc>
      </w:tr>
    </w:tbl>
    <w:p w14:paraId="3F39310A"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账龄超过</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年且金额重要的预付款项未及时结算原因的说明：</w:t>
      </w:r>
    </w:p>
    <w:p w14:paraId="101B1EFB" w14:textId="77777777" w:rsidR="00872599" w:rsidRPr="00F614F9" w:rsidRDefault="00000000">
      <w:pPr>
        <w:pStyle w:val="a3"/>
        <w:divId w:val="748188034"/>
        <w:rPr>
          <w:rFonts w:ascii="Times New Roman" w:hAnsi="Times New Roman"/>
          <w:sz w:val="18"/>
          <w:szCs w:val="18"/>
        </w:rPr>
      </w:pPr>
      <w:r w:rsidRPr="00F614F9">
        <w:rPr>
          <w:rFonts w:ascii="Times New Roman" w:hAnsi="Times New Roman" w:hint="eastAsia"/>
          <w:sz w:val="18"/>
          <w:szCs w:val="18"/>
        </w:rPr>
        <w:t>无</w:t>
      </w:r>
    </w:p>
    <w:p w14:paraId="7B804E8F"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61" w:name="_Toc989183"/>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按预付对象归集的期末余额前五名的预付款情况</w:t>
      </w:r>
      <w:bookmarkEnd w:id="361"/>
    </w:p>
    <w:p w14:paraId="0452B9D1" w14:textId="77777777" w:rsidR="00872599" w:rsidRPr="00F614F9" w:rsidRDefault="00000000">
      <w:pPr>
        <w:pStyle w:val="a3"/>
        <w:spacing w:before="0" w:beforeAutospacing="0" w:after="0" w:afterAutospacing="0"/>
        <w:ind w:firstLine="360"/>
        <w:jc w:val="both"/>
        <w:divId w:val="2135366193"/>
        <w:rPr>
          <w:rFonts w:ascii="Times New Roman" w:hAnsi="Times New Roman" w:cs="Calibri"/>
          <w:sz w:val="21"/>
          <w:szCs w:val="21"/>
        </w:rPr>
      </w:pPr>
      <w:r w:rsidRPr="00F614F9">
        <w:rPr>
          <w:rFonts w:ascii="Times New Roman" w:hAnsi="Times New Roman" w:cs="Calibri" w:hint="eastAsia"/>
          <w:sz w:val="18"/>
          <w:szCs w:val="18"/>
        </w:rPr>
        <w:t>本集团按预付对象归集的年末余额前五名预付账款汇总金额为</w:t>
      </w:r>
      <w:r w:rsidRPr="00F614F9">
        <w:rPr>
          <w:rFonts w:ascii="Times New Roman" w:hAnsi="Times New Roman" w:cs="Calibri" w:hint="eastAsia"/>
          <w:sz w:val="18"/>
          <w:szCs w:val="18"/>
        </w:rPr>
        <w:t>31,459,550.34</w:t>
      </w:r>
      <w:r w:rsidRPr="00F614F9">
        <w:rPr>
          <w:rFonts w:ascii="Times New Roman" w:hAnsi="Times New Roman" w:cs="Calibri" w:hint="eastAsia"/>
          <w:sz w:val="18"/>
          <w:szCs w:val="18"/>
        </w:rPr>
        <w:t>元，占预付账款年末余额合计数的比例为</w:t>
      </w:r>
      <w:r w:rsidRPr="00F614F9">
        <w:rPr>
          <w:rFonts w:ascii="Times New Roman" w:hAnsi="Times New Roman" w:cs="Calibri" w:hint="eastAsia"/>
          <w:sz w:val="18"/>
          <w:szCs w:val="18"/>
        </w:rPr>
        <w:t>38.65%</w:t>
      </w:r>
      <w:r w:rsidRPr="00F614F9">
        <w:rPr>
          <w:rFonts w:ascii="Times New Roman" w:hAnsi="Times New Roman" w:cs="Calibri" w:hint="eastAsia"/>
          <w:sz w:val="18"/>
          <w:szCs w:val="18"/>
        </w:rPr>
        <w:t>。</w:t>
      </w:r>
    </w:p>
    <w:p w14:paraId="74AF2FC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7FC82573" w14:textId="77777777" w:rsidR="00872599" w:rsidRPr="00F614F9" w:rsidRDefault="00000000">
      <w:pPr>
        <w:pStyle w:val="a3"/>
        <w:divId w:val="48772894"/>
        <w:rPr>
          <w:rFonts w:ascii="Times New Roman" w:hAnsi="Times New Roman"/>
          <w:sz w:val="18"/>
          <w:szCs w:val="18"/>
        </w:rPr>
      </w:pPr>
      <w:r w:rsidRPr="00F614F9">
        <w:rPr>
          <w:rFonts w:ascii="Times New Roman" w:hAnsi="Times New Roman" w:hint="eastAsia"/>
          <w:sz w:val="18"/>
          <w:szCs w:val="18"/>
        </w:rPr>
        <w:t>无</w:t>
      </w:r>
    </w:p>
    <w:p w14:paraId="3C51B645" w14:textId="77777777" w:rsidR="001D26E7" w:rsidRPr="00F614F9" w:rsidRDefault="00000000">
      <w:pPr>
        <w:pStyle w:val="3"/>
        <w:spacing w:line="280" w:lineRule="exact"/>
        <w:jc w:val="left"/>
        <w:rPr>
          <w:rFonts w:ascii="Times New Roman" w:hAnsi="Times New Roman" w:cs="宋体"/>
          <w:b/>
          <w:bCs/>
        </w:rPr>
      </w:pPr>
      <w:bookmarkStart w:id="362" w:name="_Toc989184"/>
      <w:r w:rsidRPr="00F614F9">
        <w:rPr>
          <w:rFonts w:ascii="Times New Roman" w:hAnsi="Times New Roman" w:cs="宋体"/>
          <w:b/>
          <w:bCs/>
        </w:rPr>
        <w:t>10</w:t>
      </w:r>
      <w:r w:rsidRPr="00F614F9">
        <w:rPr>
          <w:rFonts w:ascii="Times New Roman" w:hAnsi="Times New Roman" w:cs="宋体"/>
          <w:b/>
          <w:bCs/>
        </w:rPr>
        <w:t>、存货</w:t>
      </w:r>
      <w:bookmarkEnd w:id="362"/>
    </w:p>
    <w:p w14:paraId="25CA5AE5"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公司是否需要遵守房地产行业的披露要求</w:t>
      </w:r>
    </w:p>
    <w:p w14:paraId="5F0DD742"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否</w:t>
      </w:r>
      <w:proofErr w:type="gramEnd"/>
    </w:p>
    <w:p w14:paraId="3107F78A"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63" w:name="_Toc989185"/>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存货分类</w:t>
      </w:r>
      <w:bookmarkEnd w:id="363"/>
    </w:p>
    <w:p w14:paraId="19B02694"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23"/>
        <w:gridCol w:w="1560"/>
        <w:gridCol w:w="1548"/>
        <w:gridCol w:w="1377"/>
        <w:gridCol w:w="1377"/>
        <w:gridCol w:w="1377"/>
        <w:gridCol w:w="1377"/>
      </w:tblGrid>
      <w:tr w:rsidR="001D26E7" w:rsidRPr="00F614F9" w14:paraId="67AE5222" w14:textId="77777777" w:rsidTr="00977E90">
        <w:trPr>
          <w:trHeight w:val="240"/>
        </w:trPr>
        <w:tc>
          <w:tcPr>
            <w:tcW w:w="102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5C4AD2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448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53332D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0831559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57D5FC80" w14:textId="77777777" w:rsidTr="00977E90">
        <w:trPr>
          <w:trHeight w:val="240"/>
        </w:trPr>
        <w:tc>
          <w:tcPr>
            <w:tcW w:w="102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591C3FC" w14:textId="77777777" w:rsidR="001D26E7" w:rsidRPr="00F614F9" w:rsidRDefault="001D26E7">
            <w:pPr>
              <w:rPr>
                <w:rFonts w:ascii="Times New Roman" w:hAnsi="Times New Roman"/>
              </w:rPr>
            </w:pP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6418680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548" w:type="dxa"/>
            <w:tcBorders>
              <w:top w:val="single" w:sz="2" w:space="0" w:color="auto"/>
              <w:left w:val="single" w:sz="2" w:space="0" w:color="auto"/>
              <w:bottom w:val="single" w:sz="2" w:space="0" w:color="auto"/>
              <w:right w:val="single" w:sz="2" w:space="0" w:color="auto"/>
            </w:tcBorders>
            <w:shd w:val="clear" w:color="auto" w:fill="D3D3D3"/>
            <w:vAlign w:val="center"/>
          </w:tcPr>
          <w:p w14:paraId="175B80F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C6FC5A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6FE281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F5458A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1D9491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r>
      <w:tr w:rsidR="001D26E7" w:rsidRPr="00F614F9" w14:paraId="5E265C03" w14:textId="77777777" w:rsidTr="00977E90">
        <w:trPr>
          <w:trHeight w:val="240"/>
        </w:trPr>
        <w:tc>
          <w:tcPr>
            <w:tcW w:w="1023" w:type="dxa"/>
            <w:tcBorders>
              <w:top w:val="single" w:sz="2" w:space="0" w:color="auto"/>
              <w:left w:val="single" w:sz="2" w:space="0" w:color="auto"/>
              <w:bottom w:val="single" w:sz="2" w:space="0" w:color="auto"/>
              <w:right w:val="single" w:sz="2" w:space="0" w:color="auto"/>
            </w:tcBorders>
            <w:shd w:val="clear" w:color="auto" w:fill="D3D3D3"/>
            <w:vAlign w:val="center"/>
          </w:tcPr>
          <w:p w14:paraId="4744B21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原材料</w:t>
            </w:r>
          </w:p>
        </w:tc>
        <w:tc>
          <w:tcPr>
            <w:tcW w:w="1560"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3170CBF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231,383,304.40</w:t>
            </w:r>
          </w:p>
        </w:tc>
        <w:tc>
          <w:tcPr>
            <w:tcW w:w="1548"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4F4C76C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23,095,708.90</w:t>
            </w:r>
          </w:p>
        </w:tc>
        <w:tc>
          <w:tcPr>
            <w:tcW w:w="1377"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437579C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208,287,595.50</w:t>
            </w:r>
          </w:p>
        </w:tc>
        <w:tc>
          <w:tcPr>
            <w:tcW w:w="1377"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0CCE683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260,665,711.56</w:t>
            </w:r>
          </w:p>
        </w:tc>
        <w:tc>
          <w:tcPr>
            <w:tcW w:w="1377"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6580EF6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116,914.06</w:t>
            </w:r>
          </w:p>
        </w:tc>
        <w:tc>
          <w:tcPr>
            <w:tcW w:w="1377"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1E6D321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260,548,797.50</w:t>
            </w:r>
          </w:p>
        </w:tc>
      </w:tr>
      <w:tr w:rsidR="001D26E7" w:rsidRPr="00F614F9" w14:paraId="13C5C08B" w14:textId="77777777" w:rsidTr="00977E90">
        <w:trPr>
          <w:trHeight w:val="240"/>
        </w:trPr>
        <w:tc>
          <w:tcPr>
            <w:tcW w:w="1023" w:type="dxa"/>
            <w:tcBorders>
              <w:top w:val="single" w:sz="2" w:space="0" w:color="auto"/>
              <w:left w:val="single" w:sz="2" w:space="0" w:color="auto"/>
              <w:bottom w:val="single" w:sz="2" w:space="0" w:color="auto"/>
              <w:right w:val="single" w:sz="2" w:space="0" w:color="auto"/>
            </w:tcBorders>
            <w:shd w:val="clear" w:color="auto" w:fill="D3D3D3"/>
            <w:vAlign w:val="center"/>
          </w:tcPr>
          <w:p w14:paraId="00A4D4E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在产品</w:t>
            </w:r>
          </w:p>
        </w:tc>
        <w:tc>
          <w:tcPr>
            <w:tcW w:w="1560"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4E8783E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44,160,925.74</w:t>
            </w:r>
          </w:p>
        </w:tc>
        <w:tc>
          <w:tcPr>
            <w:tcW w:w="1548"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3FDBBEF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377"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6C39AF5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44,160,925.74</w:t>
            </w:r>
          </w:p>
        </w:tc>
        <w:tc>
          <w:tcPr>
            <w:tcW w:w="1377"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7C08A3D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136,456,465.62</w:t>
            </w:r>
          </w:p>
        </w:tc>
        <w:tc>
          <w:tcPr>
            <w:tcW w:w="1377"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7282B6C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1,576,318.71</w:t>
            </w:r>
          </w:p>
        </w:tc>
        <w:tc>
          <w:tcPr>
            <w:tcW w:w="1377"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1BAB401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134,880,146.91</w:t>
            </w:r>
          </w:p>
        </w:tc>
      </w:tr>
      <w:tr w:rsidR="001D26E7" w:rsidRPr="00F614F9" w14:paraId="05455160" w14:textId="77777777" w:rsidTr="00977E90">
        <w:trPr>
          <w:trHeight w:val="240"/>
        </w:trPr>
        <w:tc>
          <w:tcPr>
            <w:tcW w:w="1023" w:type="dxa"/>
            <w:tcBorders>
              <w:top w:val="single" w:sz="2" w:space="0" w:color="auto"/>
              <w:left w:val="single" w:sz="2" w:space="0" w:color="auto"/>
              <w:bottom w:val="single" w:sz="2" w:space="0" w:color="auto"/>
              <w:right w:val="single" w:sz="2" w:space="0" w:color="auto"/>
            </w:tcBorders>
            <w:shd w:val="clear" w:color="auto" w:fill="D3D3D3"/>
            <w:vAlign w:val="center"/>
          </w:tcPr>
          <w:p w14:paraId="24784B5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库存商品</w:t>
            </w:r>
          </w:p>
        </w:tc>
        <w:tc>
          <w:tcPr>
            <w:tcW w:w="1560"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35EF474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893,297,556.72</w:t>
            </w:r>
          </w:p>
        </w:tc>
        <w:tc>
          <w:tcPr>
            <w:tcW w:w="1548"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378F817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224,303,709.10</w:t>
            </w:r>
          </w:p>
        </w:tc>
        <w:tc>
          <w:tcPr>
            <w:tcW w:w="1377"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1766449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668,993,847.62</w:t>
            </w:r>
          </w:p>
        </w:tc>
        <w:tc>
          <w:tcPr>
            <w:tcW w:w="1377"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49621B9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867,855,833.27</w:t>
            </w:r>
          </w:p>
        </w:tc>
        <w:tc>
          <w:tcPr>
            <w:tcW w:w="1377"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53C9355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52,563,519.15</w:t>
            </w:r>
          </w:p>
        </w:tc>
        <w:tc>
          <w:tcPr>
            <w:tcW w:w="1377"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690F268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815,292,314.12</w:t>
            </w:r>
          </w:p>
        </w:tc>
      </w:tr>
      <w:tr w:rsidR="001D26E7" w:rsidRPr="00F614F9" w14:paraId="244AC90C" w14:textId="77777777" w:rsidTr="00977E90">
        <w:trPr>
          <w:trHeight w:val="240"/>
        </w:trPr>
        <w:tc>
          <w:tcPr>
            <w:tcW w:w="1023" w:type="dxa"/>
            <w:tcBorders>
              <w:top w:val="single" w:sz="2" w:space="0" w:color="auto"/>
              <w:left w:val="single" w:sz="2" w:space="0" w:color="auto"/>
              <w:bottom w:val="single" w:sz="2" w:space="0" w:color="auto"/>
              <w:right w:val="single" w:sz="2" w:space="0" w:color="auto"/>
            </w:tcBorders>
            <w:shd w:val="clear" w:color="auto" w:fill="D3D3D3"/>
            <w:vAlign w:val="center"/>
          </w:tcPr>
          <w:p w14:paraId="4F4F84E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消耗性生物资产</w:t>
            </w:r>
          </w:p>
        </w:tc>
        <w:tc>
          <w:tcPr>
            <w:tcW w:w="1560"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38AB42A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106,699,072.22</w:t>
            </w:r>
          </w:p>
        </w:tc>
        <w:tc>
          <w:tcPr>
            <w:tcW w:w="1548"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1D28D03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36,305,934.88</w:t>
            </w:r>
          </w:p>
        </w:tc>
        <w:tc>
          <w:tcPr>
            <w:tcW w:w="1377"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41C9B09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70,393,137.34</w:t>
            </w:r>
          </w:p>
        </w:tc>
        <w:tc>
          <w:tcPr>
            <w:tcW w:w="1377"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71896BE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505,440,276.87</w:t>
            </w:r>
          </w:p>
        </w:tc>
        <w:tc>
          <w:tcPr>
            <w:tcW w:w="1377"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3FFE245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644,600.04</w:t>
            </w:r>
          </w:p>
        </w:tc>
        <w:tc>
          <w:tcPr>
            <w:tcW w:w="1377"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13C5BF5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504,795,676.83</w:t>
            </w:r>
          </w:p>
        </w:tc>
      </w:tr>
      <w:tr w:rsidR="001D26E7" w:rsidRPr="00F614F9" w14:paraId="0D32E609" w14:textId="77777777" w:rsidTr="00977E90">
        <w:trPr>
          <w:trHeight w:val="240"/>
        </w:trPr>
        <w:tc>
          <w:tcPr>
            <w:tcW w:w="1023" w:type="dxa"/>
            <w:tcBorders>
              <w:top w:val="single" w:sz="2" w:space="0" w:color="auto"/>
              <w:left w:val="single" w:sz="2" w:space="0" w:color="auto"/>
              <w:bottom w:val="single" w:sz="2" w:space="0" w:color="auto"/>
              <w:right w:val="single" w:sz="2" w:space="0" w:color="auto"/>
            </w:tcBorders>
            <w:shd w:val="clear" w:color="auto" w:fill="D3D3D3"/>
            <w:vAlign w:val="center"/>
          </w:tcPr>
          <w:p w14:paraId="640F93A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560"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44A0FD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1,275,540,859.08</w:t>
            </w:r>
          </w:p>
        </w:tc>
        <w:tc>
          <w:tcPr>
            <w:tcW w:w="1548"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6F35BD3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283,705,352.88</w:t>
            </w:r>
          </w:p>
        </w:tc>
        <w:tc>
          <w:tcPr>
            <w:tcW w:w="1377"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7BAA0BE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991,835,506.20</w:t>
            </w:r>
          </w:p>
        </w:tc>
        <w:tc>
          <w:tcPr>
            <w:tcW w:w="1377"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45986E9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1,770,418,287.32</w:t>
            </w:r>
          </w:p>
        </w:tc>
        <w:tc>
          <w:tcPr>
            <w:tcW w:w="1377"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03D8966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54,901,351.96</w:t>
            </w:r>
          </w:p>
        </w:tc>
        <w:tc>
          <w:tcPr>
            <w:tcW w:w="1377" w:type="dxa"/>
            <w:tcBorders>
              <w:top w:val="single" w:sz="2" w:space="0" w:color="auto"/>
              <w:left w:val="single" w:sz="2" w:space="0" w:color="auto"/>
              <w:bottom w:val="single" w:sz="2" w:space="0" w:color="auto"/>
              <w:right w:val="single" w:sz="2" w:space="0" w:color="auto"/>
            </w:tcBorders>
            <w:tcMar>
              <w:left w:w="28" w:type="dxa"/>
              <w:right w:w="57" w:type="dxa"/>
            </w:tcMar>
            <w:vAlign w:val="center"/>
          </w:tcPr>
          <w:p w14:paraId="270F336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1,715,516,935.36</w:t>
            </w:r>
          </w:p>
        </w:tc>
      </w:tr>
    </w:tbl>
    <w:p w14:paraId="74AF99E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公司需遵守《深圳证券交易所上市公司自律监管指引第</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号</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行业信息披露》中食品及酒制造相关业的披露要求</w:t>
      </w:r>
    </w:p>
    <w:p w14:paraId="0FB0C47C" w14:textId="77777777" w:rsidR="00872599" w:rsidRPr="00F614F9" w:rsidRDefault="00000000">
      <w:pPr>
        <w:pStyle w:val="a3"/>
        <w:divId w:val="1123381448"/>
        <w:rPr>
          <w:rFonts w:ascii="Times New Roman" w:hAnsi="Times New Roman"/>
          <w:sz w:val="18"/>
          <w:szCs w:val="18"/>
        </w:rPr>
      </w:pPr>
      <w:r w:rsidRPr="00F614F9">
        <w:rPr>
          <w:rFonts w:ascii="Times New Roman" w:hAnsi="Times New Roman" w:hint="eastAsia"/>
          <w:sz w:val="18"/>
          <w:szCs w:val="18"/>
        </w:rPr>
        <w:t>无</w:t>
      </w:r>
    </w:p>
    <w:p w14:paraId="0B6E831F"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64" w:name="_Toc989186"/>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存货跌价准备和合同履约成本减值准备</w:t>
      </w:r>
      <w:bookmarkEnd w:id="364"/>
    </w:p>
    <w:p w14:paraId="29A8E6F9"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1D26E7" w:rsidRPr="00F614F9" w14:paraId="57179985"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FB1A67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D4BEC0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4ABEA9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本期增加金额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252A4E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本期减少金额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78CFEC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r>
      <w:tr w:rsidR="001D26E7" w:rsidRPr="00F614F9" w14:paraId="76451427"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F69731C" w14:textId="77777777" w:rsidR="001D26E7" w:rsidRPr="00F614F9" w:rsidRDefault="001D26E7">
            <w:pPr>
              <w:rPr>
                <w:rFonts w:ascii="Times New Roman" w:hAnsi="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B71D34F" w14:textId="77777777" w:rsidR="001D26E7" w:rsidRPr="00F614F9" w:rsidRDefault="001D26E7">
            <w:pPr>
              <w:rPr>
                <w:rFonts w:ascii="Times New Roman" w:hAnsi="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8C46B3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25318C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8EAF37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转回或转销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88B269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D558E69" w14:textId="77777777" w:rsidR="001D26E7" w:rsidRPr="00F614F9" w:rsidRDefault="001D26E7">
            <w:pPr>
              <w:rPr>
                <w:rFonts w:ascii="Times New Roman" w:hAnsi="Times New Roman"/>
              </w:rPr>
            </w:pPr>
          </w:p>
        </w:tc>
      </w:tr>
      <w:tr w:rsidR="001D26E7" w:rsidRPr="00F614F9" w14:paraId="37DE9A33"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3231D5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14:paraId="0529988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116,914.06</w:t>
            </w:r>
          </w:p>
        </w:tc>
        <w:tc>
          <w:tcPr>
            <w:tcW w:w="1377" w:type="dxa"/>
            <w:tcBorders>
              <w:top w:val="single" w:sz="2" w:space="0" w:color="auto"/>
              <w:left w:val="single" w:sz="2" w:space="0" w:color="auto"/>
              <w:bottom w:val="single" w:sz="2" w:space="0" w:color="auto"/>
              <w:right w:val="single" w:sz="2" w:space="0" w:color="auto"/>
            </w:tcBorders>
            <w:vAlign w:val="center"/>
          </w:tcPr>
          <w:p w14:paraId="27CC570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34,897,042.22</w:t>
            </w:r>
          </w:p>
        </w:tc>
        <w:tc>
          <w:tcPr>
            <w:tcW w:w="1377" w:type="dxa"/>
            <w:tcBorders>
              <w:top w:val="single" w:sz="2" w:space="0" w:color="auto"/>
              <w:left w:val="single" w:sz="2" w:space="0" w:color="auto"/>
              <w:bottom w:val="single" w:sz="2" w:space="0" w:color="auto"/>
              <w:right w:val="single" w:sz="2" w:space="0" w:color="auto"/>
            </w:tcBorders>
            <w:vAlign w:val="center"/>
          </w:tcPr>
          <w:p w14:paraId="65341417"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9F3A10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11,918,247.38</w:t>
            </w:r>
          </w:p>
        </w:tc>
        <w:tc>
          <w:tcPr>
            <w:tcW w:w="1377" w:type="dxa"/>
            <w:tcBorders>
              <w:top w:val="single" w:sz="2" w:space="0" w:color="auto"/>
              <w:left w:val="single" w:sz="2" w:space="0" w:color="auto"/>
              <w:bottom w:val="single" w:sz="2" w:space="0" w:color="auto"/>
              <w:right w:val="single" w:sz="2" w:space="0" w:color="auto"/>
            </w:tcBorders>
            <w:vAlign w:val="center"/>
          </w:tcPr>
          <w:p w14:paraId="327662B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2B6BF8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23,095,708.90</w:t>
            </w:r>
          </w:p>
        </w:tc>
      </w:tr>
      <w:tr w:rsidR="001D26E7" w:rsidRPr="00F614F9" w14:paraId="00D55817"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1CE6F8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在产品</w:t>
            </w:r>
          </w:p>
        </w:tc>
        <w:tc>
          <w:tcPr>
            <w:tcW w:w="1377" w:type="dxa"/>
            <w:tcBorders>
              <w:top w:val="single" w:sz="2" w:space="0" w:color="auto"/>
              <w:left w:val="single" w:sz="2" w:space="0" w:color="auto"/>
              <w:bottom w:val="single" w:sz="2" w:space="0" w:color="auto"/>
              <w:right w:val="single" w:sz="2" w:space="0" w:color="auto"/>
            </w:tcBorders>
            <w:vAlign w:val="center"/>
          </w:tcPr>
          <w:p w14:paraId="179A104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1,576,318.71</w:t>
            </w:r>
          </w:p>
        </w:tc>
        <w:tc>
          <w:tcPr>
            <w:tcW w:w="1377" w:type="dxa"/>
            <w:tcBorders>
              <w:top w:val="single" w:sz="2" w:space="0" w:color="auto"/>
              <w:left w:val="single" w:sz="2" w:space="0" w:color="auto"/>
              <w:bottom w:val="single" w:sz="2" w:space="0" w:color="auto"/>
              <w:right w:val="single" w:sz="2" w:space="0" w:color="auto"/>
            </w:tcBorders>
            <w:vAlign w:val="center"/>
          </w:tcPr>
          <w:p w14:paraId="0C6E185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76A8276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BFB9E6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1,576,318.71</w:t>
            </w:r>
          </w:p>
        </w:tc>
        <w:tc>
          <w:tcPr>
            <w:tcW w:w="1377" w:type="dxa"/>
            <w:tcBorders>
              <w:top w:val="single" w:sz="2" w:space="0" w:color="auto"/>
              <w:left w:val="single" w:sz="2" w:space="0" w:color="auto"/>
              <w:bottom w:val="single" w:sz="2" w:space="0" w:color="auto"/>
              <w:right w:val="single" w:sz="2" w:space="0" w:color="auto"/>
            </w:tcBorders>
            <w:vAlign w:val="center"/>
          </w:tcPr>
          <w:p w14:paraId="6EF90AD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320EA9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7D7799A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3A10FA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14:paraId="24E2FE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52,563,519.15</w:t>
            </w:r>
          </w:p>
        </w:tc>
        <w:tc>
          <w:tcPr>
            <w:tcW w:w="1377" w:type="dxa"/>
            <w:tcBorders>
              <w:top w:val="single" w:sz="2" w:space="0" w:color="auto"/>
              <w:left w:val="single" w:sz="2" w:space="0" w:color="auto"/>
              <w:bottom w:val="single" w:sz="2" w:space="0" w:color="auto"/>
              <w:right w:val="single" w:sz="2" w:space="0" w:color="auto"/>
            </w:tcBorders>
            <w:vAlign w:val="center"/>
          </w:tcPr>
          <w:p w14:paraId="334A184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404,099,568.59</w:t>
            </w:r>
          </w:p>
        </w:tc>
        <w:tc>
          <w:tcPr>
            <w:tcW w:w="1377" w:type="dxa"/>
            <w:tcBorders>
              <w:top w:val="single" w:sz="2" w:space="0" w:color="auto"/>
              <w:left w:val="single" w:sz="2" w:space="0" w:color="auto"/>
              <w:bottom w:val="single" w:sz="2" w:space="0" w:color="auto"/>
              <w:right w:val="single" w:sz="2" w:space="0" w:color="auto"/>
            </w:tcBorders>
            <w:vAlign w:val="center"/>
          </w:tcPr>
          <w:p w14:paraId="3C923E9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177DA1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232,359,378.64</w:t>
            </w:r>
          </w:p>
        </w:tc>
        <w:tc>
          <w:tcPr>
            <w:tcW w:w="1377" w:type="dxa"/>
            <w:tcBorders>
              <w:top w:val="single" w:sz="2" w:space="0" w:color="auto"/>
              <w:left w:val="single" w:sz="2" w:space="0" w:color="auto"/>
              <w:bottom w:val="single" w:sz="2" w:space="0" w:color="auto"/>
              <w:right w:val="single" w:sz="2" w:space="0" w:color="auto"/>
            </w:tcBorders>
            <w:vAlign w:val="center"/>
          </w:tcPr>
          <w:p w14:paraId="7DF5B0F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592D8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224,303,709.10</w:t>
            </w:r>
          </w:p>
        </w:tc>
      </w:tr>
      <w:tr w:rsidR="001D26E7" w:rsidRPr="00F614F9" w14:paraId="18C1E09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04F871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周转材料</w:t>
            </w:r>
          </w:p>
        </w:tc>
        <w:tc>
          <w:tcPr>
            <w:tcW w:w="1377" w:type="dxa"/>
            <w:tcBorders>
              <w:top w:val="single" w:sz="2" w:space="0" w:color="auto"/>
              <w:left w:val="single" w:sz="2" w:space="0" w:color="auto"/>
              <w:bottom w:val="single" w:sz="2" w:space="0" w:color="auto"/>
              <w:right w:val="single" w:sz="2" w:space="0" w:color="auto"/>
            </w:tcBorders>
            <w:vAlign w:val="center"/>
          </w:tcPr>
          <w:p w14:paraId="35FD95E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C6BB89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2B949F18"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FA81E54"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FA068B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7DDF30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1F7D864"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0D2A50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消耗性生物资产</w:t>
            </w:r>
          </w:p>
        </w:tc>
        <w:tc>
          <w:tcPr>
            <w:tcW w:w="1377" w:type="dxa"/>
            <w:tcBorders>
              <w:top w:val="single" w:sz="2" w:space="0" w:color="auto"/>
              <w:left w:val="single" w:sz="2" w:space="0" w:color="auto"/>
              <w:bottom w:val="single" w:sz="2" w:space="0" w:color="auto"/>
              <w:right w:val="single" w:sz="2" w:space="0" w:color="auto"/>
            </w:tcBorders>
            <w:vAlign w:val="center"/>
          </w:tcPr>
          <w:p w14:paraId="0C10D32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644,600.04</w:t>
            </w:r>
          </w:p>
        </w:tc>
        <w:tc>
          <w:tcPr>
            <w:tcW w:w="1377" w:type="dxa"/>
            <w:tcBorders>
              <w:top w:val="single" w:sz="2" w:space="0" w:color="auto"/>
              <w:left w:val="single" w:sz="2" w:space="0" w:color="auto"/>
              <w:bottom w:val="single" w:sz="2" w:space="0" w:color="auto"/>
              <w:right w:val="single" w:sz="2" w:space="0" w:color="auto"/>
            </w:tcBorders>
            <w:vAlign w:val="center"/>
          </w:tcPr>
          <w:p w14:paraId="7C817D6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95,125,143.46</w:t>
            </w:r>
          </w:p>
        </w:tc>
        <w:tc>
          <w:tcPr>
            <w:tcW w:w="1377" w:type="dxa"/>
            <w:tcBorders>
              <w:top w:val="single" w:sz="2" w:space="0" w:color="auto"/>
              <w:left w:val="single" w:sz="2" w:space="0" w:color="auto"/>
              <w:bottom w:val="single" w:sz="2" w:space="0" w:color="auto"/>
              <w:right w:val="single" w:sz="2" w:space="0" w:color="auto"/>
            </w:tcBorders>
            <w:vAlign w:val="center"/>
          </w:tcPr>
          <w:p w14:paraId="0EB5748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244F04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59,463,808.62</w:t>
            </w:r>
          </w:p>
        </w:tc>
        <w:tc>
          <w:tcPr>
            <w:tcW w:w="1377" w:type="dxa"/>
            <w:tcBorders>
              <w:top w:val="single" w:sz="2" w:space="0" w:color="auto"/>
              <w:left w:val="single" w:sz="2" w:space="0" w:color="auto"/>
              <w:bottom w:val="single" w:sz="2" w:space="0" w:color="auto"/>
              <w:right w:val="single" w:sz="2" w:space="0" w:color="auto"/>
            </w:tcBorders>
            <w:vAlign w:val="center"/>
          </w:tcPr>
          <w:p w14:paraId="09C3CB30"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756A4A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36,305,934.88</w:t>
            </w:r>
          </w:p>
        </w:tc>
      </w:tr>
      <w:tr w:rsidR="001D26E7" w:rsidRPr="00F614F9" w14:paraId="30AFD080"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C35248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4DC6613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54,901,351.96</w:t>
            </w:r>
          </w:p>
        </w:tc>
        <w:tc>
          <w:tcPr>
            <w:tcW w:w="1377" w:type="dxa"/>
            <w:tcBorders>
              <w:top w:val="single" w:sz="2" w:space="0" w:color="auto"/>
              <w:left w:val="single" w:sz="2" w:space="0" w:color="auto"/>
              <w:bottom w:val="single" w:sz="2" w:space="0" w:color="auto"/>
              <w:right w:val="single" w:sz="2" w:space="0" w:color="auto"/>
            </w:tcBorders>
            <w:vAlign w:val="center"/>
          </w:tcPr>
          <w:p w14:paraId="4E8BB0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534,121,754.27</w:t>
            </w:r>
          </w:p>
        </w:tc>
        <w:tc>
          <w:tcPr>
            <w:tcW w:w="1377" w:type="dxa"/>
            <w:tcBorders>
              <w:top w:val="single" w:sz="2" w:space="0" w:color="auto"/>
              <w:left w:val="single" w:sz="2" w:space="0" w:color="auto"/>
              <w:bottom w:val="single" w:sz="2" w:space="0" w:color="auto"/>
              <w:right w:val="single" w:sz="2" w:space="0" w:color="auto"/>
            </w:tcBorders>
            <w:vAlign w:val="center"/>
          </w:tcPr>
          <w:p w14:paraId="6001E97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4657F6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305,317,753.35</w:t>
            </w:r>
          </w:p>
        </w:tc>
        <w:tc>
          <w:tcPr>
            <w:tcW w:w="1377" w:type="dxa"/>
            <w:tcBorders>
              <w:top w:val="single" w:sz="2" w:space="0" w:color="auto"/>
              <w:left w:val="single" w:sz="2" w:space="0" w:color="auto"/>
              <w:bottom w:val="single" w:sz="2" w:space="0" w:color="auto"/>
              <w:right w:val="single" w:sz="2" w:space="0" w:color="auto"/>
            </w:tcBorders>
            <w:vAlign w:val="center"/>
          </w:tcPr>
          <w:p w14:paraId="04D6373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911F34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283,705,352.88</w:t>
            </w:r>
          </w:p>
        </w:tc>
      </w:tr>
    </w:tbl>
    <w:p w14:paraId="63DE9E2E" w14:textId="77777777" w:rsidR="00872599" w:rsidRPr="00F614F9" w:rsidRDefault="00000000">
      <w:pPr>
        <w:pStyle w:val="a3"/>
        <w:divId w:val="933199470"/>
        <w:rPr>
          <w:rFonts w:ascii="Times New Roman" w:hAnsi="Times New Roman"/>
          <w:sz w:val="18"/>
          <w:szCs w:val="18"/>
        </w:rPr>
      </w:pPr>
      <w:r w:rsidRPr="00F614F9">
        <w:rPr>
          <w:rFonts w:ascii="Times New Roman" w:hAnsi="Times New Roman" w:hint="eastAsia"/>
          <w:sz w:val="18"/>
          <w:szCs w:val="18"/>
        </w:rPr>
        <w:t>无</w:t>
      </w:r>
    </w:p>
    <w:p w14:paraId="6E674930"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按组合计提存货跌价准备</w:t>
      </w:r>
    </w:p>
    <w:p w14:paraId="0B6FA7A8" w14:textId="77777777" w:rsidR="00977E90" w:rsidRPr="00F614F9" w:rsidRDefault="00977E90" w:rsidP="00977E9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hint="eastAsia"/>
          <w:sz w:val="18"/>
          <w:szCs w:val="18"/>
        </w:rPr>
        <w:t>无</w:t>
      </w:r>
    </w:p>
    <w:p w14:paraId="557F9D30"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按组合计提存货跌价准备的计提标准</w:t>
      </w:r>
    </w:p>
    <w:p w14:paraId="1BBE2D61" w14:textId="77777777" w:rsidR="00872599" w:rsidRPr="00F614F9" w:rsidRDefault="00000000">
      <w:pPr>
        <w:pStyle w:val="a3"/>
        <w:divId w:val="923953798"/>
        <w:rPr>
          <w:rFonts w:ascii="Times New Roman" w:hAnsi="Times New Roman"/>
          <w:sz w:val="18"/>
          <w:szCs w:val="18"/>
        </w:rPr>
      </w:pPr>
      <w:r w:rsidRPr="00F614F9">
        <w:rPr>
          <w:rFonts w:ascii="Times New Roman" w:hAnsi="Times New Roman" w:hint="eastAsia"/>
          <w:sz w:val="18"/>
          <w:szCs w:val="18"/>
        </w:rPr>
        <w:t>无</w:t>
      </w:r>
    </w:p>
    <w:p w14:paraId="69DFAE23"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65" w:name="_Toc989187"/>
      <w:r w:rsidRPr="00F614F9">
        <w:rPr>
          <w:rFonts w:ascii="Times New Roman" w:eastAsia="宋体" w:hAnsi="Times New Roman" w:cs="宋体"/>
          <w:b/>
          <w:bCs/>
          <w:szCs w:val="21"/>
        </w:rPr>
        <w:t>（</w:t>
      </w:r>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存货期末余额含有借款费用资本</w:t>
      </w:r>
      <w:proofErr w:type="gramStart"/>
      <w:r w:rsidRPr="00F614F9">
        <w:rPr>
          <w:rFonts w:ascii="Times New Roman" w:eastAsia="宋体" w:hAnsi="Times New Roman" w:cs="宋体"/>
          <w:b/>
          <w:bCs/>
          <w:szCs w:val="21"/>
        </w:rPr>
        <w:t>化金额</w:t>
      </w:r>
      <w:proofErr w:type="gramEnd"/>
      <w:r w:rsidRPr="00F614F9">
        <w:rPr>
          <w:rFonts w:ascii="Times New Roman" w:eastAsia="宋体" w:hAnsi="Times New Roman" w:cs="宋体"/>
          <w:b/>
          <w:bCs/>
          <w:szCs w:val="21"/>
        </w:rPr>
        <w:t>的说明</w:t>
      </w:r>
      <w:bookmarkEnd w:id="365"/>
    </w:p>
    <w:p w14:paraId="452874FE" w14:textId="77777777" w:rsidR="00872599" w:rsidRPr="00F614F9" w:rsidRDefault="00000000">
      <w:pPr>
        <w:pStyle w:val="a3"/>
        <w:divId w:val="690685461"/>
        <w:rPr>
          <w:rFonts w:ascii="Times New Roman" w:hAnsi="Times New Roman"/>
          <w:sz w:val="18"/>
          <w:szCs w:val="18"/>
        </w:rPr>
      </w:pPr>
      <w:r w:rsidRPr="00F614F9">
        <w:rPr>
          <w:rFonts w:ascii="Times New Roman" w:hAnsi="Times New Roman" w:hint="eastAsia"/>
          <w:sz w:val="18"/>
          <w:szCs w:val="18"/>
        </w:rPr>
        <w:t>无</w:t>
      </w:r>
    </w:p>
    <w:p w14:paraId="3C1D0CEA"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66" w:name="_Toc989188"/>
      <w:r w:rsidRPr="00F614F9">
        <w:rPr>
          <w:rFonts w:ascii="Times New Roman" w:eastAsia="宋体" w:hAnsi="Times New Roman" w:cs="宋体"/>
          <w:b/>
          <w:bCs/>
          <w:szCs w:val="21"/>
        </w:rPr>
        <w:t>（</w:t>
      </w:r>
      <w:r w:rsidRPr="00F614F9">
        <w:rPr>
          <w:rFonts w:ascii="Times New Roman" w:eastAsia="宋体" w:hAnsi="Times New Roman" w:cs="宋体"/>
          <w:b/>
          <w:bCs/>
          <w:szCs w:val="21"/>
        </w:rPr>
        <w:t>4</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合同履约成本本期摊销金额的说明</w:t>
      </w:r>
      <w:bookmarkEnd w:id="366"/>
    </w:p>
    <w:p w14:paraId="41854247" w14:textId="77777777" w:rsidR="00872599" w:rsidRPr="00F614F9" w:rsidRDefault="00000000">
      <w:pPr>
        <w:pStyle w:val="a3"/>
        <w:divId w:val="1212887448"/>
        <w:rPr>
          <w:rFonts w:ascii="Times New Roman" w:hAnsi="Times New Roman"/>
          <w:sz w:val="18"/>
          <w:szCs w:val="18"/>
        </w:rPr>
      </w:pPr>
      <w:r w:rsidRPr="00F614F9">
        <w:rPr>
          <w:rFonts w:ascii="Times New Roman" w:hAnsi="Times New Roman" w:hint="eastAsia"/>
          <w:sz w:val="18"/>
          <w:szCs w:val="18"/>
        </w:rPr>
        <w:t>无</w:t>
      </w:r>
    </w:p>
    <w:p w14:paraId="304C6C65" w14:textId="77777777" w:rsidR="001D26E7" w:rsidRPr="00F614F9" w:rsidRDefault="00000000">
      <w:pPr>
        <w:pStyle w:val="3"/>
        <w:spacing w:line="280" w:lineRule="exact"/>
        <w:jc w:val="left"/>
        <w:rPr>
          <w:rFonts w:ascii="Times New Roman" w:hAnsi="Times New Roman" w:cs="宋体"/>
          <w:b/>
          <w:bCs/>
        </w:rPr>
      </w:pPr>
      <w:bookmarkStart w:id="367" w:name="_Toc989189"/>
      <w:r w:rsidRPr="00F614F9">
        <w:rPr>
          <w:rFonts w:ascii="Times New Roman" w:hAnsi="Times New Roman" w:cs="宋体"/>
          <w:b/>
          <w:bCs/>
        </w:rPr>
        <w:t>11</w:t>
      </w:r>
      <w:r w:rsidRPr="00F614F9">
        <w:rPr>
          <w:rFonts w:ascii="Times New Roman" w:hAnsi="Times New Roman" w:cs="宋体"/>
          <w:b/>
          <w:bCs/>
        </w:rPr>
        <w:t>、持有待售资产</w:t>
      </w:r>
      <w:bookmarkEnd w:id="367"/>
    </w:p>
    <w:p w14:paraId="7EE726EB" w14:textId="77777777" w:rsidR="00872599" w:rsidRPr="00F614F9" w:rsidRDefault="00000000">
      <w:pPr>
        <w:pStyle w:val="a3"/>
        <w:divId w:val="1557276793"/>
        <w:rPr>
          <w:rFonts w:ascii="Times New Roman" w:hAnsi="Times New Roman"/>
          <w:sz w:val="18"/>
          <w:szCs w:val="18"/>
        </w:rPr>
      </w:pPr>
      <w:r w:rsidRPr="00F614F9">
        <w:rPr>
          <w:rFonts w:ascii="Times New Roman" w:hAnsi="Times New Roman" w:hint="eastAsia"/>
          <w:sz w:val="18"/>
          <w:szCs w:val="18"/>
        </w:rPr>
        <w:t>无</w:t>
      </w:r>
    </w:p>
    <w:p w14:paraId="04CD0979" w14:textId="77777777" w:rsidR="001D26E7" w:rsidRPr="00F614F9" w:rsidRDefault="00000000">
      <w:pPr>
        <w:pStyle w:val="3"/>
        <w:spacing w:line="280" w:lineRule="exact"/>
        <w:jc w:val="left"/>
        <w:rPr>
          <w:rFonts w:ascii="Times New Roman" w:hAnsi="Times New Roman" w:cs="宋体"/>
          <w:b/>
          <w:bCs/>
        </w:rPr>
      </w:pPr>
      <w:bookmarkStart w:id="368" w:name="_Toc989190"/>
      <w:r w:rsidRPr="00F614F9">
        <w:rPr>
          <w:rFonts w:ascii="Times New Roman" w:hAnsi="Times New Roman" w:cs="宋体"/>
          <w:b/>
          <w:bCs/>
        </w:rPr>
        <w:t>12</w:t>
      </w:r>
      <w:r w:rsidRPr="00F614F9">
        <w:rPr>
          <w:rFonts w:ascii="Times New Roman" w:hAnsi="Times New Roman" w:cs="宋体"/>
          <w:b/>
          <w:bCs/>
        </w:rPr>
        <w:t>、一年内到期的非流动资产</w:t>
      </w:r>
      <w:bookmarkEnd w:id="368"/>
    </w:p>
    <w:p w14:paraId="48F1236D" w14:textId="77777777" w:rsidR="00977E90" w:rsidRPr="00F614F9" w:rsidRDefault="00977E90" w:rsidP="00977E9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hint="eastAsia"/>
          <w:sz w:val="18"/>
          <w:szCs w:val="18"/>
        </w:rPr>
        <w:t>无</w:t>
      </w:r>
    </w:p>
    <w:p w14:paraId="65E8D67A"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69" w:name="_Toc989191"/>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一年内到期的债权投资</w:t>
      </w:r>
      <w:bookmarkEnd w:id="369"/>
    </w:p>
    <w:p w14:paraId="3078E3E8"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28CC101A"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70" w:name="_Toc989192"/>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一年内到期的其他债权投资</w:t>
      </w:r>
      <w:bookmarkEnd w:id="370"/>
    </w:p>
    <w:p w14:paraId="37928099"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0A5C4E8B" w14:textId="77777777" w:rsidR="001D26E7" w:rsidRPr="00F614F9" w:rsidRDefault="00000000">
      <w:pPr>
        <w:pStyle w:val="3"/>
        <w:spacing w:line="280" w:lineRule="exact"/>
        <w:jc w:val="left"/>
        <w:rPr>
          <w:rFonts w:ascii="Times New Roman" w:hAnsi="Times New Roman" w:cs="宋体"/>
          <w:b/>
          <w:bCs/>
        </w:rPr>
      </w:pPr>
      <w:bookmarkStart w:id="371" w:name="_Toc989193"/>
      <w:r w:rsidRPr="00F614F9">
        <w:rPr>
          <w:rFonts w:ascii="Times New Roman" w:hAnsi="Times New Roman" w:cs="宋体"/>
          <w:b/>
          <w:bCs/>
        </w:rPr>
        <w:t>13</w:t>
      </w:r>
      <w:r w:rsidRPr="00F614F9">
        <w:rPr>
          <w:rFonts w:ascii="Times New Roman" w:hAnsi="Times New Roman" w:cs="宋体"/>
          <w:b/>
          <w:bCs/>
        </w:rPr>
        <w:t>、其他流动资产</w:t>
      </w:r>
      <w:bookmarkEnd w:id="371"/>
    </w:p>
    <w:p w14:paraId="123DDFA0"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0E98381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B8A84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1CC3F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96FDE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0816914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0AD108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预缴所得税</w:t>
            </w:r>
          </w:p>
        </w:tc>
        <w:tc>
          <w:tcPr>
            <w:tcW w:w="3213" w:type="dxa"/>
            <w:tcBorders>
              <w:top w:val="single" w:sz="2" w:space="0" w:color="auto"/>
              <w:left w:val="single" w:sz="2" w:space="0" w:color="auto"/>
              <w:bottom w:val="single" w:sz="2" w:space="0" w:color="auto"/>
              <w:right w:val="single" w:sz="2" w:space="0" w:color="auto"/>
            </w:tcBorders>
            <w:vAlign w:val="center"/>
          </w:tcPr>
          <w:p w14:paraId="0A6068D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161,224.58</w:t>
            </w:r>
          </w:p>
        </w:tc>
        <w:tc>
          <w:tcPr>
            <w:tcW w:w="3213" w:type="dxa"/>
            <w:tcBorders>
              <w:top w:val="single" w:sz="2" w:space="0" w:color="auto"/>
              <w:left w:val="single" w:sz="2" w:space="0" w:color="auto"/>
              <w:bottom w:val="single" w:sz="2" w:space="0" w:color="auto"/>
              <w:right w:val="single" w:sz="2" w:space="0" w:color="auto"/>
            </w:tcBorders>
            <w:vAlign w:val="center"/>
          </w:tcPr>
          <w:p w14:paraId="2FA2800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1,659.79</w:t>
            </w:r>
          </w:p>
        </w:tc>
      </w:tr>
      <w:tr w:rsidR="001D26E7" w:rsidRPr="00F614F9" w14:paraId="3DBF858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4D0353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待抵扣</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认证</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留抵进项税</w:t>
            </w:r>
          </w:p>
        </w:tc>
        <w:tc>
          <w:tcPr>
            <w:tcW w:w="3213" w:type="dxa"/>
            <w:tcBorders>
              <w:top w:val="single" w:sz="2" w:space="0" w:color="auto"/>
              <w:left w:val="single" w:sz="2" w:space="0" w:color="auto"/>
              <w:bottom w:val="single" w:sz="2" w:space="0" w:color="auto"/>
              <w:right w:val="single" w:sz="2" w:space="0" w:color="auto"/>
            </w:tcBorders>
            <w:vAlign w:val="center"/>
          </w:tcPr>
          <w:p w14:paraId="2297183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57,534.14</w:t>
            </w:r>
          </w:p>
        </w:tc>
        <w:tc>
          <w:tcPr>
            <w:tcW w:w="3213" w:type="dxa"/>
            <w:tcBorders>
              <w:top w:val="single" w:sz="2" w:space="0" w:color="auto"/>
              <w:left w:val="single" w:sz="2" w:space="0" w:color="auto"/>
              <w:bottom w:val="single" w:sz="2" w:space="0" w:color="auto"/>
              <w:right w:val="single" w:sz="2" w:space="0" w:color="auto"/>
            </w:tcBorders>
            <w:vAlign w:val="center"/>
          </w:tcPr>
          <w:p w14:paraId="1989279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49,910.31</w:t>
            </w:r>
          </w:p>
        </w:tc>
      </w:tr>
      <w:tr w:rsidR="001D26E7" w:rsidRPr="00F614F9" w14:paraId="38257D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7220B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05E382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218,758.72</w:t>
            </w:r>
          </w:p>
        </w:tc>
        <w:tc>
          <w:tcPr>
            <w:tcW w:w="3213" w:type="dxa"/>
            <w:tcBorders>
              <w:top w:val="single" w:sz="2" w:space="0" w:color="auto"/>
              <w:left w:val="single" w:sz="2" w:space="0" w:color="auto"/>
              <w:bottom w:val="single" w:sz="2" w:space="0" w:color="auto"/>
              <w:right w:val="single" w:sz="2" w:space="0" w:color="auto"/>
            </w:tcBorders>
            <w:vAlign w:val="center"/>
          </w:tcPr>
          <w:p w14:paraId="699C9C4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51,570.10</w:t>
            </w:r>
          </w:p>
        </w:tc>
      </w:tr>
    </w:tbl>
    <w:p w14:paraId="11583263"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7F91BEAD" w14:textId="77777777" w:rsidR="00872599" w:rsidRPr="00F614F9" w:rsidRDefault="00000000">
      <w:pPr>
        <w:pStyle w:val="a3"/>
        <w:divId w:val="2103989892"/>
        <w:rPr>
          <w:rFonts w:ascii="Times New Roman" w:hAnsi="Times New Roman"/>
          <w:sz w:val="18"/>
          <w:szCs w:val="18"/>
        </w:rPr>
      </w:pPr>
      <w:r w:rsidRPr="00F614F9">
        <w:rPr>
          <w:rFonts w:ascii="Times New Roman" w:hAnsi="Times New Roman" w:hint="eastAsia"/>
          <w:sz w:val="18"/>
          <w:szCs w:val="18"/>
        </w:rPr>
        <w:t>无</w:t>
      </w:r>
    </w:p>
    <w:p w14:paraId="154CF454" w14:textId="77777777" w:rsidR="001D26E7" w:rsidRPr="00F614F9" w:rsidRDefault="00000000">
      <w:pPr>
        <w:pStyle w:val="3"/>
        <w:spacing w:line="280" w:lineRule="exact"/>
        <w:jc w:val="left"/>
        <w:rPr>
          <w:rFonts w:ascii="Times New Roman" w:hAnsi="Times New Roman" w:cs="宋体"/>
          <w:b/>
          <w:bCs/>
        </w:rPr>
      </w:pPr>
      <w:bookmarkStart w:id="372" w:name="_Toc989194"/>
      <w:r w:rsidRPr="00F614F9">
        <w:rPr>
          <w:rFonts w:ascii="Times New Roman" w:hAnsi="Times New Roman" w:cs="宋体"/>
          <w:b/>
          <w:bCs/>
        </w:rPr>
        <w:lastRenderedPageBreak/>
        <w:t>14</w:t>
      </w:r>
      <w:r w:rsidRPr="00F614F9">
        <w:rPr>
          <w:rFonts w:ascii="Times New Roman" w:hAnsi="Times New Roman" w:cs="宋体"/>
          <w:b/>
          <w:bCs/>
        </w:rPr>
        <w:t>、债权投资</w:t>
      </w:r>
      <w:bookmarkEnd w:id="372"/>
    </w:p>
    <w:p w14:paraId="4445E932" w14:textId="77777777" w:rsidR="00872599" w:rsidRPr="00F614F9" w:rsidRDefault="00000000">
      <w:pPr>
        <w:pStyle w:val="a3"/>
        <w:divId w:val="1085957851"/>
        <w:rPr>
          <w:rFonts w:ascii="Times New Roman" w:hAnsi="Times New Roman"/>
          <w:sz w:val="18"/>
          <w:szCs w:val="18"/>
        </w:rPr>
      </w:pPr>
      <w:r w:rsidRPr="00F614F9">
        <w:rPr>
          <w:rFonts w:ascii="Times New Roman" w:hAnsi="Times New Roman" w:hint="eastAsia"/>
          <w:sz w:val="18"/>
          <w:szCs w:val="18"/>
        </w:rPr>
        <w:t>无</w:t>
      </w:r>
    </w:p>
    <w:p w14:paraId="49100339" w14:textId="77777777" w:rsidR="001D26E7" w:rsidRPr="00F614F9" w:rsidRDefault="00000000">
      <w:pPr>
        <w:pStyle w:val="3"/>
        <w:spacing w:line="280" w:lineRule="exact"/>
        <w:jc w:val="left"/>
        <w:rPr>
          <w:rFonts w:ascii="Times New Roman" w:hAnsi="Times New Roman" w:cs="宋体"/>
          <w:b/>
          <w:bCs/>
        </w:rPr>
      </w:pPr>
      <w:bookmarkStart w:id="373" w:name="_Toc989199"/>
      <w:r w:rsidRPr="00F614F9">
        <w:rPr>
          <w:rFonts w:ascii="Times New Roman" w:hAnsi="Times New Roman" w:cs="宋体"/>
          <w:b/>
          <w:bCs/>
        </w:rPr>
        <w:t>15</w:t>
      </w:r>
      <w:r w:rsidRPr="00F614F9">
        <w:rPr>
          <w:rFonts w:ascii="Times New Roman" w:hAnsi="Times New Roman" w:cs="宋体"/>
          <w:b/>
          <w:bCs/>
        </w:rPr>
        <w:t>、其他债权投资</w:t>
      </w:r>
      <w:bookmarkEnd w:id="373"/>
    </w:p>
    <w:p w14:paraId="0658764E" w14:textId="77777777" w:rsidR="001D26E7" w:rsidRPr="00F614F9" w:rsidRDefault="00CE4352">
      <w:pPr>
        <w:rPr>
          <w:rFonts w:ascii="Times New Roman" w:hAnsi="Times New Roman"/>
        </w:rPr>
      </w:pPr>
      <w:r w:rsidRPr="00F614F9">
        <w:rPr>
          <w:rFonts w:ascii="Times New Roman" w:hAnsi="Times New Roman" w:hint="eastAsia"/>
        </w:rPr>
        <w:t>无</w:t>
      </w:r>
    </w:p>
    <w:p w14:paraId="0ABF4496" w14:textId="77777777" w:rsidR="001D26E7" w:rsidRPr="00F614F9" w:rsidRDefault="00000000">
      <w:pPr>
        <w:pStyle w:val="3"/>
        <w:spacing w:line="280" w:lineRule="exact"/>
        <w:jc w:val="left"/>
        <w:rPr>
          <w:rFonts w:ascii="Times New Roman" w:hAnsi="Times New Roman" w:cs="宋体"/>
          <w:b/>
          <w:bCs/>
        </w:rPr>
      </w:pPr>
      <w:bookmarkStart w:id="374" w:name="_Toc989204"/>
      <w:r w:rsidRPr="00F614F9">
        <w:rPr>
          <w:rFonts w:ascii="Times New Roman" w:hAnsi="Times New Roman" w:cs="宋体"/>
          <w:b/>
          <w:bCs/>
        </w:rPr>
        <w:t>16</w:t>
      </w:r>
      <w:r w:rsidRPr="00F614F9">
        <w:rPr>
          <w:rFonts w:ascii="Times New Roman" w:hAnsi="Times New Roman" w:cs="宋体"/>
          <w:b/>
          <w:bCs/>
        </w:rPr>
        <w:t>、其他权益工具投资</w:t>
      </w:r>
      <w:bookmarkEnd w:id="374"/>
    </w:p>
    <w:p w14:paraId="66B6F572"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1D26E7" w:rsidRPr="00F614F9" w14:paraId="21F10A10"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3F3172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FCB9C2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132DA2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6E84E1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本期计入其他综合收益的利得</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9093B5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本期计入其他综合收益的损失</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236A17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本期末累计计入其他综合收益的利得</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4DE48A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本期末累计计入其他综合收益的损失</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E95D50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本期确认的股利收入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51A6DB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指定为以公允价值计量且其变动计入其他综合收益的原因</w:t>
            </w:r>
          </w:p>
        </w:tc>
      </w:tr>
      <w:tr w:rsidR="001D26E7" w:rsidRPr="00F614F9" w14:paraId="3469ACB3"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371BBAD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北京佰镒通科技有限公司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3DDB985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2C6FC0A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1071" w:type="dxa"/>
            <w:tcBorders>
              <w:top w:val="single" w:sz="2" w:space="0" w:color="auto"/>
              <w:left w:val="single" w:sz="2" w:space="0" w:color="auto"/>
              <w:bottom w:val="single" w:sz="2" w:space="0" w:color="auto"/>
              <w:right w:val="single" w:sz="2" w:space="0" w:color="auto"/>
            </w:tcBorders>
            <w:vAlign w:val="center"/>
          </w:tcPr>
          <w:p w14:paraId="563DD2D4"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CCDEFE6"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3791F13"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8A9F18B"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AA452F0"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D0E9B5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基于战略投资的考虑</w:t>
            </w:r>
          </w:p>
        </w:tc>
      </w:tr>
      <w:tr w:rsidR="001D26E7" w:rsidRPr="00F614F9" w14:paraId="7CBD7857"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513181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14:paraId="588FBB4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1D10E1A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1071" w:type="dxa"/>
            <w:tcBorders>
              <w:top w:val="single" w:sz="2" w:space="0" w:color="auto"/>
              <w:left w:val="single" w:sz="2" w:space="0" w:color="auto"/>
              <w:bottom w:val="single" w:sz="2" w:space="0" w:color="auto"/>
              <w:right w:val="single" w:sz="2" w:space="0" w:color="auto"/>
            </w:tcBorders>
            <w:vAlign w:val="center"/>
          </w:tcPr>
          <w:p w14:paraId="2BAE4A85"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86D8B49"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D85477B"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D144353"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D67BAEC"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F7A9546" w14:textId="77777777" w:rsidR="001D26E7" w:rsidRPr="00F614F9" w:rsidRDefault="001D26E7">
            <w:pPr>
              <w:rPr>
                <w:rFonts w:ascii="Times New Roman" w:hAnsi="Times New Roman"/>
              </w:rPr>
            </w:pPr>
          </w:p>
        </w:tc>
      </w:tr>
    </w:tbl>
    <w:p w14:paraId="0BBEA09D"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本期存在终止确认</w:t>
      </w:r>
    </w:p>
    <w:p w14:paraId="2B245604"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1D26E7" w:rsidRPr="00F614F9" w14:paraId="508E45E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C04AD0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A6E834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转入留存收益的累计利得</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CAF8BF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转入留存收益的累计损失</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59A6E8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终止确认的原因</w:t>
            </w:r>
          </w:p>
        </w:tc>
      </w:tr>
    </w:tbl>
    <w:p w14:paraId="7D1C45C5"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分项披露</w:t>
      </w:r>
      <w:proofErr w:type="gramStart"/>
      <w:r w:rsidRPr="00F614F9">
        <w:rPr>
          <w:rFonts w:ascii="Times New Roman" w:eastAsia="宋体" w:hAnsi="Times New Roman" w:cs="宋体"/>
          <w:sz w:val="18"/>
          <w:szCs w:val="18"/>
        </w:rPr>
        <w:t>本期非交易</w:t>
      </w:r>
      <w:proofErr w:type="gramEnd"/>
      <w:r w:rsidRPr="00F614F9">
        <w:rPr>
          <w:rFonts w:ascii="Times New Roman" w:eastAsia="宋体" w:hAnsi="Times New Roman" w:cs="宋体"/>
          <w:sz w:val="18"/>
          <w:szCs w:val="18"/>
        </w:rPr>
        <w:t>性权益工具投资</w:t>
      </w:r>
    </w:p>
    <w:p w14:paraId="40AD7FC4"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1D26E7" w:rsidRPr="00F614F9" w14:paraId="20823A63"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B0B5CF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DF9621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确认的股利收入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335E73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累计利得</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5F3624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累计损失</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50CF91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其他综合收益转入留存收益的金额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DBD621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指定为以公允价值计量且其变动计入其他综合收益的原因</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567F72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其他综合收益转入留存收益的原因</w:t>
            </w:r>
          </w:p>
        </w:tc>
      </w:tr>
      <w:tr w:rsidR="001D26E7" w:rsidRPr="00F614F9" w14:paraId="18654E0D"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F06B4E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北京佰镒通科技有限公司股权投资</w:t>
            </w:r>
          </w:p>
        </w:tc>
        <w:tc>
          <w:tcPr>
            <w:tcW w:w="1377" w:type="dxa"/>
            <w:tcBorders>
              <w:top w:val="single" w:sz="2" w:space="0" w:color="auto"/>
              <w:left w:val="single" w:sz="2" w:space="0" w:color="auto"/>
              <w:bottom w:val="single" w:sz="2" w:space="0" w:color="auto"/>
              <w:right w:val="single" w:sz="2" w:space="0" w:color="auto"/>
            </w:tcBorders>
            <w:vAlign w:val="center"/>
          </w:tcPr>
          <w:p w14:paraId="7F5763C0"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69AA86C"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63C11D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12,100,000.00</w:t>
            </w:r>
          </w:p>
        </w:tc>
        <w:tc>
          <w:tcPr>
            <w:tcW w:w="1377" w:type="dxa"/>
            <w:tcBorders>
              <w:top w:val="single" w:sz="2" w:space="0" w:color="auto"/>
              <w:left w:val="single" w:sz="2" w:space="0" w:color="auto"/>
              <w:bottom w:val="single" w:sz="2" w:space="0" w:color="auto"/>
              <w:right w:val="single" w:sz="2" w:space="0" w:color="auto"/>
            </w:tcBorders>
            <w:vAlign w:val="center"/>
          </w:tcPr>
          <w:p w14:paraId="49849648"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E861EB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基于战略投资的考虑</w:t>
            </w:r>
          </w:p>
        </w:tc>
        <w:tc>
          <w:tcPr>
            <w:tcW w:w="1377" w:type="dxa"/>
            <w:tcBorders>
              <w:top w:val="single" w:sz="2" w:space="0" w:color="auto"/>
              <w:left w:val="single" w:sz="2" w:space="0" w:color="auto"/>
              <w:bottom w:val="single" w:sz="2" w:space="0" w:color="auto"/>
              <w:right w:val="single" w:sz="2" w:space="0" w:color="auto"/>
            </w:tcBorders>
            <w:vAlign w:val="center"/>
          </w:tcPr>
          <w:p w14:paraId="7A548AFF" w14:textId="77777777" w:rsidR="001D26E7" w:rsidRPr="00F614F9" w:rsidRDefault="001D26E7">
            <w:pPr>
              <w:spacing w:line="240" w:lineRule="exact"/>
              <w:rPr>
                <w:rFonts w:ascii="Times New Roman" w:eastAsia="宋体" w:hAnsi="Times New Roman" w:cs="宋体"/>
                <w:sz w:val="18"/>
                <w:szCs w:val="18"/>
              </w:rPr>
            </w:pPr>
          </w:p>
        </w:tc>
      </w:tr>
    </w:tbl>
    <w:p w14:paraId="0170147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43CE584C" w14:textId="77777777" w:rsidR="00872599" w:rsidRPr="00F614F9" w:rsidRDefault="00000000">
      <w:pPr>
        <w:pStyle w:val="a3"/>
        <w:divId w:val="1238171977"/>
        <w:rPr>
          <w:rFonts w:ascii="Times New Roman" w:hAnsi="Times New Roman"/>
          <w:sz w:val="18"/>
          <w:szCs w:val="18"/>
        </w:rPr>
      </w:pPr>
      <w:r w:rsidRPr="00F614F9">
        <w:rPr>
          <w:rFonts w:ascii="Times New Roman" w:hAnsi="Times New Roman" w:hint="eastAsia"/>
          <w:sz w:val="18"/>
          <w:szCs w:val="18"/>
        </w:rPr>
        <w:t>无</w:t>
      </w:r>
    </w:p>
    <w:p w14:paraId="5E1E3C7E" w14:textId="77777777" w:rsidR="001D26E7" w:rsidRPr="00F614F9" w:rsidRDefault="00000000">
      <w:pPr>
        <w:pStyle w:val="3"/>
        <w:spacing w:line="280" w:lineRule="exact"/>
        <w:jc w:val="left"/>
        <w:rPr>
          <w:rFonts w:ascii="Times New Roman" w:hAnsi="Times New Roman" w:cs="宋体"/>
          <w:b/>
          <w:bCs/>
        </w:rPr>
      </w:pPr>
      <w:bookmarkStart w:id="375" w:name="_Toc989205"/>
      <w:r w:rsidRPr="00F614F9">
        <w:rPr>
          <w:rFonts w:ascii="Times New Roman" w:hAnsi="Times New Roman" w:cs="宋体"/>
          <w:b/>
          <w:bCs/>
        </w:rPr>
        <w:t>17</w:t>
      </w:r>
      <w:r w:rsidRPr="00F614F9">
        <w:rPr>
          <w:rFonts w:ascii="Times New Roman" w:hAnsi="Times New Roman" w:cs="宋体"/>
          <w:b/>
          <w:bCs/>
        </w:rPr>
        <w:t>、长期应收款</w:t>
      </w:r>
      <w:bookmarkEnd w:id="375"/>
    </w:p>
    <w:p w14:paraId="49038DC2" w14:textId="77777777" w:rsidR="00872599" w:rsidRPr="00F614F9" w:rsidRDefault="00000000">
      <w:pPr>
        <w:pStyle w:val="a3"/>
        <w:divId w:val="1737780544"/>
        <w:rPr>
          <w:rFonts w:ascii="Times New Roman" w:hAnsi="Times New Roman"/>
          <w:sz w:val="18"/>
          <w:szCs w:val="18"/>
        </w:rPr>
      </w:pPr>
      <w:r w:rsidRPr="00F614F9">
        <w:rPr>
          <w:rFonts w:ascii="Times New Roman" w:hAnsi="Times New Roman" w:hint="eastAsia"/>
          <w:sz w:val="18"/>
          <w:szCs w:val="18"/>
        </w:rPr>
        <w:t>无</w:t>
      </w:r>
    </w:p>
    <w:p w14:paraId="2862191B" w14:textId="77777777" w:rsidR="001D26E7" w:rsidRPr="00F614F9" w:rsidRDefault="00000000">
      <w:pPr>
        <w:pStyle w:val="3"/>
        <w:spacing w:line="280" w:lineRule="exact"/>
        <w:jc w:val="left"/>
        <w:rPr>
          <w:rFonts w:ascii="Times New Roman" w:hAnsi="Times New Roman" w:cs="宋体"/>
          <w:b/>
          <w:bCs/>
        </w:rPr>
      </w:pPr>
      <w:bookmarkStart w:id="376" w:name="_Toc989210"/>
      <w:r w:rsidRPr="00F614F9">
        <w:rPr>
          <w:rFonts w:ascii="Times New Roman" w:hAnsi="Times New Roman" w:cs="宋体"/>
          <w:b/>
          <w:bCs/>
        </w:rPr>
        <w:t>18</w:t>
      </w:r>
      <w:r w:rsidRPr="00F614F9">
        <w:rPr>
          <w:rFonts w:ascii="Times New Roman" w:hAnsi="Times New Roman" w:cs="宋体"/>
          <w:b/>
          <w:bCs/>
        </w:rPr>
        <w:t>、长期股权投资</w:t>
      </w:r>
      <w:bookmarkEnd w:id="376"/>
    </w:p>
    <w:p w14:paraId="5669DB2D" w14:textId="77777777" w:rsidR="00872599" w:rsidRPr="00F614F9" w:rsidRDefault="00000000">
      <w:pPr>
        <w:pStyle w:val="a3"/>
        <w:divId w:val="418791981"/>
        <w:rPr>
          <w:rFonts w:ascii="Times New Roman" w:hAnsi="Times New Roman"/>
          <w:sz w:val="18"/>
          <w:szCs w:val="18"/>
        </w:rPr>
      </w:pPr>
      <w:r w:rsidRPr="00F614F9">
        <w:rPr>
          <w:rFonts w:ascii="Times New Roman" w:hAnsi="Times New Roman" w:hint="eastAsia"/>
          <w:sz w:val="18"/>
          <w:szCs w:val="18"/>
        </w:rPr>
        <w:t>无</w:t>
      </w:r>
    </w:p>
    <w:p w14:paraId="360A3A4B" w14:textId="77777777" w:rsidR="001D26E7" w:rsidRPr="00F614F9" w:rsidRDefault="00000000">
      <w:pPr>
        <w:pStyle w:val="3"/>
        <w:spacing w:line="280" w:lineRule="exact"/>
        <w:jc w:val="left"/>
        <w:rPr>
          <w:rFonts w:ascii="Times New Roman" w:hAnsi="Times New Roman" w:cs="宋体"/>
          <w:b/>
          <w:bCs/>
        </w:rPr>
      </w:pPr>
      <w:bookmarkStart w:id="377" w:name="_Toc989211"/>
      <w:r w:rsidRPr="00F614F9">
        <w:rPr>
          <w:rFonts w:ascii="Times New Roman" w:hAnsi="Times New Roman" w:cs="宋体"/>
          <w:b/>
          <w:bCs/>
        </w:rPr>
        <w:lastRenderedPageBreak/>
        <w:t>19</w:t>
      </w:r>
      <w:r w:rsidRPr="00F614F9">
        <w:rPr>
          <w:rFonts w:ascii="Times New Roman" w:hAnsi="Times New Roman" w:cs="宋体"/>
          <w:b/>
          <w:bCs/>
        </w:rPr>
        <w:t>、其他非流动金融资产</w:t>
      </w:r>
      <w:bookmarkEnd w:id="377"/>
    </w:p>
    <w:p w14:paraId="416B2D22" w14:textId="77777777" w:rsidR="00872599" w:rsidRPr="00F614F9" w:rsidRDefault="00000000">
      <w:pPr>
        <w:pStyle w:val="a3"/>
        <w:divId w:val="1087848290"/>
        <w:rPr>
          <w:rFonts w:ascii="Times New Roman" w:hAnsi="Times New Roman"/>
          <w:sz w:val="18"/>
          <w:szCs w:val="18"/>
        </w:rPr>
      </w:pPr>
      <w:r w:rsidRPr="00F614F9">
        <w:rPr>
          <w:rFonts w:ascii="Times New Roman" w:hAnsi="Times New Roman" w:hint="eastAsia"/>
          <w:sz w:val="18"/>
          <w:szCs w:val="18"/>
        </w:rPr>
        <w:t>无</w:t>
      </w:r>
    </w:p>
    <w:p w14:paraId="47AF3BAE" w14:textId="77777777" w:rsidR="001D26E7" w:rsidRPr="00F614F9" w:rsidRDefault="00000000">
      <w:pPr>
        <w:pStyle w:val="3"/>
        <w:spacing w:line="280" w:lineRule="exact"/>
        <w:jc w:val="left"/>
        <w:rPr>
          <w:rFonts w:ascii="Times New Roman" w:hAnsi="Times New Roman" w:cs="宋体"/>
          <w:b/>
          <w:bCs/>
        </w:rPr>
      </w:pPr>
      <w:bookmarkStart w:id="378" w:name="_Toc989212"/>
      <w:r w:rsidRPr="00F614F9">
        <w:rPr>
          <w:rFonts w:ascii="Times New Roman" w:hAnsi="Times New Roman" w:cs="宋体"/>
          <w:b/>
          <w:bCs/>
        </w:rPr>
        <w:t>20</w:t>
      </w:r>
      <w:r w:rsidRPr="00F614F9">
        <w:rPr>
          <w:rFonts w:ascii="Times New Roman" w:hAnsi="Times New Roman" w:cs="宋体"/>
          <w:b/>
          <w:bCs/>
        </w:rPr>
        <w:t>、投资性房地产</w:t>
      </w:r>
      <w:bookmarkEnd w:id="378"/>
    </w:p>
    <w:p w14:paraId="2891633F"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379" w:name="_Toc989213"/>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采用成本计量模式的投资性房地产</w:t>
      </w:r>
      <w:bookmarkEnd w:id="379"/>
    </w:p>
    <w:p w14:paraId="6C9923FA" w14:textId="77777777" w:rsidR="001D26E7" w:rsidRPr="00F614F9" w:rsidRDefault="00000000">
      <w:pPr>
        <w:spacing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A062196"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380" w:name="_Toc989214"/>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2</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采用公允价值计量模式的投资性房地产</w:t>
      </w:r>
      <w:bookmarkEnd w:id="380"/>
    </w:p>
    <w:p w14:paraId="68434364"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777D539A"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381" w:name="_Toc989215"/>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3</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转换为投资性房地产并采用公允价值计量</w:t>
      </w:r>
      <w:bookmarkEnd w:id="381"/>
    </w:p>
    <w:p w14:paraId="1DFD39F4" w14:textId="77777777" w:rsidR="00CE4352" w:rsidRPr="00F614F9" w:rsidRDefault="00CE4352" w:rsidP="00CE4352">
      <w:pPr>
        <w:spacing w:before="40" w:after="40" w:line="240" w:lineRule="exact"/>
        <w:rPr>
          <w:rFonts w:ascii="Times New Roman" w:eastAsia="宋体" w:hAnsi="Times New Roman" w:cs="宋体"/>
          <w:sz w:val="18"/>
          <w:szCs w:val="18"/>
        </w:rPr>
      </w:pPr>
      <w:r w:rsidRPr="00F614F9">
        <w:rPr>
          <w:rFonts w:ascii="Times New Roman" w:eastAsia="宋体" w:hAnsi="Times New Roman" w:cs="宋体" w:hint="eastAsia"/>
          <w:sz w:val="18"/>
          <w:szCs w:val="18"/>
        </w:rPr>
        <w:t>无</w:t>
      </w:r>
    </w:p>
    <w:p w14:paraId="16A4F4A0"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382" w:name="_Toc989216"/>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4</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未办妥产权证书的投资性房地产情况</w:t>
      </w:r>
      <w:bookmarkEnd w:id="382"/>
    </w:p>
    <w:p w14:paraId="51494D54" w14:textId="77777777" w:rsidR="00872599" w:rsidRPr="00F614F9" w:rsidRDefault="00000000">
      <w:pPr>
        <w:pStyle w:val="a3"/>
        <w:divId w:val="1230965226"/>
        <w:rPr>
          <w:rFonts w:ascii="Times New Roman" w:hAnsi="Times New Roman"/>
          <w:sz w:val="18"/>
          <w:szCs w:val="18"/>
        </w:rPr>
      </w:pPr>
      <w:r w:rsidRPr="00F614F9">
        <w:rPr>
          <w:rFonts w:ascii="Times New Roman" w:hAnsi="Times New Roman" w:hint="eastAsia"/>
          <w:sz w:val="18"/>
          <w:szCs w:val="18"/>
        </w:rPr>
        <w:t>无</w:t>
      </w:r>
    </w:p>
    <w:p w14:paraId="042879FE" w14:textId="77777777" w:rsidR="001D26E7" w:rsidRPr="00F614F9" w:rsidRDefault="00000000">
      <w:pPr>
        <w:pStyle w:val="3"/>
        <w:spacing w:line="280" w:lineRule="exact"/>
        <w:jc w:val="left"/>
        <w:rPr>
          <w:rFonts w:ascii="Times New Roman" w:hAnsi="Times New Roman" w:cs="宋体"/>
          <w:b/>
          <w:bCs/>
        </w:rPr>
      </w:pPr>
      <w:bookmarkStart w:id="383" w:name="_Toc989217"/>
      <w:r w:rsidRPr="00F614F9">
        <w:rPr>
          <w:rFonts w:ascii="Times New Roman" w:hAnsi="Times New Roman" w:cs="宋体"/>
          <w:b/>
          <w:bCs/>
        </w:rPr>
        <w:t>21</w:t>
      </w:r>
      <w:r w:rsidRPr="00F614F9">
        <w:rPr>
          <w:rFonts w:ascii="Times New Roman" w:hAnsi="Times New Roman" w:cs="宋体"/>
          <w:b/>
          <w:bCs/>
        </w:rPr>
        <w:t>、固定资产</w:t>
      </w:r>
      <w:bookmarkEnd w:id="383"/>
    </w:p>
    <w:p w14:paraId="1FDCBD06"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63B217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4C480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74EF6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10B30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32997CD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34981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76BAE61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1,692,939,156.89</w:t>
            </w:r>
          </w:p>
        </w:tc>
        <w:tc>
          <w:tcPr>
            <w:tcW w:w="3213" w:type="dxa"/>
            <w:tcBorders>
              <w:top w:val="single" w:sz="2" w:space="0" w:color="auto"/>
              <w:left w:val="single" w:sz="2" w:space="0" w:color="auto"/>
              <w:bottom w:val="single" w:sz="2" w:space="0" w:color="auto"/>
              <w:right w:val="single" w:sz="2" w:space="0" w:color="auto"/>
            </w:tcBorders>
            <w:vAlign w:val="center"/>
          </w:tcPr>
          <w:p w14:paraId="7B1A14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1,791,086,868.21</w:t>
            </w:r>
          </w:p>
        </w:tc>
      </w:tr>
      <w:tr w:rsidR="001D26E7" w:rsidRPr="00F614F9" w14:paraId="33CA1B6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56D4D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固定资产清理</w:t>
            </w:r>
          </w:p>
        </w:tc>
        <w:tc>
          <w:tcPr>
            <w:tcW w:w="3213" w:type="dxa"/>
            <w:tcBorders>
              <w:top w:val="single" w:sz="2" w:space="0" w:color="auto"/>
              <w:left w:val="single" w:sz="2" w:space="0" w:color="auto"/>
              <w:bottom w:val="single" w:sz="2" w:space="0" w:color="auto"/>
              <w:right w:val="single" w:sz="2" w:space="0" w:color="auto"/>
            </w:tcBorders>
            <w:vAlign w:val="center"/>
          </w:tcPr>
          <w:p w14:paraId="2F2F1CCF"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D710498"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B95CB0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8B072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F9D515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1,692,939,156.89</w:t>
            </w:r>
          </w:p>
        </w:tc>
        <w:tc>
          <w:tcPr>
            <w:tcW w:w="3213" w:type="dxa"/>
            <w:tcBorders>
              <w:top w:val="single" w:sz="2" w:space="0" w:color="auto"/>
              <w:left w:val="single" w:sz="2" w:space="0" w:color="auto"/>
              <w:bottom w:val="single" w:sz="2" w:space="0" w:color="auto"/>
              <w:right w:val="single" w:sz="2" w:space="0" w:color="auto"/>
            </w:tcBorders>
            <w:vAlign w:val="center"/>
          </w:tcPr>
          <w:p w14:paraId="6146FE4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1,791,086,868.21</w:t>
            </w:r>
          </w:p>
        </w:tc>
      </w:tr>
    </w:tbl>
    <w:p w14:paraId="3C9B82B8"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84" w:name="_Toc989218"/>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固定资产情况</w:t>
      </w:r>
      <w:bookmarkEnd w:id="384"/>
    </w:p>
    <w:p w14:paraId="34F2B452"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1D26E7" w:rsidRPr="00F614F9" w14:paraId="6D2B9FAF"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DFC81B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1377" w:type="dxa"/>
            <w:tcBorders>
              <w:top w:val="single" w:sz="2" w:space="0" w:color="auto"/>
              <w:left w:val="single" w:sz="2" w:space="0" w:color="auto"/>
              <w:bottom w:val="single" w:sz="2" w:space="0" w:color="auto"/>
              <w:right w:val="single" w:sz="2" w:space="0" w:color="auto"/>
            </w:tcBorders>
            <w:vAlign w:val="center"/>
          </w:tcPr>
          <w:p w14:paraId="3B08E761" w14:textId="77777777" w:rsidR="001D26E7" w:rsidRPr="00F614F9" w:rsidRDefault="00000000">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房屋及建筑物</w:t>
            </w:r>
          </w:p>
        </w:tc>
        <w:tc>
          <w:tcPr>
            <w:tcW w:w="1377" w:type="dxa"/>
            <w:tcBorders>
              <w:top w:val="single" w:sz="2" w:space="0" w:color="auto"/>
              <w:left w:val="single" w:sz="2" w:space="0" w:color="auto"/>
              <w:bottom w:val="single" w:sz="2" w:space="0" w:color="auto"/>
              <w:right w:val="single" w:sz="2" w:space="0" w:color="auto"/>
            </w:tcBorders>
            <w:vAlign w:val="center"/>
          </w:tcPr>
          <w:p w14:paraId="5FA139EC" w14:textId="77777777" w:rsidR="001D26E7" w:rsidRPr="00F614F9" w:rsidRDefault="00000000">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机器设备</w:t>
            </w:r>
          </w:p>
        </w:tc>
        <w:tc>
          <w:tcPr>
            <w:tcW w:w="1377" w:type="dxa"/>
            <w:tcBorders>
              <w:top w:val="single" w:sz="2" w:space="0" w:color="auto"/>
              <w:left w:val="single" w:sz="2" w:space="0" w:color="auto"/>
              <w:bottom w:val="single" w:sz="2" w:space="0" w:color="auto"/>
              <w:right w:val="single" w:sz="2" w:space="0" w:color="auto"/>
            </w:tcBorders>
            <w:vAlign w:val="center"/>
          </w:tcPr>
          <w:p w14:paraId="4737E9BA" w14:textId="77777777" w:rsidR="001D26E7" w:rsidRPr="00F614F9" w:rsidRDefault="00000000">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电子设备</w:t>
            </w:r>
          </w:p>
        </w:tc>
        <w:tc>
          <w:tcPr>
            <w:tcW w:w="1377" w:type="dxa"/>
            <w:tcBorders>
              <w:top w:val="single" w:sz="2" w:space="0" w:color="auto"/>
              <w:left w:val="single" w:sz="2" w:space="0" w:color="auto"/>
              <w:bottom w:val="single" w:sz="2" w:space="0" w:color="auto"/>
              <w:right w:val="single" w:sz="2" w:space="0" w:color="auto"/>
            </w:tcBorders>
            <w:vAlign w:val="center"/>
          </w:tcPr>
          <w:p w14:paraId="470E59FD" w14:textId="77777777" w:rsidR="001D26E7" w:rsidRPr="00F614F9" w:rsidRDefault="00000000">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交通运输设备</w:t>
            </w:r>
          </w:p>
        </w:tc>
        <w:tc>
          <w:tcPr>
            <w:tcW w:w="1377" w:type="dxa"/>
            <w:tcBorders>
              <w:top w:val="single" w:sz="2" w:space="0" w:color="auto"/>
              <w:left w:val="single" w:sz="2" w:space="0" w:color="auto"/>
              <w:bottom w:val="single" w:sz="2" w:space="0" w:color="auto"/>
              <w:right w:val="single" w:sz="2" w:space="0" w:color="auto"/>
            </w:tcBorders>
            <w:vAlign w:val="center"/>
          </w:tcPr>
          <w:p w14:paraId="0C9F1B73" w14:textId="77777777" w:rsidR="001D26E7" w:rsidRPr="00F614F9" w:rsidRDefault="00000000">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家具等</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EECCAC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合计</w:t>
            </w:r>
          </w:p>
        </w:tc>
      </w:tr>
      <w:tr w:rsidR="001D26E7" w:rsidRPr="00F614F9" w14:paraId="039B35D0"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D99FEA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一、账面原值：</w:t>
            </w:r>
          </w:p>
        </w:tc>
        <w:tc>
          <w:tcPr>
            <w:tcW w:w="1377" w:type="dxa"/>
            <w:tcBorders>
              <w:top w:val="single" w:sz="2" w:space="0" w:color="auto"/>
              <w:left w:val="single" w:sz="2" w:space="0" w:color="auto"/>
              <w:bottom w:val="single" w:sz="2" w:space="0" w:color="auto"/>
              <w:right w:val="single" w:sz="2" w:space="0" w:color="auto"/>
            </w:tcBorders>
            <w:vAlign w:val="center"/>
          </w:tcPr>
          <w:p w14:paraId="57CB0CBB"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3B4476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623788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9D4C664"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2CBA5E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9A82B8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93E8578"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46C1685"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期初余额</w:t>
            </w:r>
          </w:p>
        </w:tc>
        <w:tc>
          <w:tcPr>
            <w:tcW w:w="1377" w:type="dxa"/>
            <w:tcBorders>
              <w:top w:val="single" w:sz="2" w:space="0" w:color="auto"/>
              <w:left w:val="single" w:sz="2" w:space="0" w:color="auto"/>
              <w:bottom w:val="single" w:sz="2" w:space="0" w:color="auto"/>
              <w:right w:val="single" w:sz="2" w:space="0" w:color="auto"/>
            </w:tcBorders>
            <w:vAlign w:val="center"/>
          </w:tcPr>
          <w:p w14:paraId="71A8E1B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1,545,833,645.66</w:t>
            </w:r>
          </w:p>
        </w:tc>
        <w:tc>
          <w:tcPr>
            <w:tcW w:w="1377" w:type="dxa"/>
            <w:tcBorders>
              <w:top w:val="single" w:sz="2" w:space="0" w:color="auto"/>
              <w:left w:val="single" w:sz="2" w:space="0" w:color="auto"/>
              <w:bottom w:val="single" w:sz="2" w:space="0" w:color="auto"/>
              <w:right w:val="single" w:sz="2" w:space="0" w:color="auto"/>
            </w:tcBorders>
            <w:vAlign w:val="center"/>
          </w:tcPr>
          <w:p w14:paraId="76E88EA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866,884,324.68</w:t>
            </w:r>
          </w:p>
        </w:tc>
        <w:tc>
          <w:tcPr>
            <w:tcW w:w="1377" w:type="dxa"/>
            <w:tcBorders>
              <w:top w:val="single" w:sz="2" w:space="0" w:color="auto"/>
              <w:left w:val="single" w:sz="2" w:space="0" w:color="auto"/>
              <w:bottom w:val="single" w:sz="2" w:space="0" w:color="auto"/>
              <w:right w:val="single" w:sz="2" w:space="0" w:color="auto"/>
            </w:tcBorders>
            <w:vAlign w:val="center"/>
          </w:tcPr>
          <w:p w14:paraId="52B6C1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46,457,679.98</w:t>
            </w:r>
          </w:p>
        </w:tc>
        <w:tc>
          <w:tcPr>
            <w:tcW w:w="1377" w:type="dxa"/>
            <w:tcBorders>
              <w:top w:val="single" w:sz="2" w:space="0" w:color="auto"/>
              <w:left w:val="single" w:sz="2" w:space="0" w:color="auto"/>
              <w:bottom w:val="single" w:sz="2" w:space="0" w:color="auto"/>
              <w:right w:val="single" w:sz="2" w:space="0" w:color="auto"/>
            </w:tcBorders>
            <w:vAlign w:val="center"/>
          </w:tcPr>
          <w:p w14:paraId="483CEED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36,148,676.30</w:t>
            </w:r>
          </w:p>
        </w:tc>
        <w:tc>
          <w:tcPr>
            <w:tcW w:w="1377" w:type="dxa"/>
            <w:tcBorders>
              <w:top w:val="single" w:sz="2" w:space="0" w:color="auto"/>
              <w:left w:val="single" w:sz="2" w:space="0" w:color="auto"/>
              <w:bottom w:val="single" w:sz="2" w:space="0" w:color="auto"/>
              <w:right w:val="single" w:sz="2" w:space="0" w:color="auto"/>
            </w:tcBorders>
            <w:vAlign w:val="center"/>
          </w:tcPr>
          <w:p w14:paraId="64A35F1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77,236,371.15</w:t>
            </w:r>
          </w:p>
        </w:tc>
        <w:tc>
          <w:tcPr>
            <w:tcW w:w="1377" w:type="dxa"/>
            <w:tcBorders>
              <w:top w:val="single" w:sz="2" w:space="0" w:color="auto"/>
              <w:left w:val="single" w:sz="2" w:space="0" w:color="auto"/>
              <w:bottom w:val="single" w:sz="2" w:space="0" w:color="auto"/>
              <w:right w:val="single" w:sz="2" w:space="0" w:color="auto"/>
            </w:tcBorders>
            <w:vAlign w:val="center"/>
          </w:tcPr>
          <w:p w14:paraId="6A84871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2,572,560,697.77</w:t>
            </w:r>
          </w:p>
        </w:tc>
      </w:tr>
      <w:tr w:rsidR="001D26E7" w:rsidRPr="00F614F9" w14:paraId="629B49E2"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E9334D1"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vAlign w:val="center"/>
          </w:tcPr>
          <w:p w14:paraId="205E293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36,349,681.66</w:t>
            </w:r>
          </w:p>
        </w:tc>
        <w:tc>
          <w:tcPr>
            <w:tcW w:w="1377" w:type="dxa"/>
            <w:tcBorders>
              <w:top w:val="single" w:sz="2" w:space="0" w:color="auto"/>
              <w:left w:val="single" w:sz="2" w:space="0" w:color="auto"/>
              <w:bottom w:val="single" w:sz="2" w:space="0" w:color="auto"/>
              <w:right w:val="single" w:sz="2" w:space="0" w:color="auto"/>
            </w:tcBorders>
            <w:vAlign w:val="center"/>
          </w:tcPr>
          <w:p w14:paraId="5760F7F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40,003,412.14</w:t>
            </w:r>
          </w:p>
        </w:tc>
        <w:tc>
          <w:tcPr>
            <w:tcW w:w="1377" w:type="dxa"/>
            <w:tcBorders>
              <w:top w:val="single" w:sz="2" w:space="0" w:color="auto"/>
              <w:left w:val="single" w:sz="2" w:space="0" w:color="auto"/>
              <w:bottom w:val="single" w:sz="2" w:space="0" w:color="auto"/>
              <w:right w:val="single" w:sz="2" w:space="0" w:color="auto"/>
            </w:tcBorders>
            <w:vAlign w:val="center"/>
          </w:tcPr>
          <w:p w14:paraId="3E1624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4,648,634.84</w:t>
            </w:r>
          </w:p>
        </w:tc>
        <w:tc>
          <w:tcPr>
            <w:tcW w:w="1377" w:type="dxa"/>
            <w:tcBorders>
              <w:top w:val="single" w:sz="2" w:space="0" w:color="auto"/>
              <w:left w:val="single" w:sz="2" w:space="0" w:color="auto"/>
              <w:bottom w:val="single" w:sz="2" w:space="0" w:color="auto"/>
              <w:right w:val="single" w:sz="2" w:space="0" w:color="auto"/>
            </w:tcBorders>
            <w:vAlign w:val="center"/>
          </w:tcPr>
          <w:p w14:paraId="7281994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2,641,839.21</w:t>
            </w:r>
          </w:p>
        </w:tc>
        <w:tc>
          <w:tcPr>
            <w:tcW w:w="1377" w:type="dxa"/>
            <w:tcBorders>
              <w:top w:val="single" w:sz="2" w:space="0" w:color="auto"/>
              <w:left w:val="single" w:sz="2" w:space="0" w:color="auto"/>
              <w:bottom w:val="single" w:sz="2" w:space="0" w:color="auto"/>
              <w:right w:val="single" w:sz="2" w:space="0" w:color="auto"/>
            </w:tcBorders>
            <w:vAlign w:val="center"/>
          </w:tcPr>
          <w:p w14:paraId="70E1635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4,077,232.31</w:t>
            </w:r>
          </w:p>
        </w:tc>
        <w:tc>
          <w:tcPr>
            <w:tcW w:w="1377" w:type="dxa"/>
            <w:tcBorders>
              <w:top w:val="single" w:sz="2" w:space="0" w:color="auto"/>
              <w:left w:val="single" w:sz="2" w:space="0" w:color="auto"/>
              <w:bottom w:val="single" w:sz="2" w:space="0" w:color="auto"/>
              <w:right w:val="single" w:sz="2" w:space="0" w:color="auto"/>
            </w:tcBorders>
            <w:vAlign w:val="center"/>
          </w:tcPr>
          <w:p w14:paraId="11AE310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87,720,800.16</w:t>
            </w:r>
          </w:p>
        </w:tc>
      </w:tr>
      <w:tr w:rsidR="001D26E7" w:rsidRPr="00F614F9" w14:paraId="5C7A7BF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A6E3E5C"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）购置</w:t>
            </w:r>
          </w:p>
        </w:tc>
        <w:tc>
          <w:tcPr>
            <w:tcW w:w="1377" w:type="dxa"/>
            <w:tcBorders>
              <w:top w:val="single" w:sz="2" w:space="0" w:color="auto"/>
              <w:left w:val="single" w:sz="2" w:space="0" w:color="auto"/>
              <w:bottom w:val="single" w:sz="2" w:space="0" w:color="auto"/>
              <w:right w:val="single" w:sz="2" w:space="0" w:color="auto"/>
            </w:tcBorders>
            <w:vAlign w:val="center"/>
          </w:tcPr>
          <w:p w14:paraId="725B58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21,760,783.88</w:t>
            </w:r>
          </w:p>
        </w:tc>
        <w:tc>
          <w:tcPr>
            <w:tcW w:w="1377" w:type="dxa"/>
            <w:tcBorders>
              <w:top w:val="single" w:sz="2" w:space="0" w:color="auto"/>
              <w:left w:val="single" w:sz="2" w:space="0" w:color="auto"/>
              <w:bottom w:val="single" w:sz="2" w:space="0" w:color="auto"/>
              <w:right w:val="single" w:sz="2" w:space="0" w:color="auto"/>
            </w:tcBorders>
            <w:vAlign w:val="center"/>
          </w:tcPr>
          <w:p w14:paraId="35692F1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31,125,097.43</w:t>
            </w:r>
          </w:p>
        </w:tc>
        <w:tc>
          <w:tcPr>
            <w:tcW w:w="1377" w:type="dxa"/>
            <w:tcBorders>
              <w:top w:val="single" w:sz="2" w:space="0" w:color="auto"/>
              <w:left w:val="single" w:sz="2" w:space="0" w:color="auto"/>
              <w:bottom w:val="single" w:sz="2" w:space="0" w:color="auto"/>
              <w:right w:val="single" w:sz="2" w:space="0" w:color="auto"/>
            </w:tcBorders>
            <w:vAlign w:val="center"/>
          </w:tcPr>
          <w:p w14:paraId="1F40881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2,989,068.74</w:t>
            </w:r>
          </w:p>
        </w:tc>
        <w:tc>
          <w:tcPr>
            <w:tcW w:w="1377" w:type="dxa"/>
            <w:tcBorders>
              <w:top w:val="single" w:sz="2" w:space="0" w:color="auto"/>
              <w:left w:val="single" w:sz="2" w:space="0" w:color="auto"/>
              <w:bottom w:val="single" w:sz="2" w:space="0" w:color="auto"/>
              <w:right w:val="single" w:sz="2" w:space="0" w:color="auto"/>
            </w:tcBorders>
            <w:vAlign w:val="center"/>
          </w:tcPr>
          <w:p w14:paraId="09B24C3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2,641,839.21</w:t>
            </w:r>
          </w:p>
        </w:tc>
        <w:tc>
          <w:tcPr>
            <w:tcW w:w="1377" w:type="dxa"/>
            <w:tcBorders>
              <w:top w:val="single" w:sz="2" w:space="0" w:color="auto"/>
              <w:left w:val="single" w:sz="2" w:space="0" w:color="auto"/>
              <w:bottom w:val="single" w:sz="2" w:space="0" w:color="auto"/>
              <w:right w:val="single" w:sz="2" w:space="0" w:color="auto"/>
            </w:tcBorders>
            <w:vAlign w:val="center"/>
          </w:tcPr>
          <w:p w14:paraId="18230D7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4,077,232.31</w:t>
            </w:r>
          </w:p>
        </w:tc>
        <w:tc>
          <w:tcPr>
            <w:tcW w:w="1377" w:type="dxa"/>
            <w:tcBorders>
              <w:top w:val="single" w:sz="2" w:space="0" w:color="auto"/>
              <w:left w:val="single" w:sz="2" w:space="0" w:color="auto"/>
              <w:bottom w:val="single" w:sz="2" w:space="0" w:color="auto"/>
              <w:right w:val="single" w:sz="2" w:space="0" w:color="auto"/>
            </w:tcBorders>
            <w:vAlign w:val="center"/>
          </w:tcPr>
          <w:p w14:paraId="13C7364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62,594,021.57</w:t>
            </w:r>
          </w:p>
        </w:tc>
      </w:tr>
      <w:tr w:rsidR="001D26E7" w:rsidRPr="00F614F9" w14:paraId="40E1FDD1"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1F38135"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）在建工程转入</w:t>
            </w:r>
          </w:p>
        </w:tc>
        <w:tc>
          <w:tcPr>
            <w:tcW w:w="1377" w:type="dxa"/>
            <w:tcBorders>
              <w:top w:val="single" w:sz="2" w:space="0" w:color="auto"/>
              <w:left w:val="single" w:sz="2" w:space="0" w:color="auto"/>
              <w:bottom w:val="single" w:sz="2" w:space="0" w:color="auto"/>
              <w:right w:val="single" w:sz="2" w:space="0" w:color="auto"/>
            </w:tcBorders>
            <w:vAlign w:val="center"/>
          </w:tcPr>
          <w:p w14:paraId="55B0C8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14,588,897.78</w:t>
            </w:r>
          </w:p>
        </w:tc>
        <w:tc>
          <w:tcPr>
            <w:tcW w:w="1377" w:type="dxa"/>
            <w:tcBorders>
              <w:top w:val="single" w:sz="2" w:space="0" w:color="auto"/>
              <w:left w:val="single" w:sz="2" w:space="0" w:color="auto"/>
              <w:bottom w:val="single" w:sz="2" w:space="0" w:color="auto"/>
              <w:right w:val="single" w:sz="2" w:space="0" w:color="auto"/>
            </w:tcBorders>
            <w:vAlign w:val="center"/>
          </w:tcPr>
          <w:p w14:paraId="7A073A8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8,878,314.71</w:t>
            </w:r>
          </w:p>
        </w:tc>
        <w:tc>
          <w:tcPr>
            <w:tcW w:w="1377" w:type="dxa"/>
            <w:tcBorders>
              <w:top w:val="single" w:sz="2" w:space="0" w:color="auto"/>
              <w:left w:val="single" w:sz="2" w:space="0" w:color="auto"/>
              <w:bottom w:val="single" w:sz="2" w:space="0" w:color="auto"/>
              <w:right w:val="single" w:sz="2" w:space="0" w:color="auto"/>
            </w:tcBorders>
            <w:vAlign w:val="center"/>
          </w:tcPr>
          <w:p w14:paraId="025CF07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1,659,566.10</w:t>
            </w:r>
          </w:p>
        </w:tc>
        <w:tc>
          <w:tcPr>
            <w:tcW w:w="1377" w:type="dxa"/>
            <w:tcBorders>
              <w:top w:val="single" w:sz="2" w:space="0" w:color="auto"/>
              <w:left w:val="single" w:sz="2" w:space="0" w:color="auto"/>
              <w:bottom w:val="single" w:sz="2" w:space="0" w:color="auto"/>
              <w:right w:val="single" w:sz="2" w:space="0" w:color="auto"/>
            </w:tcBorders>
            <w:vAlign w:val="center"/>
          </w:tcPr>
          <w:p w14:paraId="42829BB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79D819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0809B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25,126,778.59</w:t>
            </w:r>
          </w:p>
        </w:tc>
      </w:tr>
      <w:tr w:rsidR="001D26E7" w:rsidRPr="00F614F9" w14:paraId="45DD8BE1"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8D301F5"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）企业合并增加</w:t>
            </w:r>
          </w:p>
        </w:tc>
        <w:tc>
          <w:tcPr>
            <w:tcW w:w="1377" w:type="dxa"/>
            <w:tcBorders>
              <w:top w:val="single" w:sz="2" w:space="0" w:color="auto"/>
              <w:left w:val="single" w:sz="2" w:space="0" w:color="auto"/>
              <w:bottom w:val="single" w:sz="2" w:space="0" w:color="auto"/>
              <w:right w:val="single" w:sz="2" w:space="0" w:color="auto"/>
            </w:tcBorders>
            <w:vAlign w:val="center"/>
          </w:tcPr>
          <w:p w14:paraId="11FEF557"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D16BC34"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C3F2088"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CCFF52C"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0FD64E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4143260"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8E5180C"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F4C0C14" w14:textId="77777777" w:rsidR="001D26E7" w:rsidRPr="00F614F9" w:rsidRDefault="001D26E7">
            <w:pPr>
              <w:spacing w:line="240" w:lineRule="exac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378573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AB603A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3B66252"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6E6E96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3944FB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BC2BD4C"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9CD45DB"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7D885EA"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vAlign w:val="center"/>
          </w:tcPr>
          <w:p w14:paraId="189617B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26,861,113.32</w:t>
            </w:r>
          </w:p>
        </w:tc>
        <w:tc>
          <w:tcPr>
            <w:tcW w:w="1377" w:type="dxa"/>
            <w:tcBorders>
              <w:top w:val="single" w:sz="2" w:space="0" w:color="auto"/>
              <w:left w:val="single" w:sz="2" w:space="0" w:color="auto"/>
              <w:bottom w:val="single" w:sz="2" w:space="0" w:color="auto"/>
              <w:right w:val="single" w:sz="2" w:space="0" w:color="auto"/>
            </w:tcBorders>
            <w:vAlign w:val="center"/>
          </w:tcPr>
          <w:p w14:paraId="511943D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8,742,737.50</w:t>
            </w:r>
          </w:p>
        </w:tc>
        <w:tc>
          <w:tcPr>
            <w:tcW w:w="1377" w:type="dxa"/>
            <w:tcBorders>
              <w:top w:val="single" w:sz="2" w:space="0" w:color="auto"/>
              <w:left w:val="single" w:sz="2" w:space="0" w:color="auto"/>
              <w:bottom w:val="single" w:sz="2" w:space="0" w:color="auto"/>
              <w:right w:val="single" w:sz="2" w:space="0" w:color="auto"/>
            </w:tcBorders>
            <w:vAlign w:val="center"/>
          </w:tcPr>
          <w:p w14:paraId="514C5FF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4,078,602.69</w:t>
            </w:r>
          </w:p>
        </w:tc>
        <w:tc>
          <w:tcPr>
            <w:tcW w:w="1377" w:type="dxa"/>
            <w:tcBorders>
              <w:top w:val="single" w:sz="2" w:space="0" w:color="auto"/>
              <w:left w:val="single" w:sz="2" w:space="0" w:color="auto"/>
              <w:bottom w:val="single" w:sz="2" w:space="0" w:color="auto"/>
              <w:right w:val="single" w:sz="2" w:space="0" w:color="auto"/>
            </w:tcBorders>
            <w:vAlign w:val="center"/>
          </w:tcPr>
          <w:p w14:paraId="7A09ED1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2,431,255.01</w:t>
            </w:r>
          </w:p>
        </w:tc>
        <w:tc>
          <w:tcPr>
            <w:tcW w:w="1377" w:type="dxa"/>
            <w:tcBorders>
              <w:top w:val="single" w:sz="2" w:space="0" w:color="auto"/>
              <w:left w:val="single" w:sz="2" w:space="0" w:color="auto"/>
              <w:bottom w:val="single" w:sz="2" w:space="0" w:color="auto"/>
              <w:right w:val="single" w:sz="2" w:space="0" w:color="auto"/>
            </w:tcBorders>
            <w:vAlign w:val="center"/>
          </w:tcPr>
          <w:p w14:paraId="69D9FA0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3,062,621.14</w:t>
            </w:r>
          </w:p>
        </w:tc>
        <w:tc>
          <w:tcPr>
            <w:tcW w:w="1377" w:type="dxa"/>
            <w:tcBorders>
              <w:top w:val="single" w:sz="2" w:space="0" w:color="auto"/>
              <w:left w:val="single" w:sz="2" w:space="0" w:color="auto"/>
              <w:bottom w:val="single" w:sz="2" w:space="0" w:color="auto"/>
              <w:right w:val="single" w:sz="2" w:space="0" w:color="auto"/>
            </w:tcBorders>
            <w:vAlign w:val="center"/>
          </w:tcPr>
          <w:p w14:paraId="6A58C01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45,176,329.66</w:t>
            </w:r>
          </w:p>
        </w:tc>
      </w:tr>
      <w:tr w:rsidR="001D26E7" w:rsidRPr="00F614F9" w14:paraId="28A2D34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2FDE22A"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）处置或报废</w:t>
            </w:r>
          </w:p>
        </w:tc>
        <w:tc>
          <w:tcPr>
            <w:tcW w:w="1377" w:type="dxa"/>
            <w:tcBorders>
              <w:top w:val="single" w:sz="2" w:space="0" w:color="auto"/>
              <w:left w:val="single" w:sz="2" w:space="0" w:color="auto"/>
              <w:bottom w:val="single" w:sz="2" w:space="0" w:color="auto"/>
              <w:right w:val="single" w:sz="2" w:space="0" w:color="auto"/>
            </w:tcBorders>
            <w:vAlign w:val="center"/>
          </w:tcPr>
          <w:p w14:paraId="60DA258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26,861,113.32</w:t>
            </w:r>
          </w:p>
        </w:tc>
        <w:tc>
          <w:tcPr>
            <w:tcW w:w="1377" w:type="dxa"/>
            <w:tcBorders>
              <w:top w:val="single" w:sz="2" w:space="0" w:color="auto"/>
              <w:left w:val="single" w:sz="2" w:space="0" w:color="auto"/>
              <w:bottom w:val="single" w:sz="2" w:space="0" w:color="auto"/>
              <w:right w:val="single" w:sz="2" w:space="0" w:color="auto"/>
            </w:tcBorders>
            <w:vAlign w:val="center"/>
          </w:tcPr>
          <w:p w14:paraId="2BDF3FD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8,742,737.50</w:t>
            </w:r>
          </w:p>
        </w:tc>
        <w:tc>
          <w:tcPr>
            <w:tcW w:w="1377" w:type="dxa"/>
            <w:tcBorders>
              <w:top w:val="single" w:sz="2" w:space="0" w:color="auto"/>
              <w:left w:val="single" w:sz="2" w:space="0" w:color="auto"/>
              <w:bottom w:val="single" w:sz="2" w:space="0" w:color="auto"/>
              <w:right w:val="single" w:sz="2" w:space="0" w:color="auto"/>
            </w:tcBorders>
            <w:vAlign w:val="center"/>
          </w:tcPr>
          <w:p w14:paraId="2EA196C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4,078,602.69</w:t>
            </w:r>
          </w:p>
        </w:tc>
        <w:tc>
          <w:tcPr>
            <w:tcW w:w="1377" w:type="dxa"/>
            <w:tcBorders>
              <w:top w:val="single" w:sz="2" w:space="0" w:color="auto"/>
              <w:left w:val="single" w:sz="2" w:space="0" w:color="auto"/>
              <w:bottom w:val="single" w:sz="2" w:space="0" w:color="auto"/>
              <w:right w:val="single" w:sz="2" w:space="0" w:color="auto"/>
            </w:tcBorders>
            <w:vAlign w:val="center"/>
          </w:tcPr>
          <w:p w14:paraId="0822A23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2,431,255.01</w:t>
            </w:r>
          </w:p>
        </w:tc>
        <w:tc>
          <w:tcPr>
            <w:tcW w:w="1377" w:type="dxa"/>
            <w:tcBorders>
              <w:top w:val="single" w:sz="2" w:space="0" w:color="auto"/>
              <w:left w:val="single" w:sz="2" w:space="0" w:color="auto"/>
              <w:bottom w:val="single" w:sz="2" w:space="0" w:color="auto"/>
              <w:right w:val="single" w:sz="2" w:space="0" w:color="auto"/>
            </w:tcBorders>
            <w:vAlign w:val="center"/>
          </w:tcPr>
          <w:p w14:paraId="33B6FCB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3,062,621.14</w:t>
            </w:r>
          </w:p>
        </w:tc>
        <w:tc>
          <w:tcPr>
            <w:tcW w:w="1377" w:type="dxa"/>
            <w:tcBorders>
              <w:top w:val="single" w:sz="2" w:space="0" w:color="auto"/>
              <w:left w:val="single" w:sz="2" w:space="0" w:color="auto"/>
              <w:bottom w:val="single" w:sz="2" w:space="0" w:color="auto"/>
              <w:right w:val="single" w:sz="2" w:space="0" w:color="auto"/>
            </w:tcBorders>
            <w:vAlign w:val="center"/>
          </w:tcPr>
          <w:p w14:paraId="0E09CA4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45,176,329.66</w:t>
            </w:r>
          </w:p>
        </w:tc>
      </w:tr>
      <w:tr w:rsidR="001D26E7" w:rsidRPr="00F614F9" w14:paraId="69F23FD8"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990F6F6" w14:textId="77777777" w:rsidR="001D26E7" w:rsidRPr="00F614F9" w:rsidRDefault="001D26E7">
            <w:pPr>
              <w:spacing w:line="240" w:lineRule="exac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95EE182"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7FDFD29"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5E5EBEF"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098E1BA"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418755C"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95B2DA0"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EE6F904"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D8830D1"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期末余额</w:t>
            </w:r>
          </w:p>
        </w:tc>
        <w:tc>
          <w:tcPr>
            <w:tcW w:w="1377" w:type="dxa"/>
            <w:tcBorders>
              <w:top w:val="single" w:sz="2" w:space="0" w:color="auto"/>
              <w:left w:val="single" w:sz="2" w:space="0" w:color="auto"/>
              <w:bottom w:val="single" w:sz="2" w:space="0" w:color="auto"/>
              <w:right w:val="single" w:sz="2" w:space="0" w:color="auto"/>
            </w:tcBorders>
            <w:vAlign w:val="center"/>
          </w:tcPr>
          <w:p w14:paraId="3CC5724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1,555,322,214.00</w:t>
            </w:r>
          </w:p>
        </w:tc>
        <w:tc>
          <w:tcPr>
            <w:tcW w:w="1377" w:type="dxa"/>
            <w:tcBorders>
              <w:top w:val="single" w:sz="2" w:space="0" w:color="auto"/>
              <w:left w:val="single" w:sz="2" w:space="0" w:color="auto"/>
              <w:bottom w:val="single" w:sz="2" w:space="0" w:color="auto"/>
              <w:right w:val="single" w:sz="2" w:space="0" w:color="auto"/>
            </w:tcBorders>
            <w:vAlign w:val="center"/>
          </w:tcPr>
          <w:p w14:paraId="7DBD078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898,144,999.32</w:t>
            </w:r>
          </w:p>
        </w:tc>
        <w:tc>
          <w:tcPr>
            <w:tcW w:w="1377" w:type="dxa"/>
            <w:tcBorders>
              <w:top w:val="single" w:sz="2" w:space="0" w:color="auto"/>
              <w:left w:val="single" w:sz="2" w:space="0" w:color="auto"/>
              <w:bottom w:val="single" w:sz="2" w:space="0" w:color="auto"/>
              <w:right w:val="single" w:sz="2" w:space="0" w:color="auto"/>
            </w:tcBorders>
            <w:vAlign w:val="center"/>
          </w:tcPr>
          <w:p w14:paraId="57D6665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47,027,712.13</w:t>
            </w:r>
          </w:p>
        </w:tc>
        <w:tc>
          <w:tcPr>
            <w:tcW w:w="1377" w:type="dxa"/>
            <w:tcBorders>
              <w:top w:val="single" w:sz="2" w:space="0" w:color="auto"/>
              <w:left w:val="single" w:sz="2" w:space="0" w:color="auto"/>
              <w:bottom w:val="single" w:sz="2" w:space="0" w:color="auto"/>
              <w:right w:val="single" w:sz="2" w:space="0" w:color="auto"/>
            </w:tcBorders>
            <w:vAlign w:val="center"/>
          </w:tcPr>
          <w:p w14:paraId="5720D62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36,359,260.50</w:t>
            </w:r>
          </w:p>
        </w:tc>
        <w:tc>
          <w:tcPr>
            <w:tcW w:w="1377" w:type="dxa"/>
            <w:tcBorders>
              <w:top w:val="single" w:sz="2" w:space="0" w:color="auto"/>
              <w:left w:val="single" w:sz="2" w:space="0" w:color="auto"/>
              <w:bottom w:val="single" w:sz="2" w:space="0" w:color="auto"/>
              <w:right w:val="single" w:sz="2" w:space="0" w:color="auto"/>
            </w:tcBorders>
            <w:vAlign w:val="center"/>
          </w:tcPr>
          <w:p w14:paraId="21C5232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78,250,982.32</w:t>
            </w:r>
          </w:p>
        </w:tc>
        <w:tc>
          <w:tcPr>
            <w:tcW w:w="1377" w:type="dxa"/>
            <w:tcBorders>
              <w:top w:val="single" w:sz="2" w:space="0" w:color="auto"/>
              <w:left w:val="single" w:sz="2" w:space="0" w:color="auto"/>
              <w:bottom w:val="single" w:sz="2" w:space="0" w:color="auto"/>
              <w:right w:val="single" w:sz="2" w:space="0" w:color="auto"/>
            </w:tcBorders>
            <w:vAlign w:val="center"/>
          </w:tcPr>
          <w:p w14:paraId="22E2B92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2,615,105,168.27</w:t>
            </w:r>
          </w:p>
        </w:tc>
      </w:tr>
      <w:tr w:rsidR="001D26E7" w:rsidRPr="00F614F9" w14:paraId="37602F7F"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DEC107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二、累计折旧</w:t>
            </w:r>
          </w:p>
        </w:tc>
        <w:tc>
          <w:tcPr>
            <w:tcW w:w="1377" w:type="dxa"/>
            <w:tcBorders>
              <w:top w:val="single" w:sz="2" w:space="0" w:color="auto"/>
              <w:left w:val="single" w:sz="2" w:space="0" w:color="auto"/>
              <w:bottom w:val="single" w:sz="2" w:space="0" w:color="auto"/>
              <w:right w:val="single" w:sz="2" w:space="0" w:color="auto"/>
            </w:tcBorders>
            <w:vAlign w:val="center"/>
          </w:tcPr>
          <w:p w14:paraId="544011AC"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8F2E407"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922B3A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3525EEA"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A1003A9"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3693D4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01C1AEB"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00AF428"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期初余额</w:t>
            </w:r>
          </w:p>
        </w:tc>
        <w:tc>
          <w:tcPr>
            <w:tcW w:w="1377" w:type="dxa"/>
            <w:tcBorders>
              <w:top w:val="single" w:sz="2" w:space="0" w:color="auto"/>
              <w:left w:val="single" w:sz="2" w:space="0" w:color="auto"/>
              <w:bottom w:val="single" w:sz="2" w:space="0" w:color="auto"/>
              <w:right w:val="single" w:sz="2" w:space="0" w:color="auto"/>
            </w:tcBorders>
            <w:vAlign w:val="center"/>
          </w:tcPr>
          <w:p w14:paraId="3F454DE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320,482,196.46</w:t>
            </w:r>
          </w:p>
        </w:tc>
        <w:tc>
          <w:tcPr>
            <w:tcW w:w="1377" w:type="dxa"/>
            <w:tcBorders>
              <w:top w:val="single" w:sz="2" w:space="0" w:color="auto"/>
              <w:left w:val="single" w:sz="2" w:space="0" w:color="auto"/>
              <w:bottom w:val="single" w:sz="2" w:space="0" w:color="auto"/>
              <w:right w:val="single" w:sz="2" w:space="0" w:color="auto"/>
            </w:tcBorders>
            <w:vAlign w:val="center"/>
          </w:tcPr>
          <w:p w14:paraId="60CAEA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355,225,306.38</w:t>
            </w:r>
          </w:p>
        </w:tc>
        <w:tc>
          <w:tcPr>
            <w:tcW w:w="1377" w:type="dxa"/>
            <w:tcBorders>
              <w:top w:val="single" w:sz="2" w:space="0" w:color="auto"/>
              <w:left w:val="single" w:sz="2" w:space="0" w:color="auto"/>
              <w:bottom w:val="single" w:sz="2" w:space="0" w:color="auto"/>
              <w:right w:val="single" w:sz="2" w:space="0" w:color="auto"/>
            </w:tcBorders>
            <w:vAlign w:val="center"/>
          </w:tcPr>
          <w:p w14:paraId="638DEFE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36,899,845.83</w:t>
            </w:r>
          </w:p>
        </w:tc>
        <w:tc>
          <w:tcPr>
            <w:tcW w:w="1377" w:type="dxa"/>
            <w:tcBorders>
              <w:top w:val="single" w:sz="2" w:space="0" w:color="auto"/>
              <w:left w:val="single" w:sz="2" w:space="0" w:color="auto"/>
              <w:bottom w:val="single" w:sz="2" w:space="0" w:color="auto"/>
              <w:right w:val="single" w:sz="2" w:space="0" w:color="auto"/>
            </w:tcBorders>
            <w:vAlign w:val="center"/>
          </w:tcPr>
          <w:p w14:paraId="5738CC3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24,783,175.90</w:t>
            </w:r>
          </w:p>
        </w:tc>
        <w:tc>
          <w:tcPr>
            <w:tcW w:w="1377" w:type="dxa"/>
            <w:tcBorders>
              <w:top w:val="single" w:sz="2" w:space="0" w:color="auto"/>
              <w:left w:val="single" w:sz="2" w:space="0" w:color="auto"/>
              <w:bottom w:val="single" w:sz="2" w:space="0" w:color="auto"/>
              <w:right w:val="single" w:sz="2" w:space="0" w:color="auto"/>
            </w:tcBorders>
            <w:vAlign w:val="center"/>
          </w:tcPr>
          <w:p w14:paraId="38FEC09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44,083,304.99</w:t>
            </w:r>
          </w:p>
        </w:tc>
        <w:tc>
          <w:tcPr>
            <w:tcW w:w="1377" w:type="dxa"/>
            <w:tcBorders>
              <w:top w:val="single" w:sz="2" w:space="0" w:color="auto"/>
              <w:left w:val="single" w:sz="2" w:space="0" w:color="auto"/>
              <w:bottom w:val="single" w:sz="2" w:space="0" w:color="auto"/>
              <w:right w:val="single" w:sz="2" w:space="0" w:color="auto"/>
            </w:tcBorders>
            <w:vAlign w:val="center"/>
          </w:tcPr>
          <w:p w14:paraId="202ED7D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781,473,829.56</w:t>
            </w:r>
          </w:p>
        </w:tc>
      </w:tr>
      <w:tr w:rsidR="001D26E7" w:rsidRPr="00F614F9" w14:paraId="5BB32686"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14176DA"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vAlign w:val="center"/>
          </w:tcPr>
          <w:p w14:paraId="177935A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70,435,199.44</w:t>
            </w:r>
          </w:p>
        </w:tc>
        <w:tc>
          <w:tcPr>
            <w:tcW w:w="1377" w:type="dxa"/>
            <w:tcBorders>
              <w:top w:val="single" w:sz="2" w:space="0" w:color="auto"/>
              <w:left w:val="single" w:sz="2" w:space="0" w:color="auto"/>
              <w:bottom w:val="single" w:sz="2" w:space="0" w:color="auto"/>
              <w:right w:val="single" w:sz="2" w:space="0" w:color="auto"/>
            </w:tcBorders>
            <w:vAlign w:val="center"/>
          </w:tcPr>
          <w:p w14:paraId="200B305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68,782,404.42</w:t>
            </w:r>
          </w:p>
        </w:tc>
        <w:tc>
          <w:tcPr>
            <w:tcW w:w="1377" w:type="dxa"/>
            <w:tcBorders>
              <w:top w:val="single" w:sz="2" w:space="0" w:color="auto"/>
              <w:left w:val="single" w:sz="2" w:space="0" w:color="auto"/>
              <w:bottom w:val="single" w:sz="2" w:space="0" w:color="auto"/>
              <w:right w:val="single" w:sz="2" w:space="0" w:color="auto"/>
            </w:tcBorders>
            <w:vAlign w:val="center"/>
          </w:tcPr>
          <w:p w14:paraId="68494A3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4,184,717.02</w:t>
            </w:r>
          </w:p>
        </w:tc>
        <w:tc>
          <w:tcPr>
            <w:tcW w:w="1377" w:type="dxa"/>
            <w:tcBorders>
              <w:top w:val="single" w:sz="2" w:space="0" w:color="auto"/>
              <w:left w:val="single" w:sz="2" w:space="0" w:color="auto"/>
              <w:bottom w:val="single" w:sz="2" w:space="0" w:color="auto"/>
              <w:right w:val="single" w:sz="2" w:space="0" w:color="auto"/>
            </w:tcBorders>
            <w:vAlign w:val="center"/>
          </w:tcPr>
          <w:p w14:paraId="5EB057E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4,377,977.46</w:t>
            </w:r>
          </w:p>
        </w:tc>
        <w:tc>
          <w:tcPr>
            <w:tcW w:w="1377" w:type="dxa"/>
            <w:tcBorders>
              <w:top w:val="single" w:sz="2" w:space="0" w:color="auto"/>
              <w:left w:val="single" w:sz="2" w:space="0" w:color="auto"/>
              <w:bottom w:val="single" w:sz="2" w:space="0" w:color="auto"/>
              <w:right w:val="single" w:sz="2" w:space="0" w:color="auto"/>
            </w:tcBorders>
            <w:vAlign w:val="center"/>
          </w:tcPr>
          <w:p w14:paraId="2E28F6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9,847,965.88</w:t>
            </w:r>
          </w:p>
        </w:tc>
        <w:tc>
          <w:tcPr>
            <w:tcW w:w="1377" w:type="dxa"/>
            <w:tcBorders>
              <w:top w:val="single" w:sz="2" w:space="0" w:color="auto"/>
              <w:left w:val="single" w:sz="2" w:space="0" w:color="auto"/>
              <w:bottom w:val="single" w:sz="2" w:space="0" w:color="auto"/>
              <w:right w:val="single" w:sz="2" w:space="0" w:color="auto"/>
            </w:tcBorders>
            <w:vAlign w:val="center"/>
          </w:tcPr>
          <w:p w14:paraId="7482DF0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157,628,264.22</w:t>
            </w:r>
          </w:p>
        </w:tc>
      </w:tr>
      <w:tr w:rsidR="001D26E7" w:rsidRPr="00F614F9" w14:paraId="759D8928"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2D9BCD3"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vAlign w:val="center"/>
          </w:tcPr>
          <w:p w14:paraId="762D8B7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70,435,199.44</w:t>
            </w:r>
          </w:p>
        </w:tc>
        <w:tc>
          <w:tcPr>
            <w:tcW w:w="1377" w:type="dxa"/>
            <w:tcBorders>
              <w:top w:val="single" w:sz="2" w:space="0" w:color="auto"/>
              <w:left w:val="single" w:sz="2" w:space="0" w:color="auto"/>
              <w:bottom w:val="single" w:sz="2" w:space="0" w:color="auto"/>
              <w:right w:val="single" w:sz="2" w:space="0" w:color="auto"/>
            </w:tcBorders>
            <w:vAlign w:val="center"/>
          </w:tcPr>
          <w:p w14:paraId="4C4C69D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68,782,404.42</w:t>
            </w:r>
          </w:p>
        </w:tc>
        <w:tc>
          <w:tcPr>
            <w:tcW w:w="1377" w:type="dxa"/>
            <w:tcBorders>
              <w:top w:val="single" w:sz="2" w:space="0" w:color="auto"/>
              <w:left w:val="single" w:sz="2" w:space="0" w:color="auto"/>
              <w:bottom w:val="single" w:sz="2" w:space="0" w:color="auto"/>
              <w:right w:val="single" w:sz="2" w:space="0" w:color="auto"/>
            </w:tcBorders>
            <w:vAlign w:val="center"/>
          </w:tcPr>
          <w:p w14:paraId="2A862A0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4,184,717.02</w:t>
            </w:r>
          </w:p>
        </w:tc>
        <w:tc>
          <w:tcPr>
            <w:tcW w:w="1377" w:type="dxa"/>
            <w:tcBorders>
              <w:top w:val="single" w:sz="2" w:space="0" w:color="auto"/>
              <w:left w:val="single" w:sz="2" w:space="0" w:color="auto"/>
              <w:bottom w:val="single" w:sz="2" w:space="0" w:color="auto"/>
              <w:right w:val="single" w:sz="2" w:space="0" w:color="auto"/>
            </w:tcBorders>
            <w:vAlign w:val="center"/>
          </w:tcPr>
          <w:p w14:paraId="7806900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4,377,977.46</w:t>
            </w:r>
          </w:p>
        </w:tc>
        <w:tc>
          <w:tcPr>
            <w:tcW w:w="1377" w:type="dxa"/>
            <w:tcBorders>
              <w:top w:val="single" w:sz="2" w:space="0" w:color="auto"/>
              <w:left w:val="single" w:sz="2" w:space="0" w:color="auto"/>
              <w:bottom w:val="single" w:sz="2" w:space="0" w:color="auto"/>
              <w:right w:val="single" w:sz="2" w:space="0" w:color="auto"/>
            </w:tcBorders>
            <w:vAlign w:val="center"/>
          </w:tcPr>
          <w:p w14:paraId="2ED1303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9,847,965.88</w:t>
            </w:r>
          </w:p>
        </w:tc>
        <w:tc>
          <w:tcPr>
            <w:tcW w:w="1377" w:type="dxa"/>
            <w:tcBorders>
              <w:top w:val="single" w:sz="2" w:space="0" w:color="auto"/>
              <w:left w:val="single" w:sz="2" w:space="0" w:color="auto"/>
              <w:bottom w:val="single" w:sz="2" w:space="0" w:color="auto"/>
              <w:right w:val="single" w:sz="2" w:space="0" w:color="auto"/>
            </w:tcBorders>
            <w:vAlign w:val="center"/>
          </w:tcPr>
          <w:p w14:paraId="2A32B02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157,628,264.22</w:t>
            </w:r>
          </w:p>
        </w:tc>
      </w:tr>
      <w:tr w:rsidR="001D26E7" w:rsidRPr="00F614F9" w14:paraId="3182564A"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7A3C96E" w14:textId="77777777" w:rsidR="001D26E7" w:rsidRPr="00F614F9" w:rsidRDefault="001D26E7">
            <w:pPr>
              <w:spacing w:line="240" w:lineRule="exac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1734B38"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F19570B"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A2D2792"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153FF6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E7AEE4F"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D15343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F159F9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0352308"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vAlign w:val="center"/>
          </w:tcPr>
          <w:p w14:paraId="418DD50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7,463,605.18</w:t>
            </w:r>
          </w:p>
        </w:tc>
        <w:tc>
          <w:tcPr>
            <w:tcW w:w="1377" w:type="dxa"/>
            <w:tcBorders>
              <w:top w:val="single" w:sz="2" w:space="0" w:color="auto"/>
              <w:left w:val="single" w:sz="2" w:space="0" w:color="auto"/>
              <w:bottom w:val="single" w:sz="2" w:space="0" w:color="auto"/>
              <w:right w:val="single" w:sz="2" w:space="0" w:color="auto"/>
            </w:tcBorders>
            <w:vAlign w:val="center"/>
          </w:tcPr>
          <w:p w14:paraId="79334A5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3,326,383.84</w:t>
            </w:r>
          </w:p>
        </w:tc>
        <w:tc>
          <w:tcPr>
            <w:tcW w:w="1377" w:type="dxa"/>
            <w:tcBorders>
              <w:top w:val="single" w:sz="2" w:space="0" w:color="auto"/>
              <w:left w:val="single" w:sz="2" w:space="0" w:color="auto"/>
              <w:bottom w:val="single" w:sz="2" w:space="0" w:color="auto"/>
              <w:right w:val="single" w:sz="2" w:space="0" w:color="auto"/>
            </w:tcBorders>
            <w:vAlign w:val="center"/>
          </w:tcPr>
          <w:p w14:paraId="3FB78D5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3,052,251.67</w:t>
            </w:r>
          </w:p>
        </w:tc>
        <w:tc>
          <w:tcPr>
            <w:tcW w:w="1377" w:type="dxa"/>
            <w:tcBorders>
              <w:top w:val="single" w:sz="2" w:space="0" w:color="auto"/>
              <w:left w:val="single" w:sz="2" w:space="0" w:color="auto"/>
              <w:bottom w:val="single" w:sz="2" w:space="0" w:color="auto"/>
              <w:right w:val="single" w:sz="2" w:space="0" w:color="auto"/>
            </w:tcBorders>
            <w:vAlign w:val="center"/>
          </w:tcPr>
          <w:p w14:paraId="7FB5791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2,209,879.03</w:t>
            </w:r>
          </w:p>
        </w:tc>
        <w:tc>
          <w:tcPr>
            <w:tcW w:w="1377" w:type="dxa"/>
            <w:tcBorders>
              <w:top w:val="single" w:sz="2" w:space="0" w:color="auto"/>
              <w:left w:val="single" w:sz="2" w:space="0" w:color="auto"/>
              <w:bottom w:val="single" w:sz="2" w:space="0" w:color="auto"/>
              <w:right w:val="single" w:sz="2" w:space="0" w:color="auto"/>
            </w:tcBorders>
            <w:vAlign w:val="center"/>
          </w:tcPr>
          <w:p w14:paraId="6FF3AD0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2,147,099.25</w:t>
            </w:r>
          </w:p>
        </w:tc>
        <w:tc>
          <w:tcPr>
            <w:tcW w:w="1377" w:type="dxa"/>
            <w:tcBorders>
              <w:top w:val="single" w:sz="2" w:space="0" w:color="auto"/>
              <w:left w:val="single" w:sz="2" w:space="0" w:color="auto"/>
              <w:bottom w:val="single" w:sz="2" w:space="0" w:color="auto"/>
              <w:right w:val="single" w:sz="2" w:space="0" w:color="auto"/>
            </w:tcBorders>
            <w:vAlign w:val="center"/>
          </w:tcPr>
          <w:p w14:paraId="724152E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18,199,218.97</w:t>
            </w:r>
          </w:p>
        </w:tc>
      </w:tr>
      <w:tr w:rsidR="001D26E7" w:rsidRPr="00F614F9" w14:paraId="150763BF"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B991917"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）处置或报废</w:t>
            </w:r>
          </w:p>
        </w:tc>
        <w:tc>
          <w:tcPr>
            <w:tcW w:w="1377" w:type="dxa"/>
            <w:tcBorders>
              <w:top w:val="single" w:sz="2" w:space="0" w:color="auto"/>
              <w:left w:val="single" w:sz="2" w:space="0" w:color="auto"/>
              <w:bottom w:val="single" w:sz="2" w:space="0" w:color="auto"/>
              <w:right w:val="single" w:sz="2" w:space="0" w:color="auto"/>
            </w:tcBorders>
            <w:vAlign w:val="center"/>
          </w:tcPr>
          <w:p w14:paraId="0B642CA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7,463,605.18</w:t>
            </w:r>
          </w:p>
        </w:tc>
        <w:tc>
          <w:tcPr>
            <w:tcW w:w="1377" w:type="dxa"/>
            <w:tcBorders>
              <w:top w:val="single" w:sz="2" w:space="0" w:color="auto"/>
              <w:left w:val="single" w:sz="2" w:space="0" w:color="auto"/>
              <w:bottom w:val="single" w:sz="2" w:space="0" w:color="auto"/>
              <w:right w:val="single" w:sz="2" w:space="0" w:color="auto"/>
            </w:tcBorders>
            <w:vAlign w:val="center"/>
          </w:tcPr>
          <w:p w14:paraId="1D1287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3,326,383.84</w:t>
            </w:r>
          </w:p>
        </w:tc>
        <w:tc>
          <w:tcPr>
            <w:tcW w:w="1377" w:type="dxa"/>
            <w:tcBorders>
              <w:top w:val="single" w:sz="2" w:space="0" w:color="auto"/>
              <w:left w:val="single" w:sz="2" w:space="0" w:color="auto"/>
              <w:bottom w:val="single" w:sz="2" w:space="0" w:color="auto"/>
              <w:right w:val="single" w:sz="2" w:space="0" w:color="auto"/>
            </w:tcBorders>
            <w:vAlign w:val="center"/>
          </w:tcPr>
          <w:p w14:paraId="6AE4D1C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3,052,251.67</w:t>
            </w:r>
          </w:p>
        </w:tc>
        <w:tc>
          <w:tcPr>
            <w:tcW w:w="1377" w:type="dxa"/>
            <w:tcBorders>
              <w:top w:val="single" w:sz="2" w:space="0" w:color="auto"/>
              <w:left w:val="single" w:sz="2" w:space="0" w:color="auto"/>
              <w:bottom w:val="single" w:sz="2" w:space="0" w:color="auto"/>
              <w:right w:val="single" w:sz="2" w:space="0" w:color="auto"/>
            </w:tcBorders>
            <w:vAlign w:val="center"/>
          </w:tcPr>
          <w:p w14:paraId="675093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2,209,879.03</w:t>
            </w:r>
          </w:p>
        </w:tc>
        <w:tc>
          <w:tcPr>
            <w:tcW w:w="1377" w:type="dxa"/>
            <w:tcBorders>
              <w:top w:val="single" w:sz="2" w:space="0" w:color="auto"/>
              <w:left w:val="single" w:sz="2" w:space="0" w:color="auto"/>
              <w:bottom w:val="single" w:sz="2" w:space="0" w:color="auto"/>
              <w:right w:val="single" w:sz="2" w:space="0" w:color="auto"/>
            </w:tcBorders>
            <w:vAlign w:val="center"/>
          </w:tcPr>
          <w:p w14:paraId="193508E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2,147,099.25</w:t>
            </w:r>
          </w:p>
        </w:tc>
        <w:tc>
          <w:tcPr>
            <w:tcW w:w="1377" w:type="dxa"/>
            <w:tcBorders>
              <w:top w:val="single" w:sz="2" w:space="0" w:color="auto"/>
              <w:left w:val="single" w:sz="2" w:space="0" w:color="auto"/>
              <w:bottom w:val="single" w:sz="2" w:space="0" w:color="auto"/>
              <w:right w:val="single" w:sz="2" w:space="0" w:color="auto"/>
            </w:tcBorders>
            <w:vAlign w:val="center"/>
          </w:tcPr>
          <w:p w14:paraId="22A452C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18,199,218.97</w:t>
            </w:r>
          </w:p>
        </w:tc>
      </w:tr>
      <w:tr w:rsidR="001D26E7" w:rsidRPr="00F614F9" w14:paraId="083E3EE6"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78A619D" w14:textId="77777777" w:rsidR="001D26E7" w:rsidRPr="00F614F9" w:rsidRDefault="001D26E7">
            <w:pPr>
              <w:spacing w:line="240" w:lineRule="exac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2CFABF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404D3BC"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83BA557"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342F6D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B044FBA"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F736031"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0381774"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6FFC436"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期末余额</w:t>
            </w:r>
          </w:p>
        </w:tc>
        <w:tc>
          <w:tcPr>
            <w:tcW w:w="1377" w:type="dxa"/>
            <w:tcBorders>
              <w:top w:val="single" w:sz="2" w:space="0" w:color="auto"/>
              <w:left w:val="single" w:sz="2" w:space="0" w:color="auto"/>
              <w:bottom w:val="single" w:sz="2" w:space="0" w:color="auto"/>
              <w:right w:val="single" w:sz="2" w:space="0" w:color="auto"/>
            </w:tcBorders>
            <w:vAlign w:val="center"/>
          </w:tcPr>
          <w:p w14:paraId="2D17307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383,453,790.72</w:t>
            </w:r>
          </w:p>
        </w:tc>
        <w:tc>
          <w:tcPr>
            <w:tcW w:w="1377" w:type="dxa"/>
            <w:tcBorders>
              <w:top w:val="single" w:sz="2" w:space="0" w:color="auto"/>
              <w:left w:val="single" w:sz="2" w:space="0" w:color="auto"/>
              <w:bottom w:val="single" w:sz="2" w:space="0" w:color="auto"/>
              <w:right w:val="single" w:sz="2" w:space="0" w:color="auto"/>
            </w:tcBorders>
            <w:vAlign w:val="center"/>
          </w:tcPr>
          <w:p w14:paraId="6DAB582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420,681,326.96</w:t>
            </w:r>
          </w:p>
        </w:tc>
        <w:tc>
          <w:tcPr>
            <w:tcW w:w="1377" w:type="dxa"/>
            <w:tcBorders>
              <w:top w:val="single" w:sz="2" w:space="0" w:color="auto"/>
              <w:left w:val="single" w:sz="2" w:space="0" w:color="auto"/>
              <w:bottom w:val="single" w:sz="2" w:space="0" w:color="auto"/>
              <w:right w:val="single" w:sz="2" w:space="0" w:color="auto"/>
            </w:tcBorders>
            <w:vAlign w:val="center"/>
          </w:tcPr>
          <w:p w14:paraId="616224A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38,032,311.18</w:t>
            </w:r>
          </w:p>
        </w:tc>
        <w:tc>
          <w:tcPr>
            <w:tcW w:w="1377" w:type="dxa"/>
            <w:tcBorders>
              <w:top w:val="single" w:sz="2" w:space="0" w:color="auto"/>
              <w:left w:val="single" w:sz="2" w:space="0" w:color="auto"/>
              <w:bottom w:val="single" w:sz="2" w:space="0" w:color="auto"/>
              <w:right w:val="single" w:sz="2" w:space="0" w:color="auto"/>
            </w:tcBorders>
            <w:vAlign w:val="center"/>
          </w:tcPr>
          <w:p w14:paraId="0D256CB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26,951,274.33</w:t>
            </w:r>
          </w:p>
        </w:tc>
        <w:tc>
          <w:tcPr>
            <w:tcW w:w="1377" w:type="dxa"/>
            <w:tcBorders>
              <w:top w:val="single" w:sz="2" w:space="0" w:color="auto"/>
              <w:left w:val="single" w:sz="2" w:space="0" w:color="auto"/>
              <w:bottom w:val="single" w:sz="2" w:space="0" w:color="auto"/>
              <w:right w:val="single" w:sz="2" w:space="0" w:color="auto"/>
            </w:tcBorders>
            <w:vAlign w:val="center"/>
          </w:tcPr>
          <w:p w14:paraId="6FC7A17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51,784,171.62</w:t>
            </w:r>
          </w:p>
        </w:tc>
        <w:tc>
          <w:tcPr>
            <w:tcW w:w="1377" w:type="dxa"/>
            <w:tcBorders>
              <w:top w:val="single" w:sz="2" w:space="0" w:color="auto"/>
              <w:left w:val="single" w:sz="2" w:space="0" w:color="auto"/>
              <w:bottom w:val="single" w:sz="2" w:space="0" w:color="auto"/>
              <w:right w:val="single" w:sz="2" w:space="0" w:color="auto"/>
            </w:tcBorders>
            <w:vAlign w:val="center"/>
          </w:tcPr>
          <w:p w14:paraId="5889F99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920,902,874.81</w:t>
            </w:r>
          </w:p>
        </w:tc>
      </w:tr>
      <w:tr w:rsidR="001D26E7" w:rsidRPr="00F614F9" w14:paraId="24F4C593"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2E8869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三、减值准备</w:t>
            </w:r>
          </w:p>
        </w:tc>
        <w:tc>
          <w:tcPr>
            <w:tcW w:w="1377" w:type="dxa"/>
            <w:tcBorders>
              <w:top w:val="single" w:sz="2" w:space="0" w:color="auto"/>
              <w:left w:val="single" w:sz="2" w:space="0" w:color="auto"/>
              <w:bottom w:val="single" w:sz="2" w:space="0" w:color="auto"/>
              <w:right w:val="single" w:sz="2" w:space="0" w:color="auto"/>
            </w:tcBorders>
            <w:vAlign w:val="center"/>
          </w:tcPr>
          <w:p w14:paraId="6D7F692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BF2D0E4"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D44AA3F"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E44108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43BA6A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F74F55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0EECB6A"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D4C705E"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期初余额</w:t>
            </w:r>
          </w:p>
        </w:tc>
        <w:tc>
          <w:tcPr>
            <w:tcW w:w="1377" w:type="dxa"/>
            <w:tcBorders>
              <w:top w:val="single" w:sz="2" w:space="0" w:color="auto"/>
              <w:left w:val="single" w:sz="2" w:space="0" w:color="auto"/>
              <w:bottom w:val="single" w:sz="2" w:space="0" w:color="auto"/>
              <w:right w:val="single" w:sz="2" w:space="0" w:color="auto"/>
            </w:tcBorders>
            <w:vAlign w:val="center"/>
          </w:tcPr>
          <w:p w14:paraId="587FA96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493AE4A"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09211BF"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BF7D18"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32EB7B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24BCC71"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FFB7138"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3FE7C78"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vAlign w:val="center"/>
          </w:tcPr>
          <w:p w14:paraId="04F9F51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43B4F3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1,042,863.08</w:t>
            </w:r>
          </w:p>
        </w:tc>
        <w:tc>
          <w:tcPr>
            <w:tcW w:w="1377" w:type="dxa"/>
            <w:tcBorders>
              <w:top w:val="single" w:sz="2" w:space="0" w:color="auto"/>
              <w:left w:val="single" w:sz="2" w:space="0" w:color="auto"/>
              <w:bottom w:val="single" w:sz="2" w:space="0" w:color="auto"/>
              <w:right w:val="single" w:sz="2" w:space="0" w:color="auto"/>
            </w:tcBorders>
            <w:vAlign w:val="center"/>
          </w:tcPr>
          <w:p w14:paraId="7259BF3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18,326.22</w:t>
            </w:r>
          </w:p>
        </w:tc>
        <w:tc>
          <w:tcPr>
            <w:tcW w:w="1377" w:type="dxa"/>
            <w:tcBorders>
              <w:top w:val="single" w:sz="2" w:space="0" w:color="auto"/>
              <w:left w:val="single" w:sz="2" w:space="0" w:color="auto"/>
              <w:bottom w:val="single" w:sz="2" w:space="0" w:color="auto"/>
              <w:right w:val="single" w:sz="2" w:space="0" w:color="auto"/>
            </w:tcBorders>
            <w:vAlign w:val="center"/>
          </w:tcPr>
          <w:p w14:paraId="780AD9C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63,289.01</w:t>
            </w:r>
          </w:p>
        </w:tc>
        <w:tc>
          <w:tcPr>
            <w:tcW w:w="1377" w:type="dxa"/>
            <w:tcBorders>
              <w:top w:val="single" w:sz="2" w:space="0" w:color="auto"/>
              <w:left w:val="single" w:sz="2" w:space="0" w:color="auto"/>
              <w:bottom w:val="single" w:sz="2" w:space="0" w:color="auto"/>
              <w:right w:val="single" w:sz="2" w:space="0" w:color="auto"/>
            </w:tcBorders>
            <w:vAlign w:val="center"/>
          </w:tcPr>
          <w:p w14:paraId="5351BE4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138,658.26</w:t>
            </w:r>
          </w:p>
        </w:tc>
        <w:tc>
          <w:tcPr>
            <w:tcW w:w="1377" w:type="dxa"/>
            <w:tcBorders>
              <w:top w:val="single" w:sz="2" w:space="0" w:color="auto"/>
              <w:left w:val="single" w:sz="2" w:space="0" w:color="auto"/>
              <w:bottom w:val="single" w:sz="2" w:space="0" w:color="auto"/>
              <w:right w:val="single" w:sz="2" w:space="0" w:color="auto"/>
            </w:tcBorders>
            <w:vAlign w:val="center"/>
          </w:tcPr>
          <w:p w14:paraId="01FD5D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1,263,136.57</w:t>
            </w:r>
          </w:p>
        </w:tc>
      </w:tr>
      <w:tr w:rsidR="001D26E7" w:rsidRPr="00F614F9" w14:paraId="1F80276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C33609E"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vAlign w:val="center"/>
          </w:tcPr>
          <w:p w14:paraId="7A0E4DC2"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1CA0CC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1,042,863.08</w:t>
            </w:r>
          </w:p>
        </w:tc>
        <w:tc>
          <w:tcPr>
            <w:tcW w:w="1377" w:type="dxa"/>
            <w:tcBorders>
              <w:top w:val="single" w:sz="2" w:space="0" w:color="auto"/>
              <w:left w:val="single" w:sz="2" w:space="0" w:color="auto"/>
              <w:bottom w:val="single" w:sz="2" w:space="0" w:color="auto"/>
              <w:right w:val="single" w:sz="2" w:space="0" w:color="auto"/>
            </w:tcBorders>
            <w:vAlign w:val="center"/>
          </w:tcPr>
          <w:p w14:paraId="0F5A021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18,326.22</w:t>
            </w:r>
          </w:p>
        </w:tc>
        <w:tc>
          <w:tcPr>
            <w:tcW w:w="1377" w:type="dxa"/>
            <w:tcBorders>
              <w:top w:val="single" w:sz="2" w:space="0" w:color="auto"/>
              <w:left w:val="single" w:sz="2" w:space="0" w:color="auto"/>
              <w:bottom w:val="single" w:sz="2" w:space="0" w:color="auto"/>
              <w:right w:val="single" w:sz="2" w:space="0" w:color="auto"/>
            </w:tcBorders>
            <w:vAlign w:val="center"/>
          </w:tcPr>
          <w:p w14:paraId="0B0F229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63,289.01</w:t>
            </w:r>
          </w:p>
        </w:tc>
        <w:tc>
          <w:tcPr>
            <w:tcW w:w="1377" w:type="dxa"/>
            <w:tcBorders>
              <w:top w:val="single" w:sz="2" w:space="0" w:color="auto"/>
              <w:left w:val="single" w:sz="2" w:space="0" w:color="auto"/>
              <w:bottom w:val="single" w:sz="2" w:space="0" w:color="auto"/>
              <w:right w:val="single" w:sz="2" w:space="0" w:color="auto"/>
            </w:tcBorders>
            <w:vAlign w:val="center"/>
          </w:tcPr>
          <w:p w14:paraId="5EAEECD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138,658.26</w:t>
            </w:r>
          </w:p>
        </w:tc>
        <w:tc>
          <w:tcPr>
            <w:tcW w:w="1377" w:type="dxa"/>
            <w:tcBorders>
              <w:top w:val="single" w:sz="2" w:space="0" w:color="auto"/>
              <w:left w:val="single" w:sz="2" w:space="0" w:color="auto"/>
              <w:bottom w:val="single" w:sz="2" w:space="0" w:color="auto"/>
              <w:right w:val="single" w:sz="2" w:space="0" w:color="auto"/>
            </w:tcBorders>
            <w:vAlign w:val="center"/>
          </w:tcPr>
          <w:p w14:paraId="77C018B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1,263,136.57</w:t>
            </w:r>
          </w:p>
        </w:tc>
      </w:tr>
      <w:tr w:rsidR="001D26E7" w:rsidRPr="00F614F9" w14:paraId="47931EBF"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2755472" w14:textId="77777777" w:rsidR="001D26E7" w:rsidRPr="00F614F9" w:rsidRDefault="001D26E7">
            <w:pPr>
              <w:spacing w:line="240" w:lineRule="exac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A3556B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B4C278F"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3966F92"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D42E69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A96062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877D0D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B0E8B70"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20F5508"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vAlign w:val="center"/>
          </w:tcPr>
          <w:p w14:paraId="513E1754"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611E26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7288BE7"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98BCCA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336CAD4"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8100EA5"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8428150"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80803B4"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）处置或报废</w:t>
            </w:r>
          </w:p>
        </w:tc>
        <w:tc>
          <w:tcPr>
            <w:tcW w:w="1377" w:type="dxa"/>
            <w:tcBorders>
              <w:top w:val="single" w:sz="2" w:space="0" w:color="auto"/>
              <w:left w:val="single" w:sz="2" w:space="0" w:color="auto"/>
              <w:bottom w:val="single" w:sz="2" w:space="0" w:color="auto"/>
              <w:right w:val="single" w:sz="2" w:space="0" w:color="auto"/>
            </w:tcBorders>
            <w:vAlign w:val="center"/>
          </w:tcPr>
          <w:p w14:paraId="7682FD2F"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A37EA6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E27AA9C"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2C909E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58E8842"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80E50E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EBA4FBE"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A67BA59" w14:textId="77777777" w:rsidR="001D26E7" w:rsidRPr="00F614F9" w:rsidRDefault="001D26E7">
            <w:pPr>
              <w:spacing w:line="240" w:lineRule="exac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864AB78"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912EAD7"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5C8288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AC8790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7D79FD0"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61AD71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3C5BB84"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C920351"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期末余额</w:t>
            </w:r>
          </w:p>
        </w:tc>
        <w:tc>
          <w:tcPr>
            <w:tcW w:w="1377" w:type="dxa"/>
            <w:tcBorders>
              <w:top w:val="single" w:sz="2" w:space="0" w:color="auto"/>
              <w:left w:val="single" w:sz="2" w:space="0" w:color="auto"/>
              <w:bottom w:val="single" w:sz="2" w:space="0" w:color="auto"/>
              <w:right w:val="single" w:sz="2" w:space="0" w:color="auto"/>
            </w:tcBorders>
            <w:vAlign w:val="center"/>
          </w:tcPr>
          <w:p w14:paraId="7896055A"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E58401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1,042,863.08</w:t>
            </w:r>
          </w:p>
        </w:tc>
        <w:tc>
          <w:tcPr>
            <w:tcW w:w="1377" w:type="dxa"/>
            <w:tcBorders>
              <w:top w:val="single" w:sz="2" w:space="0" w:color="auto"/>
              <w:left w:val="single" w:sz="2" w:space="0" w:color="auto"/>
              <w:bottom w:val="single" w:sz="2" w:space="0" w:color="auto"/>
              <w:right w:val="single" w:sz="2" w:space="0" w:color="auto"/>
            </w:tcBorders>
            <w:vAlign w:val="center"/>
          </w:tcPr>
          <w:p w14:paraId="0AA05A1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18,326.22</w:t>
            </w:r>
          </w:p>
        </w:tc>
        <w:tc>
          <w:tcPr>
            <w:tcW w:w="1377" w:type="dxa"/>
            <w:tcBorders>
              <w:top w:val="single" w:sz="2" w:space="0" w:color="auto"/>
              <w:left w:val="single" w:sz="2" w:space="0" w:color="auto"/>
              <w:bottom w:val="single" w:sz="2" w:space="0" w:color="auto"/>
              <w:right w:val="single" w:sz="2" w:space="0" w:color="auto"/>
            </w:tcBorders>
            <w:vAlign w:val="center"/>
          </w:tcPr>
          <w:p w14:paraId="44AD487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63,289.01</w:t>
            </w:r>
          </w:p>
        </w:tc>
        <w:tc>
          <w:tcPr>
            <w:tcW w:w="1377" w:type="dxa"/>
            <w:tcBorders>
              <w:top w:val="single" w:sz="2" w:space="0" w:color="auto"/>
              <w:left w:val="single" w:sz="2" w:space="0" w:color="auto"/>
              <w:bottom w:val="single" w:sz="2" w:space="0" w:color="auto"/>
              <w:right w:val="single" w:sz="2" w:space="0" w:color="auto"/>
            </w:tcBorders>
            <w:vAlign w:val="center"/>
          </w:tcPr>
          <w:p w14:paraId="46C135A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138,658.26</w:t>
            </w:r>
          </w:p>
        </w:tc>
        <w:tc>
          <w:tcPr>
            <w:tcW w:w="1377" w:type="dxa"/>
            <w:tcBorders>
              <w:top w:val="single" w:sz="2" w:space="0" w:color="auto"/>
              <w:left w:val="single" w:sz="2" w:space="0" w:color="auto"/>
              <w:bottom w:val="single" w:sz="2" w:space="0" w:color="auto"/>
              <w:right w:val="single" w:sz="2" w:space="0" w:color="auto"/>
            </w:tcBorders>
            <w:vAlign w:val="center"/>
          </w:tcPr>
          <w:p w14:paraId="7D34F5C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1,263,136.57</w:t>
            </w:r>
          </w:p>
        </w:tc>
      </w:tr>
      <w:tr w:rsidR="001D26E7" w:rsidRPr="00F614F9" w14:paraId="62141D11"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3B7AA4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四、账面价值</w:t>
            </w:r>
          </w:p>
        </w:tc>
        <w:tc>
          <w:tcPr>
            <w:tcW w:w="1377" w:type="dxa"/>
            <w:tcBorders>
              <w:top w:val="single" w:sz="2" w:space="0" w:color="auto"/>
              <w:left w:val="single" w:sz="2" w:space="0" w:color="auto"/>
              <w:bottom w:val="single" w:sz="2" w:space="0" w:color="auto"/>
              <w:right w:val="single" w:sz="2" w:space="0" w:color="auto"/>
            </w:tcBorders>
            <w:vAlign w:val="center"/>
          </w:tcPr>
          <w:p w14:paraId="380BE18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AD79DF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CD3966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C3D8B17"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00DC87F"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BD1937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5B3410B"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8ABFC5A"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期末账面价值</w:t>
            </w:r>
          </w:p>
        </w:tc>
        <w:tc>
          <w:tcPr>
            <w:tcW w:w="1377" w:type="dxa"/>
            <w:tcBorders>
              <w:top w:val="single" w:sz="2" w:space="0" w:color="auto"/>
              <w:left w:val="single" w:sz="2" w:space="0" w:color="auto"/>
              <w:bottom w:val="single" w:sz="2" w:space="0" w:color="auto"/>
              <w:right w:val="single" w:sz="2" w:space="0" w:color="auto"/>
            </w:tcBorders>
            <w:vAlign w:val="center"/>
          </w:tcPr>
          <w:p w14:paraId="38FCE71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1,171,868,423.28</w:t>
            </w:r>
          </w:p>
        </w:tc>
        <w:tc>
          <w:tcPr>
            <w:tcW w:w="1377" w:type="dxa"/>
            <w:tcBorders>
              <w:top w:val="single" w:sz="2" w:space="0" w:color="auto"/>
              <w:left w:val="single" w:sz="2" w:space="0" w:color="auto"/>
              <w:bottom w:val="single" w:sz="2" w:space="0" w:color="auto"/>
              <w:right w:val="single" w:sz="2" w:space="0" w:color="auto"/>
            </w:tcBorders>
            <w:vAlign w:val="center"/>
          </w:tcPr>
          <w:p w14:paraId="593ACB8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476,420,809.28</w:t>
            </w:r>
          </w:p>
        </w:tc>
        <w:tc>
          <w:tcPr>
            <w:tcW w:w="1377" w:type="dxa"/>
            <w:tcBorders>
              <w:top w:val="single" w:sz="2" w:space="0" w:color="auto"/>
              <w:left w:val="single" w:sz="2" w:space="0" w:color="auto"/>
              <w:bottom w:val="single" w:sz="2" w:space="0" w:color="auto"/>
              <w:right w:val="single" w:sz="2" w:space="0" w:color="auto"/>
            </w:tcBorders>
            <w:vAlign w:val="center"/>
          </w:tcPr>
          <w:p w14:paraId="3F9FCAC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8,977,074.73</w:t>
            </w:r>
          </w:p>
        </w:tc>
        <w:tc>
          <w:tcPr>
            <w:tcW w:w="1377" w:type="dxa"/>
            <w:tcBorders>
              <w:top w:val="single" w:sz="2" w:space="0" w:color="auto"/>
              <w:left w:val="single" w:sz="2" w:space="0" w:color="auto"/>
              <w:bottom w:val="single" w:sz="2" w:space="0" w:color="auto"/>
              <w:right w:val="single" w:sz="2" w:space="0" w:color="auto"/>
            </w:tcBorders>
            <w:vAlign w:val="center"/>
          </w:tcPr>
          <w:p w14:paraId="7032CCA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9,344,697.16</w:t>
            </w:r>
          </w:p>
        </w:tc>
        <w:tc>
          <w:tcPr>
            <w:tcW w:w="1377" w:type="dxa"/>
            <w:tcBorders>
              <w:top w:val="single" w:sz="2" w:space="0" w:color="auto"/>
              <w:left w:val="single" w:sz="2" w:space="0" w:color="auto"/>
              <w:bottom w:val="single" w:sz="2" w:space="0" w:color="auto"/>
              <w:right w:val="single" w:sz="2" w:space="0" w:color="auto"/>
            </w:tcBorders>
            <w:vAlign w:val="center"/>
          </w:tcPr>
          <w:p w14:paraId="67E1B10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26,328,152.44</w:t>
            </w:r>
          </w:p>
        </w:tc>
        <w:tc>
          <w:tcPr>
            <w:tcW w:w="1377" w:type="dxa"/>
            <w:tcBorders>
              <w:top w:val="single" w:sz="2" w:space="0" w:color="auto"/>
              <w:left w:val="single" w:sz="2" w:space="0" w:color="auto"/>
              <w:bottom w:val="single" w:sz="2" w:space="0" w:color="auto"/>
              <w:right w:val="single" w:sz="2" w:space="0" w:color="auto"/>
            </w:tcBorders>
            <w:vAlign w:val="center"/>
          </w:tcPr>
          <w:p w14:paraId="58523B2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1,692,939,156.89</w:t>
            </w:r>
          </w:p>
        </w:tc>
      </w:tr>
      <w:tr w:rsidR="001D26E7" w:rsidRPr="00F614F9" w14:paraId="233824F9"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8D33DF5"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期初账面价值</w:t>
            </w:r>
          </w:p>
        </w:tc>
        <w:tc>
          <w:tcPr>
            <w:tcW w:w="1377" w:type="dxa"/>
            <w:tcBorders>
              <w:top w:val="single" w:sz="2" w:space="0" w:color="auto"/>
              <w:left w:val="single" w:sz="2" w:space="0" w:color="auto"/>
              <w:bottom w:val="single" w:sz="2" w:space="0" w:color="auto"/>
              <w:right w:val="single" w:sz="2" w:space="0" w:color="auto"/>
            </w:tcBorders>
            <w:vAlign w:val="center"/>
          </w:tcPr>
          <w:p w14:paraId="4AFC964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1,225,351,449.20</w:t>
            </w:r>
          </w:p>
        </w:tc>
        <w:tc>
          <w:tcPr>
            <w:tcW w:w="1377" w:type="dxa"/>
            <w:tcBorders>
              <w:top w:val="single" w:sz="2" w:space="0" w:color="auto"/>
              <w:left w:val="single" w:sz="2" w:space="0" w:color="auto"/>
              <w:bottom w:val="single" w:sz="2" w:space="0" w:color="auto"/>
              <w:right w:val="single" w:sz="2" w:space="0" w:color="auto"/>
            </w:tcBorders>
            <w:vAlign w:val="center"/>
          </w:tcPr>
          <w:p w14:paraId="571D029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511,659,018.30</w:t>
            </w:r>
          </w:p>
        </w:tc>
        <w:tc>
          <w:tcPr>
            <w:tcW w:w="1377" w:type="dxa"/>
            <w:tcBorders>
              <w:top w:val="single" w:sz="2" w:space="0" w:color="auto"/>
              <w:left w:val="single" w:sz="2" w:space="0" w:color="auto"/>
              <w:bottom w:val="single" w:sz="2" w:space="0" w:color="auto"/>
              <w:right w:val="single" w:sz="2" w:space="0" w:color="auto"/>
            </w:tcBorders>
            <w:vAlign w:val="center"/>
          </w:tcPr>
          <w:p w14:paraId="0EF875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9,557,834.15</w:t>
            </w:r>
          </w:p>
        </w:tc>
        <w:tc>
          <w:tcPr>
            <w:tcW w:w="1377" w:type="dxa"/>
            <w:tcBorders>
              <w:top w:val="single" w:sz="2" w:space="0" w:color="auto"/>
              <w:left w:val="single" w:sz="2" w:space="0" w:color="auto"/>
              <w:bottom w:val="single" w:sz="2" w:space="0" w:color="auto"/>
              <w:right w:val="single" w:sz="2" w:space="0" w:color="auto"/>
            </w:tcBorders>
            <w:vAlign w:val="center"/>
          </w:tcPr>
          <w:p w14:paraId="6CBCCC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11,365,500.40</w:t>
            </w:r>
          </w:p>
        </w:tc>
        <w:tc>
          <w:tcPr>
            <w:tcW w:w="1377" w:type="dxa"/>
            <w:tcBorders>
              <w:top w:val="single" w:sz="2" w:space="0" w:color="auto"/>
              <w:left w:val="single" w:sz="2" w:space="0" w:color="auto"/>
              <w:bottom w:val="single" w:sz="2" w:space="0" w:color="auto"/>
              <w:right w:val="single" w:sz="2" w:space="0" w:color="auto"/>
            </w:tcBorders>
            <w:vAlign w:val="center"/>
          </w:tcPr>
          <w:p w14:paraId="21FE53C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33,153,066.16</w:t>
            </w:r>
          </w:p>
        </w:tc>
        <w:tc>
          <w:tcPr>
            <w:tcW w:w="1377" w:type="dxa"/>
            <w:tcBorders>
              <w:top w:val="single" w:sz="2" w:space="0" w:color="auto"/>
              <w:left w:val="single" w:sz="2" w:space="0" w:color="auto"/>
              <w:bottom w:val="single" w:sz="2" w:space="0" w:color="auto"/>
              <w:right w:val="single" w:sz="2" w:space="0" w:color="auto"/>
            </w:tcBorders>
            <w:vAlign w:val="center"/>
          </w:tcPr>
          <w:p w14:paraId="34E07D6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1,791,086,868.21</w:t>
            </w:r>
          </w:p>
        </w:tc>
      </w:tr>
    </w:tbl>
    <w:p w14:paraId="3BEF39A7"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85" w:name="_Toc989219"/>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暂时闲置的固定资产情况</w:t>
      </w:r>
      <w:bookmarkEnd w:id="385"/>
    </w:p>
    <w:p w14:paraId="6383834C" w14:textId="77777777" w:rsidR="00CE4352" w:rsidRPr="00F614F9" w:rsidRDefault="00CE4352" w:rsidP="00CE4352">
      <w:pPr>
        <w:spacing w:before="40" w:after="40" w:line="240" w:lineRule="exact"/>
        <w:rPr>
          <w:rFonts w:ascii="Times New Roman" w:eastAsia="宋体" w:hAnsi="Times New Roman" w:cs="宋体"/>
          <w:sz w:val="18"/>
          <w:szCs w:val="18"/>
        </w:rPr>
      </w:pPr>
      <w:r w:rsidRPr="00F614F9">
        <w:rPr>
          <w:rFonts w:ascii="Times New Roman" w:eastAsia="宋体" w:hAnsi="Times New Roman" w:cs="宋体" w:hint="eastAsia"/>
          <w:sz w:val="18"/>
          <w:szCs w:val="18"/>
        </w:rPr>
        <w:t>无</w:t>
      </w:r>
    </w:p>
    <w:p w14:paraId="4750ED53"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86" w:name="_Toc989220"/>
      <w:r w:rsidRPr="00F614F9">
        <w:rPr>
          <w:rFonts w:ascii="Times New Roman" w:eastAsia="宋体" w:hAnsi="Times New Roman" w:cs="宋体"/>
          <w:b/>
          <w:bCs/>
          <w:szCs w:val="21"/>
        </w:rPr>
        <w:lastRenderedPageBreak/>
        <w:t>（</w:t>
      </w:r>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通过经营租赁租出的固定资产</w:t>
      </w:r>
      <w:bookmarkEnd w:id="386"/>
    </w:p>
    <w:p w14:paraId="06AD6684"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1D26E7" w:rsidRPr="00F614F9" w14:paraId="07435418"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54295D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67C3D2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期末账面价值</w:t>
            </w:r>
          </w:p>
        </w:tc>
      </w:tr>
      <w:tr w:rsidR="001D26E7" w:rsidRPr="00F614F9" w14:paraId="21F55A5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CFDDC6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房屋建筑物</w:t>
            </w:r>
          </w:p>
        </w:tc>
        <w:tc>
          <w:tcPr>
            <w:tcW w:w="4820" w:type="dxa"/>
            <w:tcBorders>
              <w:top w:val="single" w:sz="2" w:space="0" w:color="auto"/>
              <w:left w:val="single" w:sz="2" w:space="0" w:color="auto"/>
              <w:bottom w:val="single" w:sz="2" w:space="0" w:color="auto"/>
              <w:right w:val="single" w:sz="2" w:space="0" w:color="auto"/>
            </w:tcBorders>
            <w:vAlign w:val="center"/>
          </w:tcPr>
          <w:p w14:paraId="71FD6AC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35,697.89</w:t>
            </w:r>
          </w:p>
        </w:tc>
      </w:tr>
      <w:tr w:rsidR="001D26E7" w:rsidRPr="00F614F9" w14:paraId="0653050C"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C966DA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机器设备</w:t>
            </w:r>
          </w:p>
        </w:tc>
        <w:tc>
          <w:tcPr>
            <w:tcW w:w="4820" w:type="dxa"/>
            <w:tcBorders>
              <w:top w:val="single" w:sz="2" w:space="0" w:color="auto"/>
              <w:left w:val="single" w:sz="2" w:space="0" w:color="auto"/>
              <w:bottom w:val="single" w:sz="2" w:space="0" w:color="auto"/>
              <w:right w:val="single" w:sz="2" w:space="0" w:color="auto"/>
            </w:tcBorders>
            <w:vAlign w:val="center"/>
          </w:tcPr>
          <w:p w14:paraId="11F886A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10,106.29</w:t>
            </w:r>
          </w:p>
        </w:tc>
      </w:tr>
      <w:tr w:rsidR="001D26E7" w:rsidRPr="00F614F9" w14:paraId="63DD34E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9F5564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运输设备</w:t>
            </w:r>
          </w:p>
        </w:tc>
        <w:tc>
          <w:tcPr>
            <w:tcW w:w="4820" w:type="dxa"/>
            <w:tcBorders>
              <w:top w:val="single" w:sz="2" w:space="0" w:color="auto"/>
              <w:left w:val="single" w:sz="2" w:space="0" w:color="auto"/>
              <w:bottom w:val="single" w:sz="2" w:space="0" w:color="auto"/>
              <w:right w:val="single" w:sz="2" w:space="0" w:color="auto"/>
            </w:tcBorders>
            <w:vAlign w:val="center"/>
          </w:tcPr>
          <w:p w14:paraId="13FCC9F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142,893.36</w:t>
            </w:r>
          </w:p>
        </w:tc>
      </w:tr>
      <w:tr w:rsidR="001D26E7" w:rsidRPr="00F614F9" w14:paraId="1972074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843DE9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14:paraId="1EBED15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188,697.54</w:t>
            </w:r>
          </w:p>
        </w:tc>
      </w:tr>
    </w:tbl>
    <w:p w14:paraId="468E986B"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87" w:name="_Toc989221"/>
      <w:r w:rsidRPr="00F614F9">
        <w:rPr>
          <w:rFonts w:ascii="Times New Roman" w:eastAsia="宋体" w:hAnsi="Times New Roman" w:cs="宋体"/>
          <w:b/>
          <w:bCs/>
          <w:szCs w:val="21"/>
        </w:rPr>
        <w:t>（</w:t>
      </w:r>
      <w:r w:rsidRPr="00F614F9">
        <w:rPr>
          <w:rFonts w:ascii="Times New Roman" w:eastAsia="宋体" w:hAnsi="Times New Roman" w:cs="宋体"/>
          <w:b/>
          <w:bCs/>
          <w:szCs w:val="21"/>
        </w:rPr>
        <w:t>4</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未办妥产权证书的固定资产情况</w:t>
      </w:r>
      <w:bookmarkEnd w:id="387"/>
    </w:p>
    <w:p w14:paraId="677A2858"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33DC747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6AB24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452BE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B0F60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未办妥产权证书的原因</w:t>
            </w:r>
          </w:p>
        </w:tc>
      </w:tr>
      <w:tr w:rsidR="001D26E7" w:rsidRPr="00F614F9" w14:paraId="2DB0801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B6BE87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低温冷冻深加工车间</w:t>
            </w:r>
          </w:p>
        </w:tc>
        <w:tc>
          <w:tcPr>
            <w:tcW w:w="3213" w:type="dxa"/>
            <w:tcBorders>
              <w:top w:val="single" w:sz="2" w:space="0" w:color="auto"/>
              <w:left w:val="single" w:sz="2" w:space="0" w:color="auto"/>
              <w:bottom w:val="single" w:sz="2" w:space="0" w:color="auto"/>
              <w:right w:val="single" w:sz="2" w:space="0" w:color="auto"/>
            </w:tcBorders>
            <w:vAlign w:val="center"/>
          </w:tcPr>
          <w:p w14:paraId="65C22021" w14:textId="77777777" w:rsidR="001D26E7" w:rsidRPr="00F614F9" w:rsidRDefault="00E03F6D">
            <w:pPr>
              <w:spacing w:line="240" w:lineRule="exact"/>
              <w:jc w:val="right"/>
              <w:rPr>
                <w:rFonts w:ascii="Times New Roman" w:eastAsia="宋体" w:hAnsi="Times New Roman" w:cs="宋体"/>
                <w:sz w:val="18"/>
                <w:szCs w:val="18"/>
              </w:rPr>
            </w:pPr>
            <w:r>
              <w:rPr>
                <w:rFonts w:ascii="Times New Roman" w:eastAsia="宋体" w:hAnsi="Times New Roman" w:cs="宋体" w:hint="eastAsia"/>
                <w:sz w:val="18"/>
                <w:szCs w:val="18"/>
              </w:rPr>
              <w:t>284</w:t>
            </w:r>
            <w:r w:rsidRPr="00F614F9">
              <w:rPr>
                <w:rFonts w:ascii="Times New Roman" w:eastAsia="宋体" w:hAnsi="Times New Roman" w:cs="宋体"/>
                <w:sz w:val="18"/>
                <w:szCs w:val="18"/>
              </w:rPr>
              <w:t>,</w:t>
            </w:r>
            <w:r>
              <w:rPr>
                <w:rFonts w:ascii="Times New Roman" w:eastAsia="宋体" w:hAnsi="Times New Roman" w:cs="宋体" w:hint="eastAsia"/>
                <w:sz w:val="18"/>
                <w:szCs w:val="18"/>
              </w:rPr>
              <w:t>872</w:t>
            </w:r>
            <w:r w:rsidRPr="00F614F9">
              <w:rPr>
                <w:rFonts w:ascii="Times New Roman" w:eastAsia="宋体" w:hAnsi="Times New Roman" w:cs="宋体"/>
                <w:sz w:val="18"/>
                <w:szCs w:val="18"/>
              </w:rPr>
              <w:t>,6</w:t>
            </w:r>
            <w:r>
              <w:rPr>
                <w:rFonts w:ascii="Times New Roman" w:eastAsia="宋体" w:hAnsi="Times New Roman" w:cs="宋体" w:hint="eastAsia"/>
                <w:sz w:val="18"/>
                <w:szCs w:val="18"/>
              </w:rPr>
              <w:t>10</w:t>
            </w:r>
            <w:r w:rsidRPr="00F614F9">
              <w:rPr>
                <w:rFonts w:ascii="Times New Roman" w:eastAsia="宋体" w:hAnsi="Times New Roman" w:cs="宋体"/>
                <w:sz w:val="18"/>
                <w:szCs w:val="18"/>
              </w:rPr>
              <w:t>.6</w:t>
            </w:r>
            <w:r>
              <w:rPr>
                <w:rFonts w:ascii="Times New Roman" w:eastAsia="宋体" w:hAnsi="Times New Roman" w:cs="宋体" w:hint="eastAsia"/>
                <w:sz w:val="18"/>
                <w:szCs w:val="18"/>
              </w:rPr>
              <w:t>8</w:t>
            </w:r>
          </w:p>
        </w:tc>
        <w:tc>
          <w:tcPr>
            <w:tcW w:w="3213" w:type="dxa"/>
            <w:tcBorders>
              <w:top w:val="single" w:sz="2" w:space="0" w:color="auto"/>
              <w:left w:val="single" w:sz="2" w:space="0" w:color="auto"/>
              <w:bottom w:val="single" w:sz="2" w:space="0" w:color="auto"/>
              <w:right w:val="single" w:sz="2" w:space="0" w:color="auto"/>
            </w:tcBorders>
            <w:vAlign w:val="center"/>
          </w:tcPr>
          <w:p w14:paraId="6357785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正在办理中</w:t>
            </w:r>
          </w:p>
        </w:tc>
      </w:tr>
    </w:tbl>
    <w:p w14:paraId="672ECE11"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09A4489B" w14:textId="77777777" w:rsidR="00872599" w:rsidRPr="00F614F9" w:rsidRDefault="00000000">
      <w:pPr>
        <w:pStyle w:val="a3"/>
        <w:divId w:val="356539176"/>
        <w:rPr>
          <w:rFonts w:ascii="Times New Roman" w:hAnsi="Times New Roman"/>
          <w:sz w:val="18"/>
          <w:szCs w:val="18"/>
        </w:rPr>
      </w:pPr>
      <w:r w:rsidRPr="00F614F9">
        <w:rPr>
          <w:rFonts w:ascii="Times New Roman" w:hAnsi="Times New Roman" w:hint="eastAsia"/>
          <w:sz w:val="18"/>
          <w:szCs w:val="18"/>
        </w:rPr>
        <w:t>无</w:t>
      </w:r>
    </w:p>
    <w:p w14:paraId="7E822165"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88" w:name="_Toc989222"/>
      <w:r w:rsidRPr="00F614F9">
        <w:rPr>
          <w:rFonts w:ascii="Times New Roman" w:eastAsia="宋体" w:hAnsi="Times New Roman" w:cs="宋体"/>
          <w:b/>
          <w:bCs/>
          <w:szCs w:val="21"/>
        </w:rPr>
        <w:t>（</w:t>
      </w:r>
      <w:r w:rsidRPr="00F614F9">
        <w:rPr>
          <w:rFonts w:ascii="Times New Roman" w:eastAsia="宋体" w:hAnsi="Times New Roman" w:cs="宋体"/>
          <w:b/>
          <w:bCs/>
          <w:szCs w:val="21"/>
        </w:rPr>
        <w:t>5</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固定资产的减值测试情况</w:t>
      </w:r>
      <w:bookmarkEnd w:id="388"/>
    </w:p>
    <w:p w14:paraId="61481DA5"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26A629D2"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89" w:name="_Toc989223"/>
      <w:r w:rsidRPr="00F614F9">
        <w:rPr>
          <w:rFonts w:ascii="Times New Roman" w:eastAsia="宋体" w:hAnsi="Times New Roman" w:cs="宋体"/>
          <w:b/>
          <w:bCs/>
          <w:szCs w:val="21"/>
        </w:rPr>
        <w:t>（</w:t>
      </w:r>
      <w:r w:rsidRPr="00F614F9">
        <w:rPr>
          <w:rFonts w:ascii="Times New Roman" w:eastAsia="宋体" w:hAnsi="Times New Roman" w:cs="宋体"/>
          <w:b/>
          <w:bCs/>
          <w:szCs w:val="21"/>
        </w:rPr>
        <w:t>6</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固定资产清理</w:t>
      </w:r>
      <w:bookmarkEnd w:id="389"/>
    </w:p>
    <w:p w14:paraId="4F9F1FD3"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2FB8F3E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94C6E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9E8EC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D8A82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bl>
    <w:p w14:paraId="6570F2A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3919CA6F" w14:textId="77777777" w:rsidR="00872599" w:rsidRPr="00F614F9" w:rsidRDefault="00000000">
      <w:pPr>
        <w:pStyle w:val="a3"/>
        <w:divId w:val="1880892977"/>
        <w:rPr>
          <w:rFonts w:ascii="Times New Roman" w:hAnsi="Times New Roman"/>
          <w:sz w:val="18"/>
          <w:szCs w:val="18"/>
        </w:rPr>
      </w:pPr>
      <w:r w:rsidRPr="00F614F9">
        <w:rPr>
          <w:rFonts w:ascii="Times New Roman" w:hAnsi="Times New Roman" w:hint="eastAsia"/>
          <w:sz w:val="18"/>
          <w:szCs w:val="18"/>
        </w:rPr>
        <w:t>无</w:t>
      </w:r>
    </w:p>
    <w:p w14:paraId="2D77CF07" w14:textId="77777777" w:rsidR="001D26E7" w:rsidRPr="00F614F9" w:rsidRDefault="00000000">
      <w:pPr>
        <w:pStyle w:val="3"/>
        <w:spacing w:line="280" w:lineRule="exact"/>
        <w:jc w:val="left"/>
        <w:rPr>
          <w:rFonts w:ascii="Times New Roman" w:hAnsi="Times New Roman" w:cs="宋体"/>
          <w:b/>
          <w:bCs/>
        </w:rPr>
      </w:pPr>
      <w:bookmarkStart w:id="390" w:name="_Toc989224"/>
      <w:r w:rsidRPr="00F614F9">
        <w:rPr>
          <w:rFonts w:ascii="Times New Roman" w:hAnsi="Times New Roman" w:cs="宋体"/>
          <w:b/>
          <w:bCs/>
        </w:rPr>
        <w:t>22</w:t>
      </w:r>
      <w:r w:rsidRPr="00F614F9">
        <w:rPr>
          <w:rFonts w:ascii="Times New Roman" w:hAnsi="Times New Roman" w:cs="宋体"/>
          <w:b/>
          <w:bCs/>
        </w:rPr>
        <w:t>、在建工程</w:t>
      </w:r>
      <w:bookmarkEnd w:id="390"/>
    </w:p>
    <w:p w14:paraId="684E1D0D"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0656AE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BD6FF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7C197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E9A47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476D67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7C3B2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26F5EA6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919,386,014.19</w:t>
            </w:r>
          </w:p>
        </w:tc>
        <w:tc>
          <w:tcPr>
            <w:tcW w:w="3213" w:type="dxa"/>
            <w:tcBorders>
              <w:top w:val="single" w:sz="2" w:space="0" w:color="auto"/>
              <w:left w:val="single" w:sz="2" w:space="0" w:color="auto"/>
              <w:bottom w:val="single" w:sz="2" w:space="0" w:color="auto"/>
              <w:right w:val="single" w:sz="2" w:space="0" w:color="auto"/>
            </w:tcBorders>
            <w:vAlign w:val="center"/>
          </w:tcPr>
          <w:p w14:paraId="432D99A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627,981,907.00</w:t>
            </w:r>
          </w:p>
        </w:tc>
      </w:tr>
      <w:tr w:rsidR="001D26E7" w:rsidRPr="00F614F9" w14:paraId="34A0B0D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1B0CD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7C7C35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919,386,014.19</w:t>
            </w:r>
          </w:p>
        </w:tc>
        <w:tc>
          <w:tcPr>
            <w:tcW w:w="3213" w:type="dxa"/>
            <w:tcBorders>
              <w:top w:val="single" w:sz="2" w:space="0" w:color="auto"/>
              <w:left w:val="single" w:sz="2" w:space="0" w:color="auto"/>
              <w:bottom w:val="single" w:sz="2" w:space="0" w:color="auto"/>
              <w:right w:val="single" w:sz="2" w:space="0" w:color="auto"/>
            </w:tcBorders>
            <w:vAlign w:val="center"/>
          </w:tcPr>
          <w:p w14:paraId="759D75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627,981,907.00</w:t>
            </w:r>
          </w:p>
        </w:tc>
      </w:tr>
    </w:tbl>
    <w:p w14:paraId="13AD13A1"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91" w:name="_Toc989225"/>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在建工程情况</w:t>
      </w:r>
      <w:bookmarkEnd w:id="391"/>
    </w:p>
    <w:p w14:paraId="71D6D410"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1D26E7" w:rsidRPr="00F614F9" w14:paraId="12FC91DC"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9925C1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5EE3454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FE4AE3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32EA55E2"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E744D88" w14:textId="77777777" w:rsidR="001D26E7" w:rsidRPr="00F614F9" w:rsidRDefault="001D26E7">
            <w:pPr>
              <w:rPr>
                <w:rFonts w:ascii="Times New Roman" w:hAnsi="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ECF457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0A948E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95E180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9CDF15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CB129D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39E172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r>
      <w:tr w:rsidR="001D26E7" w:rsidRPr="00F614F9" w14:paraId="73A7C8C9"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2ED937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土建工程</w:t>
            </w:r>
          </w:p>
        </w:tc>
        <w:tc>
          <w:tcPr>
            <w:tcW w:w="1377" w:type="dxa"/>
            <w:tcBorders>
              <w:top w:val="single" w:sz="2" w:space="0" w:color="auto"/>
              <w:left w:val="single" w:sz="2" w:space="0" w:color="auto"/>
              <w:bottom w:val="single" w:sz="2" w:space="0" w:color="auto"/>
              <w:right w:val="single" w:sz="2" w:space="0" w:color="auto"/>
            </w:tcBorders>
            <w:vAlign w:val="center"/>
          </w:tcPr>
          <w:p w14:paraId="4F3F50A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895,841,207.68</w:t>
            </w:r>
          </w:p>
        </w:tc>
        <w:tc>
          <w:tcPr>
            <w:tcW w:w="1377" w:type="dxa"/>
            <w:tcBorders>
              <w:top w:val="single" w:sz="2" w:space="0" w:color="auto"/>
              <w:left w:val="single" w:sz="2" w:space="0" w:color="auto"/>
              <w:bottom w:val="single" w:sz="2" w:space="0" w:color="auto"/>
              <w:right w:val="single" w:sz="2" w:space="0" w:color="auto"/>
            </w:tcBorders>
            <w:vAlign w:val="center"/>
          </w:tcPr>
          <w:p w14:paraId="4B065D14"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E2DA1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895,841,207.68</w:t>
            </w:r>
          </w:p>
        </w:tc>
        <w:tc>
          <w:tcPr>
            <w:tcW w:w="1377" w:type="dxa"/>
            <w:tcBorders>
              <w:top w:val="single" w:sz="2" w:space="0" w:color="auto"/>
              <w:left w:val="single" w:sz="2" w:space="0" w:color="auto"/>
              <w:bottom w:val="single" w:sz="2" w:space="0" w:color="auto"/>
              <w:right w:val="single" w:sz="2" w:space="0" w:color="auto"/>
            </w:tcBorders>
            <w:vAlign w:val="center"/>
          </w:tcPr>
          <w:p w14:paraId="4799B88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621,677,210.78</w:t>
            </w:r>
          </w:p>
        </w:tc>
        <w:tc>
          <w:tcPr>
            <w:tcW w:w="1377" w:type="dxa"/>
            <w:tcBorders>
              <w:top w:val="single" w:sz="2" w:space="0" w:color="auto"/>
              <w:left w:val="single" w:sz="2" w:space="0" w:color="auto"/>
              <w:bottom w:val="single" w:sz="2" w:space="0" w:color="auto"/>
              <w:right w:val="single" w:sz="2" w:space="0" w:color="auto"/>
            </w:tcBorders>
            <w:vAlign w:val="center"/>
          </w:tcPr>
          <w:p w14:paraId="6F4873F2"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994FC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621,677,210.78</w:t>
            </w:r>
          </w:p>
        </w:tc>
      </w:tr>
      <w:tr w:rsidR="001D26E7" w:rsidRPr="00F614F9" w14:paraId="3F0551EE"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6CEC4C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安装工程</w:t>
            </w:r>
          </w:p>
        </w:tc>
        <w:tc>
          <w:tcPr>
            <w:tcW w:w="1377" w:type="dxa"/>
            <w:tcBorders>
              <w:top w:val="single" w:sz="2" w:space="0" w:color="auto"/>
              <w:left w:val="single" w:sz="2" w:space="0" w:color="auto"/>
              <w:bottom w:val="single" w:sz="2" w:space="0" w:color="auto"/>
              <w:right w:val="single" w:sz="2" w:space="0" w:color="auto"/>
            </w:tcBorders>
            <w:vAlign w:val="center"/>
          </w:tcPr>
          <w:p w14:paraId="455ECBC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23,544,806.51</w:t>
            </w:r>
          </w:p>
        </w:tc>
        <w:tc>
          <w:tcPr>
            <w:tcW w:w="1377" w:type="dxa"/>
            <w:tcBorders>
              <w:top w:val="single" w:sz="2" w:space="0" w:color="auto"/>
              <w:left w:val="single" w:sz="2" w:space="0" w:color="auto"/>
              <w:bottom w:val="single" w:sz="2" w:space="0" w:color="auto"/>
              <w:right w:val="single" w:sz="2" w:space="0" w:color="auto"/>
            </w:tcBorders>
            <w:vAlign w:val="center"/>
          </w:tcPr>
          <w:p w14:paraId="60BD26FA"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38D24C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23,544,806.51</w:t>
            </w:r>
          </w:p>
        </w:tc>
        <w:tc>
          <w:tcPr>
            <w:tcW w:w="1377" w:type="dxa"/>
            <w:tcBorders>
              <w:top w:val="single" w:sz="2" w:space="0" w:color="auto"/>
              <w:left w:val="single" w:sz="2" w:space="0" w:color="auto"/>
              <w:bottom w:val="single" w:sz="2" w:space="0" w:color="auto"/>
              <w:right w:val="single" w:sz="2" w:space="0" w:color="auto"/>
            </w:tcBorders>
            <w:vAlign w:val="center"/>
          </w:tcPr>
          <w:p w14:paraId="68C9C0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6,304,696.22</w:t>
            </w:r>
          </w:p>
        </w:tc>
        <w:tc>
          <w:tcPr>
            <w:tcW w:w="1377" w:type="dxa"/>
            <w:tcBorders>
              <w:top w:val="single" w:sz="2" w:space="0" w:color="auto"/>
              <w:left w:val="single" w:sz="2" w:space="0" w:color="auto"/>
              <w:bottom w:val="single" w:sz="2" w:space="0" w:color="auto"/>
              <w:right w:val="single" w:sz="2" w:space="0" w:color="auto"/>
            </w:tcBorders>
            <w:vAlign w:val="center"/>
          </w:tcPr>
          <w:p w14:paraId="1EE94F9A"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79F8D8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6,304,696.22</w:t>
            </w:r>
          </w:p>
        </w:tc>
      </w:tr>
      <w:tr w:rsidR="001D26E7" w:rsidRPr="00F614F9" w14:paraId="5897FF74"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A24E1D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03F9C34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919,386,014.19</w:t>
            </w:r>
          </w:p>
        </w:tc>
        <w:tc>
          <w:tcPr>
            <w:tcW w:w="1377" w:type="dxa"/>
            <w:tcBorders>
              <w:top w:val="single" w:sz="2" w:space="0" w:color="auto"/>
              <w:left w:val="single" w:sz="2" w:space="0" w:color="auto"/>
              <w:bottom w:val="single" w:sz="2" w:space="0" w:color="auto"/>
              <w:right w:val="single" w:sz="2" w:space="0" w:color="auto"/>
            </w:tcBorders>
            <w:vAlign w:val="center"/>
          </w:tcPr>
          <w:p w14:paraId="1FC5A5DB"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C78905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919,386,014.19</w:t>
            </w:r>
          </w:p>
        </w:tc>
        <w:tc>
          <w:tcPr>
            <w:tcW w:w="1377" w:type="dxa"/>
            <w:tcBorders>
              <w:top w:val="single" w:sz="2" w:space="0" w:color="auto"/>
              <w:left w:val="single" w:sz="2" w:space="0" w:color="auto"/>
              <w:bottom w:val="single" w:sz="2" w:space="0" w:color="auto"/>
              <w:right w:val="single" w:sz="2" w:space="0" w:color="auto"/>
            </w:tcBorders>
            <w:vAlign w:val="center"/>
          </w:tcPr>
          <w:p w14:paraId="3845FB8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627,981,907.00</w:t>
            </w:r>
          </w:p>
        </w:tc>
        <w:tc>
          <w:tcPr>
            <w:tcW w:w="1377" w:type="dxa"/>
            <w:tcBorders>
              <w:top w:val="single" w:sz="2" w:space="0" w:color="auto"/>
              <w:left w:val="single" w:sz="2" w:space="0" w:color="auto"/>
              <w:bottom w:val="single" w:sz="2" w:space="0" w:color="auto"/>
              <w:right w:val="single" w:sz="2" w:space="0" w:color="auto"/>
            </w:tcBorders>
            <w:vAlign w:val="center"/>
          </w:tcPr>
          <w:p w14:paraId="6FD00EA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BCE68D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627,981,907.00</w:t>
            </w:r>
          </w:p>
        </w:tc>
      </w:tr>
    </w:tbl>
    <w:p w14:paraId="5A2FE3B3" w14:textId="77777777" w:rsidR="00640067" w:rsidRPr="00F614F9" w:rsidRDefault="00640067" w:rsidP="00640067">
      <w:pPr>
        <w:rPr>
          <w:rFonts w:ascii="Times New Roman" w:hAnsi="Times New Roman"/>
        </w:rPr>
        <w:sectPr w:rsidR="00640067" w:rsidRPr="00F614F9" w:rsidSect="00732DE1">
          <w:pgSz w:w="11905" w:h="16840"/>
          <w:pgMar w:top="1440" w:right="1134" w:bottom="1440" w:left="1134" w:header="850" w:footer="992" w:gutter="0"/>
          <w:cols w:space="720"/>
          <w:docGrid w:type="linesAndChars" w:linePitch="312"/>
        </w:sectPr>
      </w:pPr>
      <w:bookmarkStart w:id="392" w:name="_Toc989226"/>
    </w:p>
    <w:p w14:paraId="7A3F2CB4" w14:textId="77777777" w:rsidR="00640067" w:rsidRPr="00F614F9" w:rsidRDefault="00640067" w:rsidP="00640067">
      <w:pPr>
        <w:rPr>
          <w:rFonts w:ascii="Times New Roman" w:hAnsi="Times New Roman"/>
        </w:rPr>
      </w:pPr>
    </w:p>
    <w:p w14:paraId="64A2FE0F"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重要在建工程项目本期变动情况</w:t>
      </w:r>
      <w:bookmarkEnd w:id="392"/>
    </w:p>
    <w:p w14:paraId="5BF96B46"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5306"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63"/>
        <w:gridCol w:w="1476"/>
        <w:gridCol w:w="1341"/>
        <w:gridCol w:w="1341"/>
        <w:gridCol w:w="1251"/>
        <w:gridCol w:w="1161"/>
        <w:gridCol w:w="1341"/>
        <w:gridCol w:w="862"/>
        <w:gridCol w:w="554"/>
        <w:gridCol w:w="1251"/>
        <w:gridCol w:w="1251"/>
        <w:gridCol w:w="708"/>
        <w:gridCol w:w="708"/>
      </w:tblGrid>
      <w:tr w:rsidR="001D26E7" w:rsidRPr="00F614F9" w14:paraId="5C153235" w14:textId="77777777" w:rsidTr="00640067">
        <w:trPr>
          <w:trHeight w:val="240"/>
          <w:tblHeader/>
          <w:jc w:val="center"/>
        </w:trPr>
        <w:tc>
          <w:tcPr>
            <w:tcW w:w="528" w:type="pct"/>
            <w:tcBorders>
              <w:top w:val="single" w:sz="2" w:space="0" w:color="auto"/>
              <w:left w:val="single" w:sz="2" w:space="0" w:color="auto"/>
              <w:bottom w:val="single" w:sz="2" w:space="0" w:color="auto"/>
              <w:right w:val="single" w:sz="2" w:space="0" w:color="auto"/>
            </w:tcBorders>
            <w:shd w:val="clear" w:color="auto" w:fill="D3D3D3"/>
            <w:vAlign w:val="center"/>
          </w:tcPr>
          <w:p w14:paraId="0A9556D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项目名称</w:t>
            </w:r>
          </w:p>
        </w:tc>
        <w:tc>
          <w:tcPr>
            <w:tcW w:w="498" w:type="pct"/>
            <w:tcBorders>
              <w:top w:val="single" w:sz="2" w:space="0" w:color="auto"/>
              <w:left w:val="single" w:sz="2" w:space="0" w:color="auto"/>
              <w:bottom w:val="single" w:sz="2" w:space="0" w:color="auto"/>
              <w:right w:val="single" w:sz="2" w:space="0" w:color="auto"/>
            </w:tcBorders>
            <w:shd w:val="clear" w:color="auto" w:fill="D3D3D3"/>
            <w:vAlign w:val="center"/>
          </w:tcPr>
          <w:p w14:paraId="1E322E7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预算数</w:t>
            </w:r>
          </w:p>
        </w:tc>
        <w:tc>
          <w:tcPr>
            <w:tcW w:w="453" w:type="pct"/>
            <w:tcBorders>
              <w:top w:val="single" w:sz="2" w:space="0" w:color="auto"/>
              <w:left w:val="single" w:sz="2" w:space="0" w:color="auto"/>
              <w:bottom w:val="single" w:sz="2" w:space="0" w:color="auto"/>
              <w:right w:val="single" w:sz="2" w:space="0" w:color="auto"/>
            </w:tcBorders>
            <w:shd w:val="clear" w:color="auto" w:fill="D3D3D3"/>
            <w:vAlign w:val="center"/>
          </w:tcPr>
          <w:p w14:paraId="062E087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453" w:type="pct"/>
            <w:tcBorders>
              <w:top w:val="single" w:sz="2" w:space="0" w:color="auto"/>
              <w:left w:val="single" w:sz="2" w:space="0" w:color="auto"/>
              <w:bottom w:val="single" w:sz="2" w:space="0" w:color="auto"/>
              <w:right w:val="single" w:sz="2" w:space="0" w:color="auto"/>
            </w:tcBorders>
            <w:shd w:val="clear" w:color="auto" w:fill="D3D3D3"/>
            <w:vAlign w:val="center"/>
          </w:tcPr>
          <w:p w14:paraId="2F087B2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本期增加金额</w:t>
            </w:r>
          </w:p>
        </w:tc>
        <w:tc>
          <w:tcPr>
            <w:tcW w:w="422" w:type="pct"/>
            <w:tcBorders>
              <w:top w:val="single" w:sz="2" w:space="0" w:color="auto"/>
              <w:left w:val="single" w:sz="2" w:space="0" w:color="auto"/>
              <w:bottom w:val="single" w:sz="2" w:space="0" w:color="auto"/>
              <w:right w:val="single" w:sz="2" w:space="0" w:color="auto"/>
            </w:tcBorders>
            <w:shd w:val="clear" w:color="auto" w:fill="D3D3D3"/>
            <w:vAlign w:val="center"/>
          </w:tcPr>
          <w:p w14:paraId="7369558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本期转入固定资产金额</w:t>
            </w:r>
          </w:p>
        </w:tc>
        <w:tc>
          <w:tcPr>
            <w:tcW w:w="392" w:type="pct"/>
            <w:tcBorders>
              <w:top w:val="single" w:sz="2" w:space="0" w:color="auto"/>
              <w:left w:val="single" w:sz="2" w:space="0" w:color="auto"/>
              <w:bottom w:val="single" w:sz="2" w:space="0" w:color="auto"/>
              <w:right w:val="single" w:sz="2" w:space="0" w:color="auto"/>
            </w:tcBorders>
            <w:shd w:val="clear" w:color="auto" w:fill="D3D3D3"/>
            <w:vAlign w:val="center"/>
          </w:tcPr>
          <w:p w14:paraId="2B038F3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本期其他减少金额</w:t>
            </w:r>
          </w:p>
        </w:tc>
        <w:tc>
          <w:tcPr>
            <w:tcW w:w="453" w:type="pct"/>
            <w:tcBorders>
              <w:top w:val="single" w:sz="2" w:space="0" w:color="auto"/>
              <w:left w:val="single" w:sz="2" w:space="0" w:color="auto"/>
              <w:bottom w:val="single" w:sz="2" w:space="0" w:color="auto"/>
              <w:right w:val="single" w:sz="2" w:space="0" w:color="auto"/>
            </w:tcBorders>
            <w:shd w:val="clear" w:color="auto" w:fill="D3D3D3"/>
            <w:vAlign w:val="center"/>
          </w:tcPr>
          <w:p w14:paraId="4298E83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291" w:type="pct"/>
            <w:tcBorders>
              <w:top w:val="single" w:sz="2" w:space="0" w:color="auto"/>
              <w:left w:val="single" w:sz="2" w:space="0" w:color="auto"/>
              <w:bottom w:val="single" w:sz="2" w:space="0" w:color="auto"/>
              <w:right w:val="single" w:sz="2" w:space="0" w:color="auto"/>
            </w:tcBorders>
            <w:shd w:val="clear" w:color="auto" w:fill="D3D3D3"/>
            <w:vAlign w:val="center"/>
          </w:tcPr>
          <w:p w14:paraId="7F12A17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工程累计投入占预算比例</w:t>
            </w:r>
          </w:p>
        </w:tc>
        <w:tc>
          <w:tcPr>
            <w:tcW w:w="187" w:type="pct"/>
            <w:tcBorders>
              <w:top w:val="single" w:sz="2" w:space="0" w:color="auto"/>
              <w:left w:val="single" w:sz="2" w:space="0" w:color="auto"/>
              <w:bottom w:val="single" w:sz="2" w:space="0" w:color="auto"/>
              <w:right w:val="single" w:sz="2" w:space="0" w:color="auto"/>
            </w:tcBorders>
            <w:shd w:val="clear" w:color="auto" w:fill="D3D3D3"/>
            <w:vAlign w:val="center"/>
          </w:tcPr>
          <w:p w14:paraId="08CA01C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工程进度</w:t>
            </w:r>
          </w:p>
        </w:tc>
        <w:tc>
          <w:tcPr>
            <w:tcW w:w="422" w:type="pct"/>
            <w:tcBorders>
              <w:top w:val="single" w:sz="2" w:space="0" w:color="auto"/>
              <w:left w:val="single" w:sz="2" w:space="0" w:color="auto"/>
              <w:bottom w:val="single" w:sz="2" w:space="0" w:color="auto"/>
              <w:right w:val="single" w:sz="2" w:space="0" w:color="auto"/>
            </w:tcBorders>
            <w:shd w:val="clear" w:color="auto" w:fill="D3D3D3"/>
            <w:vAlign w:val="center"/>
          </w:tcPr>
          <w:p w14:paraId="48B28F7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利息资本化累计金额</w:t>
            </w:r>
          </w:p>
        </w:tc>
        <w:tc>
          <w:tcPr>
            <w:tcW w:w="422" w:type="pct"/>
            <w:tcBorders>
              <w:top w:val="single" w:sz="2" w:space="0" w:color="auto"/>
              <w:left w:val="single" w:sz="2" w:space="0" w:color="auto"/>
              <w:bottom w:val="single" w:sz="2" w:space="0" w:color="auto"/>
              <w:right w:val="single" w:sz="2" w:space="0" w:color="auto"/>
            </w:tcBorders>
            <w:shd w:val="clear" w:color="auto" w:fill="D3D3D3"/>
            <w:vAlign w:val="center"/>
          </w:tcPr>
          <w:p w14:paraId="0536010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其中：本期利息资本</w:t>
            </w:r>
            <w:proofErr w:type="gramStart"/>
            <w:r w:rsidRPr="00F614F9">
              <w:rPr>
                <w:rFonts w:ascii="Times New Roman" w:eastAsia="宋体" w:hAnsi="Times New Roman" w:cs="宋体"/>
                <w:sz w:val="18"/>
                <w:szCs w:val="18"/>
              </w:rPr>
              <w:t>化金额</w:t>
            </w:r>
            <w:proofErr w:type="gramEnd"/>
          </w:p>
        </w:tc>
        <w:tc>
          <w:tcPr>
            <w:tcW w:w="239" w:type="pct"/>
            <w:tcBorders>
              <w:top w:val="single" w:sz="2" w:space="0" w:color="auto"/>
              <w:left w:val="single" w:sz="2" w:space="0" w:color="auto"/>
              <w:bottom w:val="single" w:sz="2" w:space="0" w:color="auto"/>
              <w:right w:val="single" w:sz="2" w:space="0" w:color="auto"/>
            </w:tcBorders>
            <w:shd w:val="clear" w:color="auto" w:fill="D3D3D3"/>
            <w:vAlign w:val="center"/>
          </w:tcPr>
          <w:p w14:paraId="03D3142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本期利息资本化率</w:t>
            </w:r>
          </w:p>
        </w:tc>
        <w:tc>
          <w:tcPr>
            <w:tcW w:w="239" w:type="pct"/>
            <w:tcBorders>
              <w:top w:val="single" w:sz="2" w:space="0" w:color="auto"/>
              <w:left w:val="single" w:sz="2" w:space="0" w:color="auto"/>
              <w:bottom w:val="single" w:sz="2" w:space="0" w:color="auto"/>
              <w:right w:val="single" w:sz="2" w:space="0" w:color="auto"/>
            </w:tcBorders>
            <w:shd w:val="clear" w:color="auto" w:fill="D3D3D3"/>
            <w:vAlign w:val="center"/>
          </w:tcPr>
          <w:p w14:paraId="53B82FF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资金来源</w:t>
            </w:r>
          </w:p>
        </w:tc>
      </w:tr>
      <w:tr w:rsidR="001D26E7" w:rsidRPr="00F614F9" w14:paraId="101EE10E"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3433F16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低温冷冻深加工车间</w:t>
            </w:r>
          </w:p>
        </w:tc>
        <w:tc>
          <w:tcPr>
            <w:tcW w:w="498" w:type="pct"/>
            <w:tcBorders>
              <w:top w:val="single" w:sz="2" w:space="0" w:color="auto"/>
              <w:left w:val="single" w:sz="2" w:space="0" w:color="auto"/>
              <w:bottom w:val="single" w:sz="2" w:space="0" w:color="auto"/>
              <w:right w:val="single" w:sz="2" w:space="0" w:color="auto"/>
            </w:tcBorders>
            <w:vAlign w:val="center"/>
          </w:tcPr>
          <w:p w14:paraId="47C191B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392,490,000.00</w:t>
            </w:r>
          </w:p>
        </w:tc>
        <w:tc>
          <w:tcPr>
            <w:tcW w:w="453" w:type="pct"/>
            <w:tcBorders>
              <w:top w:val="single" w:sz="2" w:space="0" w:color="auto"/>
              <w:left w:val="single" w:sz="2" w:space="0" w:color="auto"/>
              <w:bottom w:val="single" w:sz="2" w:space="0" w:color="auto"/>
              <w:right w:val="single" w:sz="2" w:space="0" w:color="auto"/>
            </w:tcBorders>
            <w:vAlign w:val="center"/>
          </w:tcPr>
          <w:p w14:paraId="6800701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498,909.99</w:t>
            </w:r>
          </w:p>
        </w:tc>
        <w:tc>
          <w:tcPr>
            <w:tcW w:w="453" w:type="pct"/>
            <w:tcBorders>
              <w:top w:val="single" w:sz="2" w:space="0" w:color="auto"/>
              <w:left w:val="single" w:sz="2" w:space="0" w:color="auto"/>
              <w:bottom w:val="single" w:sz="2" w:space="0" w:color="auto"/>
              <w:right w:val="single" w:sz="2" w:space="0" w:color="auto"/>
            </w:tcBorders>
            <w:vAlign w:val="center"/>
          </w:tcPr>
          <w:p w14:paraId="73D86B21"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5092D63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498,909.99</w:t>
            </w:r>
          </w:p>
        </w:tc>
        <w:tc>
          <w:tcPr>
            <w:tcW w:w="392" w:type="pct"/>
            <w:tcBorders>
              <w:top w:val="single" w:sz="2" w:space="0" w:color="auto"/>
              <w:left w:val="single" w:sz="2" w:space="0" w:color="auto"/>
              <w:bottom w:val="single" w:sz="2" w:space="0" w:color="auto"/>
              <w:right w:val="single" w:sz="2" w:space="0" w:color="auto"/>
            </w:tcBorders>
            <w:vAlign w:val="center"/>
          </w:tcPr>
          <w:p w14:paraId="2C30ADF6"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628E6F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291" w:type="pct"/>
            <w:tcBorders>
              <w:top w:val="single" w:sz="2" w:space="0" w:color="auto"/>
              <w:left w:val="single" w:sz="2" w:space="0" w:color="auto"/>
              <w:bottom w:val="single" w:sz="2" w:space="0" w:color="auto"/>
              <w:right w:val="single" w:sz="2" w:space="0" w:color="auto"/>
            </w:tcBorders>
            <w:vAlign w:val="center"/>
          </w:tcPr>
          <w:p w14:paraId="0D626AE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91.56%</w:t>
            </w:r>
          </w:p>
        </w:tc>
        <w:tc>
          <w:tcPr>
            <w:tcW w:w="187" w:type="pct"/>
            <w:tcBorders>
              <w:top w:val="single" w:sz="2" w:space="0" w:color="auto"/>
              <w:left w:val="single" w:sz="2" w:space="0" w:color="auto"/>
              <w:bottom w:val="single" w:sz="2" w:space="0" w:color="auto"/>
              <w:right w:val="single" w:sz="2" w:space="0" w:color="auto"/>
            </w:tcBorders>
            <w:vAlign w:val="center"/>
          </w:tcPr>
          <w:p w14:paraId="13ACCCD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422" w:type="pct"/>
            <w:tcBorders>
              <w:top w:val="single" w:sz="2" w:space="0" w:color="auto"/>
              <w:left w:val="single" w:sz="2" w:space="0" w:color="auto"/>
              <w:bottom w:val="single" w:sz="2" w:space="0" w:color="auto"/>
              <w:right w:val="single" w:sz="2" w:space="0" w:color="auto"/>
            </w:tcBorders>
            <w:vAlign w:val="center"/>
          </w:tcPr>
          <w:p w14:paraId="673ACCD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14,942,666.67</w:t>
            </w:r>
          </w:p>
        </w:tc>
        <w:tc>
          <w:tcPr>
            <w:tcW w:w="422" w:type="pct"/>
            <w:tcBorders>
              <w:top w:val="single" w:sz="2" w:space="0" w:color="auto"/>
              <w:left w:val="single" w:sz="2" w:space="0" w:color="auto"/>
              <w:bottom w:val="single" w:sz="2" w:space="0" w:color="auto"/>
              <w:right w:val="single" w:sz="2" w:space="0" w:color="auto"/>
            </w:tcBorders>
            <w:vAlign w:val="center"/>
          </w:tcPr>
          <w:p w14:paraId="55D11631"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514D3795"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A5A2A8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金融机构贷款</w:t>
            </w:r>
          </w:p>
        </w:tc>
      </w:tr>
      <w:tr w:rsidR="001D26E7" w:rsidRPr="00F614F9" w14:paraId="216C5599"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0BAC7F4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熟食酱卤车间</w:t>
            </w:r>
          </w:p>
        </w:tc>
        <w:tc>
          <w:tcPr>
            <w:tcW w:w="498" w:type="pct"/>
            <w:tcBorders>
              <w:top w:val="single" w:sz="2" w:space="0" w:color="auto"/>
              <w:left w:val="single" w:sz="2" w:space="0" w:color="auto"/>
              <w:bottom w:val="single" w:sz="2" w:space="0" w:color="auto"/>
              <w:right w:val="single" w:sz="2" w:space="0" w:color="auto"/>
            </w:tcBorders>
            <w:vAlign w:val="center"/>
          </w:tcPr>
          <w:p w14:paraId="739C5C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116,824,033.00</w:t>
            </w:r>
          </w:p>
        </w:tc>
        <w:tc>
          <w:tcPr>
            <w:tcW w:w="453" w:type="pct"/>
            <w:tcBorders>
              <w:top w:val="single" w:sz="2" w:space="0" w:color="auto"/>
              <w:left w:val="single" w:sz="2" w:space="0" w:color="auto"/>
              <w:bottom w:val="single" w:sz="2" w:space="0" w:color="auto"/>
              <w:right w:val="single" w:sz="2" w:space="0" w:color="auto"/>
            </w:tcBorders>
            <w:vAlign w:val="center"/>
          </w:tcPr>
          <w:p w14:paraId="509D33E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2,866,381.47</w:t>
            </w:r>
          </w:p>
        </w:tc>
        <w:tc>
          <w:tcPr>
            <w:tcW w:w="453" w:type="pct"/>
            <w:tcBorders>
              <w:top w:val="single" w:sz="2" w:space="0" w:color="auto"/>
              <w:left w:val="single" w:sz="2" w:space="0" w:color="auto"/>
              <w:bottom w:val="single" w:sz="2" w:space="0" w:color="auto"/>
              <w:right w:val="single" w:sz="2" w:space="0" w:color="auto"/>
            </w:tcBorders>
            <w:vAlign w:val="center"/>
          </w:tcPr>
          <w:p w14:paraId="39DD7FA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553,463.21</w:t>
            </w:r>
          </w:p>
        </w:tc>
        <w:tc>
          <w:tcPr>
            <w:tcW w:w="422" w:type="pct"/>
            <w:tcBorders>
              <w:top w:val="single" w:sz="2" w:space="0" w:color="auto"/>
              <w:left w:val="single" w:sz="2" w:space="0" w:color="auto"/>
              <w:bottom w:val="single" w:sz="2" w:space="0" w:color="auto"/>
              <w:right w:val="single" w:sz="2" w:space="0" w:color="auto"/>
            </w:tcBorders>
            <w:vAlign w:val="center"/>
          </w:tcPr>
          <w:p w14:paraId="01764BB6"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3243412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3,419,844.68</w:t>
            </w:r>
          </w:p>
        </w:tc>
        <w:tc>
          <w:tcPr>
            <w:tcW w:w="453" w:type="pct"/>
            <w:tcBorders>
              <w:top w:val="single" w:sz="2" w:space="0" w:color="auto"/>
              <w:left w:val="single" w:sz="2" w:space="0" w:color="auto"/>
              <w:bottom w:val="single" w:sz="2" w:space="0" w:color="auto"/>
              <w:right w:val="single" w:sz="2" w:space="0" w:color="auto"/>
            </w:tcBorders>
            <w:vAlign w:val="center"/>
          </w:tcPr>
          <w:p w14:paraId="5926A22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291" w:type="pct"/>
            <w:tcBorders>
              <w:top w:val="single" w:sz="2" w:space="0" w:color="auto"/>
              <w:left w:val="single" w:sz="2" w:space="0" w:color="auto"/>
              <w:bottom w:val="single" w:sz="2" w:space="0" w:color="auto"/>
              <w:right w:val="single" w:sz="2" w:space="0" w:color="auto"/>
            </w:tcBorders>
            <w:vAlign w:val="center"/>
          </w:tcPr>
          <w:p w14:paraId="3A27674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2.93%</w:t>
            </w:r>
          </w:p>
        </w:tc>
        <w:tc>
          <w:tcPr>
            <w:tcW w:w="187" w:type="pct"/>
            <w:tcBorders>
              <w:top w:val="single" w:sz="2" w:space="0" w:color="auto"/>
              <w:left w:val="single" w:sz="2" w:space="0" w:color="auto"/>
              <w:bottom w:val="single" w:sz="2" w:space="0" w:color="auto"/>
              <w:right w:val="single" w:sz="2" w:space="0" w:color="auto"/>
            </w:tcBorders>
            <w:vAlign w:val="center"/>
          </w:tcPr>
          <w:p w14:paraId="14B109E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w:t>
            </w:r>
          </w:p>
        </w:tc>
        <w:tc>
          <w:tcPr>
            <w:tcW w:w="422" w:type="pct"/>
            <w:tcBorders>
              <w:top w:val="single" w:sz="2" w:space="0" w:color="auto"/>
              <w:left w:val="single" w:sz="2" w:space="0" w:color="auto"/>
              <w:bottom w:val="single" w:sz="2" w:space="0" w:color="auto"/>
              <w:right w:val="single" w:sz="2" w:space="0" w:color="auto"/>
            </w:tcBorders>
            <w:vAlign w:val="center"/>
          </w:tcPr>
          <w:p w14:paraId="66D48102"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01661122"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43ABEBF1"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358744E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76CE044F"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541CA11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生食下货</w:t>
            </w:r>
            <w:proofErr w:type="gramStart"/>
            <w:r w:rsidRPr="00F614F9">
              <w:rPr>
                <w:rFonts w:ascii="Times New Roman" w:eastAsia="宋体" w:hAnsi="Times New Roman" w:cs="宋体"/>
                <w:sz w:val="18"/>
                <w:szCs w:val="18"/>
              </w:rPr>
              <w:t>库改造</w:t>
            </w:r>
            <w:proofErr w:type="gramEnd"/>
          </w:p>
        </w:tc>
        <w:tc>
          <w:tcPr>
            <w:tcW w:w="498" w:type="pct"/>
            <w:tcBorders>
              <w:top w:val="single" w:sz="2" w:space="0" w:color="auto"/>
              <w:left w:val="single" w:sz="2" w:space="0" w:color="auto"/>
              <w:bottom w:val="single" w:sz="2" w:space="0" w:color="auto"/>
              <w:right w:val="single" w:sz="2" w:space="0" w:color="auto"/>
            </w:tcBorders>
            <w:vAlign w:val="center"/>
          </w:tcPr>
          <w:p w14:paraId="695C559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1,450,000.00</w:t>
            </w:r>
          </w:p>
        </w:tc>
        <w:tc>
          <w:tcPr>
            <w:tcW w:w="453" w:type="pct"/>
            <w:tcBorders>
              <w:top w:val="single" w:sz="2" w:space="0" w:color="auto"/>
              <w:left w:val="single" w:sz="2" w:space="0" w:color="auto"/>
              <w:bottom w:val="single" w:sz="2" w:space="0" w:color="auto"/>
              <w:right w:val="single" w:sz="2" w:space="0" w:color="auto"/>
            </w:tcBorders>
            <w:vAlign w:val="center"/>
          </w:tcPr>
          <w:p w14:paraId="164BFC6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513,761.47</w:t>
            </w:r>
          </w:p>
        </w:tc>
        <w:tc>
          <w:tcPr>
            <w:tcW w:w="453" w:type="pct"/>
            <w:tcBorders>
              <w:top w:val="single" w:sz="2" w:space="0" w:color="auto"/>
              <w:left w:val="single" w:sz="2" w:space="0" w:color="auto"/>
              <w:bottom w:val="single" w:sz="2" w:space="0" w:color="auto"/>
              <w:right w:val="single" w:sz="2" w:space="0" w:color="auto"/>
            </w:tcBorders>
            <w:vAlign w:val="center"/>
          </w:tcPr>
          <w:p w14:paraId="7C1E31D6"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2D6AD0B6"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75D5943B"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1DA48B8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513,761.47</w:t>
            </w:r>
          </w:p>
        </w:tc>
        <w:tc>
          <w:tcPr>
            <w:tcW w:w="291" w:type="pct"/>
            <w:tcBorders>
              <w:top w:val="single" w:sz="2" w:space="0" w:color="auto"/>
              <w:left w:val="single" w:sz="2" w:space="0" w:color="auto"/>
              <w:bottom w:val="single" w:sz="2" w:space="0" w:color="auto"/>
              <w:right w:val="single" w:sz="2" w:space="0" w:color="auto"/>
            </w:tcBorders>
            <w:vAlign w:val="center"/>
          </w:tcPr>
          <w:p w14:paraId="4C8989B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35.43%</w:t>
            </w:r>
          </w:p>
        </w:tc>
        <w:tc>
          <w:tcPr>
            <w:tcW w:w="187" w:type="pct"/>
            <w:tcBorders>
              <w:top w:val="single" w:sz="2" w:space="0" w:color="auto"/>
              <w:left w:val="single" w:sz="2" w:space="0" w:color="auto"/>
              <w:bottom w:val="single" w:sz="2" w:space="0" w:color="auto"/>
              <w:right w:val="single" w:sz="2" w:space="0" w:color="auto"/>
            </w:tcBorders>
            <w:vAlign w:val="center"/>
          </w:tcPr>
          <w:p w14:paraId="5374285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0.5</w:t>
            </w:r>
          </w:p>
        </w:tc>
        <w:tc>
          <w:tcPr>
            <w:tcW w:w="422" w:type="pct"/>
            <w:tcBorders>
              <w:top w:val="single" w:sz="2" w:space="0" w:color="auto"/>
              <w:left w:val="single" w:sz="2" w:space="0" w:color="auto"/>
              <w:bottom w:val="single" w:sz="2" w:space="0" w:color="auto"/>
              <w:right w:val="single" w:sz="2" w:space="0" w:color="auto"/>
            </w:tcBorders>
            <w:vAlign w:val="center"/>
          </w:tcPr>
          <w:p w14:paraId="2A3D4231"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0B211371"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0EF38E07"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309C49F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31D55D1F"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58882F6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生食蓄水池</w:t>
            </w:r>
          </w:p>
        </w:tc>
        <w:tc>
          <w:tcPr>
            <w:tcW w:w="498" w:type="pct"/>
            <w:tcBorders>
              <w:top w:val="single" w:sz="2" w:space="0" w:color="auto"/>
              <w:left w:val="single" w:sz="2" w:space="0" w:color="auto"/>
              <w:bottom w:val="single" w:sz="2" w:space="0" w:color="auto"/>
              <w:right w:val="single" w:sz="2" w:space="0" w:color="auto"/>
            </w:tcBorders>
            <w:vAlign w:val="center"/>
          </w:tcPr>
          <w:p w14:paraId="7B8F610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1,500,000.00</w:t>
            </w:r>
          </w:p>
        </w:tc>
        <w:tc>
          <w:tcPr>
            <w:tcW w:w="453" w:type="pct"/>
            <w:tcBorders>
              <w:top w:val="single" w:sz="2" w:space="0" w:color="auto"/>
              <w:left w:val="single" w:sz="2" w:space="0" w:color="auto"/>
              <w:bottom w:val="single" w:sz="2" w:space="0" w:color="auto"/>
              <w:right w:val="single" w:sz="2" w:space="0" w:color="auto"/>
            </w:tcBorders>
            <w:vAlign w:val="center"/>
          </w:tcPr>
          <w:p w14:paraId="468B195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4,328.20</w:t>
            </w:r>
          </w:p>
        </w:tc>
        <w:tc>
          <w:tcPr>
            <w:tcW w:w="453" w:type="pct"/>
            <w:tcBorders>
              <w:top w:val="single" w:sz="2" w:space="0" w:color="auto"/>
              <w:left w:val="single" w:sz="2" w:space="0" w:color="auto"/>
              <w:bottom w:val="single" w:sz="2" w:space="0" w:color="auto"/>
              <w:right w:val="single" w:sz="2" w:space="0" w:color="auto"/>
            </w:tcBorders>
            <w:vAlign w:val="center"/>
          </w:tcPr>
          <w:p w14:paraId="61592FD8"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358D659C"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0C7FD9FB"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1FDA308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4,328.20</w:t>
            </w:r>
          </w:p>
        </w:tc>
        <w:tc>
          <w:tcPr>
            <w:tcW w:w="291" w:type="pct"/>
            <w:tcBorders>
              <w:top w:val="single" w:sz="2" w:space="0" w:color="auto"/>
              <w:left w:val="single" w:sz="2" w:space="0" w:color="auto"/>
              <w:bottom w:val="single" w:sz="2" w:space="0" w:color="auto"/>
              <w:right w:val="single" w:sz="2" w:space="0" w:color="auto"/>
            </w:tcBorders>
            <w:vAlign w:val="center"/>
          </w:tcPr>
          <w:p w14:paraId="1084635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0.29%</w:t>
            </w:r>
          </w:p>
        </w:tc>
        <w:tc>
          <w:tcPr>
            <w:tcW w:w="187" w:type="pct"/>
            <w:tcBorders>
              <w:top w:val="single" w:sz="2" w:space="0" w:color="auto"/>
              <w:left w:val="single" w:sz="2" w:space="0" w:color="auto"/>
              <w:bottom w:val="single" w:sz="2" w:space="0" w:color="auto"/>
              <w:right w:val="single" w:sz="2" w:space="0" w:color="auto"/>
            </w:tcBorders>
            <w:vAlign w:val="center"/>
          </w:tcPr>
          <w:p w14:paraId="41E2DDB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0.05</w:t>
            </w:r>
          </w:p>
        </w:tc>
        <w:tc>
          <w:tcPr>
            <w:tcW w:w="422" w:type="pct"/>
            <w:tcBorders>
              <w:top w:val="single" w:sz="2" w:space="0" w:color="auto"/>
              <w:left w:val="single" w:sz="2" w:space="0" w:color="auto"/>
              <w:bottom w:val="single" w:sz="2" w:space="0" w:color="auto"/>
              <w:right w:val="single" w:sz="2" w:space="0" w:color="auto"/>
            </w:tcBorders>
            <w:vAlign w:val="center"/>
          </w:tcPr>
          <w:p w14:paraId="37606D4E"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094E092E"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1C2D3E6"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7A47DC2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36869F00"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6162347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农业品牌培育与大数据建设项目</w:t>
            </w:r>
          </w:p>
        </w:tc>
        <w:tc>
          <w:tcPr>
            <w:tcW w:w="498" w:type="pct"/>
            <w:tcBorders>
              <w:top w:val="single" w:sz="2" w:space="0" w:color="auto"/>
              <w:left w:val="single" w:sz="2" w:space="0" w:color="auto"/>
              <w:bottom w:val="single" w:sz="2" w:space="0" w:color="auto"/>
              <w:right w:val="single" w:sz="2" w:space="0" w:color="auto"/>
            </w:tcBorders>
            <w:vAlign w:val="center"/>
          </w:tcPr>
          <w:p w14:paraId="0F83C10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2,005,500.00</w:t>
            </w:r>
          </w:p>
        </w:tc>
        <w:tc>
          <w:tcPr>
            <w:tcW w:w="453" w:type="pct"/>
            <w:tcBorders>
              <w:top w:val="single" w:sz="2" w:space="0" w:color="auto"/>
              <w:left w:val="single" w:sz="2" w:space="0" w:color="auto"/>
              <w:bottom w:val="single" w:sz="2" w:space="0" w:color="auto"/>
              <w:right w:val="single" w:sz="2" w:space="0" w:color="auto"/>
            </w:tcBorders>
            <w:vAlign w:val="center"/>
          </w:tcPr>
          <w:p w14:paraId="4C8FFBEF"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4AC0DEF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1,985,643.60</w:t>
            </w:r>
          </w:p>
        </w:tc>
        <w:tc>
          <w:tcPr>
            <w:tcW w:w="422" w:type="pct"/>
            <w:tcBorders>
              <w:top w:val="single" w:sz="2" w:space="0" w:color="auto"/>
              <w:left w:val="single" w:sz="2" w:space="0" w:color="auto"/>
              <w:bottom w:val="single" w:sz="2" w:space="0" w:color="auto"/>
              <w:right w:val="single" w:sz="2" w:space="0" w:color="auto"/>
            </w:tcBorders>
            <w:vAlign w:val="center"/>
          </w:tcPr>
          <w:p w14:paraId="6437373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1,985,643.60</w:t>
            </w:r>
          </w:p>
        </w:tc>
        <w:tc>
          <w:tcPr>
            <w:tcW w:w="392" w:type="pct"/>
            <w:tcBorders>
              <w:top w:val="single" w:sz="2" w:space="0" w:color="auto"/>
              <w:left w:val="single" w:sz="2" w:space="0" w:color="auto"/>
              <w:bottom w:val="single" w:sz="2" w:space="0" w:color="auto"/>
              <w:right w:val="single" w:sz="2" w:space="0" w:color="auto"/>
            </w:tcBorders>
            <w:vAlign w:val="center"/>
          </w:tcPr>
          <w:p w14:paraId="354F5397"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3F468A5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291" w:type="pct"/>
            <w:tcBorders>
              <w:top w:val="single" w:sz="2" w:space="0" w:color="auto"/>
              <w:left w:val="single" w:sz="2" w:space="0" w:color="auto"/>
              <w:bottom w:val="single" w:sz="2" w:space="0" w:color="auto"/>
              <w:right w:val="single" w:sz="2" w:space="0" w:color="auto"/>
            </w:tcBorders>
            <w:vAlign w:val="center"/>
          </w:tcPr>
          <w:p w14:paraId="103523B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99.01%</w:t>
            </w:r>
          </w:p>
        </w:tc>
        <w:tc>
          <w:tcPr>
            <w:tcW w:w="187" w:type="pct"/>
            <w:tcBorders>
              <w:top w:val="single" w:sz="2" w:space="0" w:color="auto"/>
              <w:left w:val="single" w:sz="2" w:space="0" w:color="auto"/>
              <w:bottom w:val="single" w:sz="2" w:space="0" w:color="auto"/>
              <w:right w:val="single" w:sz="2" w:space="0" w:color="auto"/>
            </w:tcBorders>
            <w:vAlign w:val="center"/>
          </w:tcPr>
          <w:p w14:paraId="61A6DDB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422" w:type="pct"/>
            <w:tcBorders>
              <w:top w:val="single" w:sz="2" w:space="0" w:color="auto"/>
              <w:left w:val="single" w:sz="2" w:space="0" w:color="auto"/>
              <w:bottom w:val="single" w:sz="2" w:space="0" w:color="auto"/>
              <w:right w:val="single" w:sz="2" w:space="0" w:color="auto"/>
            </w:tcBorders>
            <w:vAlign w:val="center"/>
          </w:tcPr>
          <w:p w14:paraId="5995B4D0"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5F4673E4"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2CD8D3FC"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549427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1C0FF311"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658E947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酱卤车间搬迁及真空车间改造项目</w:t>
            </w:r>
          </w:p>
        </w:tc>
        <w:tc>
          <w:tcPr>
            <w:tcW w:w="498" w:type="pct"/>
            <w:tcBorders>
              <w:top w:val="single" w:sz="2" w:space="0" w:color="auto"/>
              <w:left w:val="single" w:sz="2" w:space="0" w:color="auto"/>
              <w:bottom w:val="single" w:sz="2" w:space="0" w:color="auto"/>
              <w:right w:val="single" w:sz="2" w:space="0" w:color="auto"/>
            </w:tcBorders>
            <w:vAlign w:val="center"/>
          </w:tcPr>
          <w:p w14:paraId="29E1C44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3,610,000.00</w:t>
            </w:r>
          </w:p>
        </w:tc>
        <w:tc>
          <w:tcPr>
            <w:tcW w:w="453" w:type="pct"/>
            <w:tcBorders>
              <w:top w:val="single" w:sz="2" w:space="0" w:color="auto"/>
              <w:left w:val="single" w:sz="2" w:space="0" w:color="auto"/>
              <w:bottom w:val="single" w:sz="2" w:space="0" w:color="auto"/>
              <w:right w:val="single" w:sz="2" w:space="0" w:color="auto"/>
            </w:tcBorders>
            <w:vAlign w:val="center"/>
          </w:tcPr>
          <w:p w14:paraId="553318ED"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24502D1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1,482,357.15</w:t>
            </w:r>
          </w:p>
        </w:tc>
        <w:tc>
          <w:tcPr>
            <w:tcW w:w="422" w:type="pct"/>
            <w:tcBorders>
              <w:top w:val="single" w:sz="2" w:space="0" w:color="auto"/>
              <w:left w:val="single" w:sz="2" w:space="0" w:color="auto"/>
              <w:bottom w:val="single" w:sz="2" w:space="0" w:color="auto"/>
              <w:right w:val="single" w:sz="2" w:space="0" w:color="auto"/>
            </w:tcBorders>
            <w:vAlign w:val="center"/>
          </w:tcPr>
          <w:p w14:paraId="32DEA1E6"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21F5C687"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6CCDF7F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1,482,357.15</w:t>
            </w:r>
          </w:p>
        </w:tc>
        <w:tc>
          <w:tcPr>
            <w:tcW w:w="291" w:type="pct"/>
            <w:tcBorders>
              <w:top w:val="single" w:sz="2" w:space="0" w:color="auto"/>
              <w:left w:val="single" w:sz="2" w:space="0" w:color="auto"/>
              <w:bottom w:val="single" w:sz="2" w:space="0" w:color="auto"/>
              <w:right w:val="single" w:sz="2" w:space="0" w:color="auto"/>
            </w:tcBorders>
            <w:vAlign w:val="center"/>
          </w:tcPr>
          <w:p w14:paraId="34ADBCA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41.06%</w:t>
            </w:r>
          </w:p>
        </w:tc>
        <w:tc>
          <w:tcPr>
            <w:tcW w:w="187" w:type="pct"/>
            <w:tcBorders>
              <w:top w:val="single" w:sz="2" w:space="0" w:color="auto"/>
              <w:left w:val="single" w:sz="2" w:space="0" w:color="auto"/>
              <w:bottom w:val="single" w:sz="2" w:space="0" w:color="auto"/>
              <w:right w:val="single" w:sz="2" w:space="0" w:color="auto"/>
            </w:tcBorders>
            <w:vAlign w:val="center"/>
          </w:tcPr>
          <w:p w14:paraId="082B464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0.95</w:t>
            </w:r>
          </w:p>
        </w:tc>
        <w:tc>
          <w:tcPr>
            <w:tcW w:w="422" w:type="pct"/>
            <w:tcBorders>
              <w:top w:val="single" w:sz="2" w:space="0" w:color="auto"/>
              <w:left w:val="single" w:sz="2" w:space="0" w:color="auto"/>
              <w:bottom w:val="single" w:sz="2" w:space="0" w:color="auto"/>
              <w:right w:val="single" w:sz="2" w:space="0" w:color="auto"/>
            </w:tcBorders>
            <w:vAlign w:val="center"/>
          </w:tcPr>
          <w:p w14:paraId="7F341C68"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0D32C356"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6F7C6FF7"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3E039A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5111E2BE"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2AEC864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工厂直营冷鲜肉批零中心（莱阳工厂店）建设项目</w:t>
            </w:r>
          </w:p>
        </w:tc>
        <w:tc>
          <w:tcPr>
            <w:tcW w:w="498" w:type="pct"/>
            <w:tcBorders>
              <w:top w:val="single" w:sz="2" w:space="0" w:color="auto"/>
              <w:left w:val="single" w:sz="2" w:space="0" w:color="auto"/>
              <w:bottom w:val="single" w:sz="2" w:space="0" w:color="auto"/>
              <w:right w:val="single" w:sz="2" w:space="0" w:color="auto"/>
            </w:tcBorders>
            <w:vAlign w:val="center"/>
          </w:tcPr>
          <w:p w14:paraId="4EE826F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188,000.00</w:t>
            </w:r>
          </w:p>
        </w:tc>
        <w:tc>
          <w:tcPr>
            <w:tcW w:w="453" w:type="pct"/>
            <w:tcBorders>
              <w:top w:val="single" w:sz="2" w:space="0" w:color="auto"/>
              <w:left w:val="single" w:sz="2" w:space="0" w:color="auto"/>
              <w:bottom w:val="single" w:sz="2" w:space="0" w:color="auto"/>
              <w:right w:val="single" w:sz="2" w:space="0" w:color="auto"/>
            </w:tcBorders>
            <w:vAlign w:val="center"/>
          </w:tcPr>
          <w:p w14:paraId="3B2C7F8B"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3525C3D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34,495.41</w:t>
            </w:r>
          </w:p>
        </w:tc>
        <w:tc>
          <w:tcPr>
            <w:tcW w:w="422" w:type="pct"/>
            <w:tcBorders>
              <w:top w:val="single" w:sz="2" w:space="0" w:color="auto"/>
              <w:left w:val="single" w:sz="2" w:space="0" w:color="auto"/>
              <w:bottom w:val="single" w:sz="2" w:space="0" w:color="auto"/>
              <w:right w:val="single" w:sz="2" w:space="0" w:color="auto"/>
            </w:tcBorders>
            <w:vAlign w:val="center"/>
          </w:tcPr>
          <w:p w14:paraId="04D73932"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4FB9F314"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2BAF1DC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34,495.41</w:t>
            </w:r>
          </w:p>
        </w:tc>
        <w:tc>
          <w:tcPr>
            <w:tcW w:w="291" w:type="pct"/>
            <w:tcBorders>
              <w:top w:val="single" w:sz="2" w:space="0" w:color="auto"/>
              <w:left w:val="single" w:sz="2" w:space="0" w:color="auto"/>
              <w:bottom w:val="single" w:sz="2" w:space="0" w:color="auto"/>
              <w:right w:val="single" w:sz="2" w:space="0" w:color="auto"/>
            </w:tcBorders>
            <w:vAlign w:val="center"/>
          </w:tcPr>
          <w:p w14:paraId="7816617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18.35%</w:t>
            </w:r>
          </w:p>
        </w:tc>
        <w:tc>
          <w:tcPr>
            <w:tcW w:w="187" w:type="pct"/>
            <w:tcBorders>
              <w:top w:val="single" w:sz="2" w:space="0" w:color="auto"/>
              <w:left w:val="single" w:sz="2" w:space="0" w:color="auto"/>
              <w:bottom w:val="single" w:sz="2" w:space="0" w:color="auto"/>
              <w:right w:val="single" w:sz="2" w:space="0" w:color="auto"/>
            </w:tcBorders>
            <w:vAlign w:val="center"/>
          </w:tcPr>
          <w:p w14:paraId="0DA6DE7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w:t>
            </w:r>
          </w:p>
        </w:tc>
        <w:tc>
          <w:tcPr>
            <w:tcW w:w="422" w:type="pct"/>
            <w:tcBorders>
              <w:top w:val="single" w:sz="2" w:space="0" w:color="auto"/>
              <w:left w:val="single" w:sz="2" w:space="0" w:color="auto"/>
              <w:bottom w:val="single" w:sz="2" w:space="0" w:color="auto"/>
              <w:right w:val="single" w:sz="2" w:space="0" w:color="auto"/>
            </w:tcBorders>
            <w:vAlign w:val="center"/>
          </w:tcPr>
          <w:p w14:paraId="55B13DFE"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0BA40D0C"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2F953BAF"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0B1F768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7DA1E219"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36346F7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龙大美食数字化平台生食生产系统</w:t>
            </w:r>
          </w:p>
        </w:tc>
        <w:tc>
          <w:tcPr>
            <w:tcW w:w="498" w:type="pct"/>
            <w:tcBorders>
              <w:top w:val="single" w:sz="2" w:space="0" w:color="auto"/>
              <w:left w:val="single" w:sz="2" w:space="0" w:color="auto"/>
              <w:bottom w:val="single" w:sz="2" w:space="0" w:color="auto"/>
              <w:right w:val="single" w:sz="2" w:space="0" w:color="auto"/>
            </w:tcBorders>
            <w:vAlign w:val="center"/>
          </w:tcPr>
          <w:p w14:paraId="14A5C7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3,720,000.00</w:t>
            </w:r>
          </w:p>
        </w:tc>
        <w:tc>
          <w:tcPr>
            <w:tcW w:w="453" w:type="pct"/>
            <w:tcBorders>
              <w:top w:val="single" w:sz="2" w:space="0" w:color="auto"/>
              <w:left w:val="single" w:sz="2" w:space="0" w:color="auto"/>
              <w:bottom w:val="single" w:sz="2" w:space="0" w:color="auto"/>
              <w:right w:val="single" w:sz="2" w:space="0" w:color="auto"/>
            </w:tcBorders>
            <w:vAlign w:val="center"/>
          </w:tcPr>
          <w:p w14:paraId="36E0A991"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63D5FB0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732,743.36</w:t>
            </w:r>
          </w:p>
        </w:tc>
        <w:tc>
          <w:tcPr>
            <w:tcW w:w="422" w:type="pct"/>
            <w:tcBorders>
              <w:top w:val="single" w:sz="2" w:space="0" w:color="auto"/>
              <w:left w:val="single" w:sz="2" w:space="0" w:color="auto"/>
              <w:bottom w:val="single" w:sz="2" w:space="0" w:color="auto"/>
              <w:right w:val="single" w:sz="2" w:space="0" w:color="auto"/>
            </w:tcBorders>
            <w:vAlign w:val="center"/>
          </w:tcPr>
          <w:p w14:paraId="230B8C0A"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0D082F55"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0E0C7F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732,743.36</w:t>
            </w:r>
          </w:p>
        </w:tc>
        <w:tc>
          <w:tcPr>
            <w:tcW w:w="291" w:type="pct"/>
            <w:tcBorders>
              <w:top w:val="single" w:sz="2" w:space="0" w:color="auto"/>
              <w:left w:val="single" w:sz="2" w:space="0" w:color="auto"/>
              <w:bottom w:val="single" w:sz="2" w:space="0" w:color="auto"/>
              <w:right w:val="single" w:sz="2" w:space="0" w:color="auto"/>
            </w:tcBorders>
            <w:vAlign w:val="center"/>
          </w:tcPr>
          <w:p w14:paraId="1079F2D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19.70%</w:t>
            </w:r>
          </w:p>
        </w:tc>
        <w:tc>
          <w:tcPr>
            <w:tcW w:w="187" w:type="pct"/>
            <w:tcBorders>
              <w:top w:val="single" w:sz="2" w:space="0" w:color="auto"/>
              <w:left w:val="single" w:sz="2" w:space="0" w:color="auto"/>
              <w:bottom w:val="single" w:sz="2" w:space="0" w:color="auto"/>
              <w:right w:val="single" w:sz="2" w:space="0" w:color="auto"/>
            </w:tcBorders>
            <w:vAlign w:val="center"/>
          </w:tcPr>
          <w:p w14:paraId="31661E5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0.1</w:t>
            </w:r>
          </w:p>
        </w:tc>
        <w:tc>
          <w:tcPr>
            <w:tcW w:w="422" w:type="pct"/>
            <w:tcBorders>
              <w:top w:val="single" w:sz="2" w:space="0" w:color="auto"/>
              <w:left w:val="single" w:sz="2" w:space="0" w:color="auto"/>
              <w:bottom w:val="single" w:sz="2" w:space="0" w:color="auto"/>
              <w:right w:val="single" w:sz="2" w:space="0" w:color="auto"/>
            </w:tcBorders>
            <w:vAlign w:val="center"/>
          </w:tcPr>
          <w:p w14:paraId="35A6A93A"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55B6E3B2"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644A0465"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069783A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6105B5CE"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466BC9C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批发部改造</w:t>
            </w:r>
          </w:p>
        </w:tc>
        <w:tc>
          <w:tcPr>
            <w:tcW w:w="498" w:type="pct"/>
            <w:tcBorders>
              <w:top w:val="single" w:sz="2" w:space="0" w:color="auto"/>
              <w:left w:val="single" w:sz="2" w:space="0" w:color="auto"/>
              <w:bottom w:val="single" w:sz="2" w:space="0" w:color="auto"/>
              <w:right w:val="single" w:sz="2" w:space="0" w:color="auto"/>
            </w:tcBorders>
            <w:vAlign w:val="center"/>
          </w:tcPr>
          <w:p w14:paraId="302891F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1,500,000.00</w:t>
            </w:r>
          </w:p>
        </w:tc>
        <w:tc>
          <w:tcPr>
            <w:tcW w:w="453" w:type="pct"/>
            <w:tcBorders>
              <w:top w:val="single" w:sz="2" w:space="0" w:color="auto"/>
              <w:left w:val="single" w:sz="2" w:space="0" w:color="auto"/>
              <w:bottom w:val="single" w:sz="2" w:space="0" w:color="auto"/>
              <w:right w:val="single" w:sz="2" w:space="0" w:color="auto"/>
            </w:tcBorders>
            <w:vAlign w:val="center"/>
          </w:tcPr>
          <w:p w14:paraId="1F746CD3"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507FA80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146,974.40</w:t>
            </w:r>
          </w:p>
        </w:tc>
        <w:tc>
          <w:tcPr>
            <w:tcW w:w="422" w:type="pct"/>
            <w:tcBorders>
              <w:top w:val="single" w:sz="2" w:space="0" w:color="auto"/>
              <w:left w:val="single" w:sz="2" w:space="0" w:color="auto"/>
              <w:bottom w:val="single" w:sz="2" w:space="0" w:color="auto"/>
              <w:right w:val="single" w:sz="2" w:space="0" w:color="auto"/>
            </w:tcBorders>
            <w:vAlign w:val="center"/>
          </w:tcPr>
          <w:p w14:paraId="4C5EECEA"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70B39FF3"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360C306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146,974.40</w:t>
            </w:r>
          </w:p>
        </w:tc>
        <w:tc>
          <w:tcPr>
            <w:tcW w:w="291" w:type="pct"/>
            <w:tcBorders>
              <w:top w:val="single" w:sz="2" w:space="0" w:color="auto"/>
              <w:left w:val="single" w:sz="2" w:space="0" w:color="auto"/>
              <w:bottom w:val="single" w:sz="2" w:space="0" w:color="auto"/>
              <w:right w:val="single" w:sz="2" w:space="0" w:color="auto"/>
            </w:tcBorders>
            <w:vAlign w:val="center"/>
          </w:tcPr>
          <w:p w14:paraId="0CA9B47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9.80%</w:t>
            </w:r>
          </w:p>
        </w:tc>
        <w:tc>
          <w:tcPr>
            <w:tcW w:w="187" w:type="pct"/>
            <w:tcBorders>
              <w:top w:val="single" w:sz="2" w:space="0" w:color="auto"/>
              <w:left w:val="single" w:sz="2" w:space="0" w:color="auto"/>
              <w:bottom w:val="single" w:sz="2" w:space="0" w:color="auto"/>
              <w:right w:val="single" w:sz="2" w:space="0" w:color="auto"/>
            </w:tcBorders>
            <w:vAlign w:val="center"/>
          </w:tcPr>
          <w:p w14:paraId="657CF2E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w:t>
            </w:r>
          </w:p>
        </w:tc>
        <w:tc>
          <w:tcPr>
            <w:tcW w:w="422" w:type="pct"/>
            <w:tcBorders>
              <w:top w:val="single" w:sz="2" w:space="0" w:color="auto"/>
              <w:left w:val="single" w:sz="2" w:space="0" w:color="auto"/>
              <w:bottom w:val="single" w:sz="2" w:space="0" w:color="auto"/>
              <w:right w:val="single" w:sz="2" w:space="0" w:color="auto"/>
            </w:tcBorders>
            <w:vAlign w:val="center"/>
          </w:tcPr>
          <w:p w14:paraId="058042B2"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248B5CEA"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17843F8"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4DD4351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0552D196"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331C82B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预制菜研发检测车间项目</w:t>
            </w:r>
          </w:p>
        </w:tc>
        <w:tc>
          <w:tcPr>
            <w:tcW w:w="498" w:type="pct"/>
            <w:tcBorders>
              <w:top w:val="single" w:sz="2" w:space="0" w:color="auto"/>
              <w:left w:val="single" w:sz="2" w:space="0" w:color="auto"/>
              <w:bottom w:val="single" w:sz="2" w:space="0" w:color="auto"/>
              <w:right w:val="single" w:sz="2" w:space="0" w:color="auto"/>
            </w:tcBorders>
            <w:vAlign w:val="center"/>
          </w:tcPr>
          <w:p w14:paraId="67D083D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6,000,000.00</w:t>
            </w:r>
          </w:p>
        </w:tc>
        <w:tc>
          <w:tcPr>
            <w:tcW w:w="453" w:type="pct"/>
            <w:tcBorders>
              <w:top w:val="single" w:sz="2" w:space="0" w:color="auto"/>
              <w:left w:val="single" w:sz="2" w:space="0" w:color="auto"/>
              <w:bottom w:val="single" w:sz="2" w:space="0" w:color="auto"/>
              <w:right w:val="single" w:sz="2" w:space="0" w:color="auto"/>
            </w:tcBorders>
            <w:vAlign w:val="center"/>
          </w:tcPr>
          <w:p w14:paraId="455FDB7A"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0973AC8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20,361.93</w:t>
            </w:r>
          </w:p>
        </w:tc>
        <w:tc>
          <w:tcPr>
            <w:tcW w:w="422" w:type="pct"/>
            <w:tcBorders>
              <w:top w:val="single" w:sz="2" w:space="0" w:color="auto"/>
              <w:left w:val="single" w:sz="2" w:space="0" w:color="auto"/>
              <w:bottom w:val="single" w:sz="2" w:space="0" w:color="auto"/>
              <w:right w:val="single" w:sz="2" w:space="0" w:color="auto"/>
            </w:tcBorders>
            <w:vAlign w:val="center"/>
          </w:tcPr>
          <w:p w14:paraId="35AE0B96"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70FF45D7"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0C274CD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20,361.93</w:t>
            </w:r>
          </w:p>
        </w:tc>
        <w:tc>
          <w:tcPr>
            <w:tcW w:w="291" w:type="pct"/>
            <w:tcBorders>
              <w:top w:val="single" w:sz="2" w:space="0" w:color="auto"/>
              <w:left w:val="single" w:sz="2" w:space="0" w:color="auto"/>
              <w:bottom w:val="single" w:sz="2" w:space="0" w:color="auto"/>
              <w:right w:val="single" w:sz="2" w:space="0" w:color="auto"/>
            </w:tcBorders>
            <w:vAlign w:val="center"/>
          </w:tcPr>
          <w:p w14:paraId="5ABB477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0.34%</w:t>
            </w:r>
          </w:p>
        </w:tc>
        <w:tc>
          <w:tcPr>
            <w:tcW w:w="187" w:type="pct"/>
            <w:tcBorders>
              <w:top w:val="single" w:sz="2" w:space="0" w:color="auto"/>
              <w:left w:val="single" w:sz="2" w:space="0" w:color="auto"/>
              <w:bottom w:val="single" w:sz="2" w:space="0" w:color="auto"/>
              <w:right w:val="single" w:sz="2" w:space="0" w:color="auto"/>
            </w:tcBorders>
            <w:vAlign w:val="center"/>
          </w:tcPr>
          <w:p w14:paraId="5DB09F8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0.01</w:t>
            </w:r>
          </w:p>
        </w:tc>
        <w:tc>
          <w:tcPr>
            <w:tcW w:w="422" w:type="pct"/>
            <w:tcBorders>
              <w:top w:val="single" w:sz="2" w:space="0" w:color="auto"/>
              <w:left w:val="single" w:sz="2" w:space="0" w:color="auto"/>
              <w:bottom w:val="single" w:sz="2" w:space="0" w:color="auto"/>
              <w:right w:val="single" w:sz="2" w:space="0" w:color="auto"/>
            </w:tcBorders>
            <w:vAlign w:val="center"/>
          </w:tcPr>
          <w:p w14:paraId="5BE3EF74"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52661BF1"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324ACE7C"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7AE02E0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1387DE02"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553F118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速冻</w:t>
            </w:r>
            <w:proofErr w:type="gramStart"/>
            <w:r w:rsidRPr="00F614F9">
              <w:rPr>
                <w:rFonts w:ascii="Times New Roman" w:eastAsia="宋体" w:hAnsi="Times New Roman" w:cs="宋体"/>
                <w:sz w:val="18"/>
                <w:szCs w:val="18"/>
              </w:rPr>
              <w:t>库改造</w:t>
            </w:r>
            <w:proofErr w:type="gramEnd"/>
          </w:p>
        </w:tc>
        <w:tc>
          <w:tcPr>
            <w:tcW w:w="498" w:type="pct"/>
            <w:tcBorders>
              <w:top w:val="single" w:sz="2" w:space="0" w:color="auto"/>
              <w:left w:val="single" w:sz="2" w:space="0" w:color="auto"/>
              <w:bottom w:val="single" w:sz="2" w:space="0" w:color="auto"/>
              <w:right w:val="single" w:sz="2" w:space="0" w:color="auto"/>
            </w:tcBorders>
            <w:vAlign w:val="center"/>
          </w:tcPr>
          <w:p w14:paraId="6F903E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6,730,000.00</w:t>
            </w:r>
          </w:p>
        </w:tc>
        <w:tc>
          <w:tcPr>
            <w:tcW w:w="453" w:type="pct"/>
            <w:tcBorders>
              <w:top w:val="single" w:sz="2" w:space="0" w:color="auto"/>
              <w:left w:val="single" w:sz="2" w:space="0" w:color="auto"/>
              <w:bottom w:val="single" w:sz="2" w:space="0" w:color="auto"/>
              <w:right w:val="single" w:sz="2" w:space="0" w:color="auto"/>
            </w:tcBorders>
            <w:vAlign w:val="center"/>
          </w:tcPr>
          <w:p w14:paraId="0BA9B35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1,614,295.76</w:t>
            </w:r>
          </w:p>
        </w:tc>
        <w:tc>
          <w:tcPr>
            <w:tcW w:w="453" w:type="pct"/>
            <w:tcBorders>
              <w:top w:val="single" w:sz="2" w:space="0" w:color="auto"/>
              <w:left w:val="single" w:sz="2" w:space="0" w:color="auto"/>
              <w:bottom w:val="single" w:sz="2" w:space="0" w:color="auto"/>
              <w:right w:val="single" w:sz="2" w:space="0" w:color="auto"/>
            </w:tcBorders>
            <w:vAlign w:val="center"/>
          </w:tcPr>
          <w:p w14:paraId="085308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976,749.54</w:t>
            </w:r>
          </w:p>
        </w:tc>
        <w:tc>
          <w:tcPr>
            <w:tcW w:w="422" w:type="pct"/>
            <w:tcBorders>
              <w:top w:val="single" w:sz="2" w:space="0" w:color="auto"/>
              <w:left w:val="single" w:sz="2" w:space="0" w:color="auto"/>
              <w:bottom w:val="single" w:sz="2" w:space="0" w:color="auto"/>
              <w:right w:val="single" w:sz="2" w:space="0" w:color="auto"/>
            </w:tcBorders>
            <w:vAlign w:val="center"/>
          </w:tcPr>
          <w:p w14:paraId="748BFA8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2,591,045.30</w:t>
            </w:r>
          </w:p>
        </w:tc>
        <w:tc>
          <w:tcPr>
            <w:tcW w:w="392" w:type="pct"/>
            <w:tcBorders>
              <w:top w:val="single" w:sz="2" w:space="0" w:color="auto"/>
              <w:left w:val="single" w:sz="2" w:space="0" w:color="auto"/>
              <w:bottom w:val="single" w:sz="2" w:space="0" w:color="auto"/>
              <w:right w:val="single" w:sz="2" w:space="0" w:color="auto"/>
            </w:tcBorders>
            <w:vAlign w:val="center"/>
          </w:tcPr>
          <w:p w14:paraId="39178847"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56D3E74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291" w:type="pct"/>
            <w:tcBorders>
              <w:top w:val="single" w:sz="2" w:space="0" w:color="auto"/>
              <w:left w:val="single" w:sz="2" w:space="0" w:color="auto"/>
              <w:bottom w:val="single" w:sz="2" w:space="0" w:color="auto"/>
              <w:right w:val="single" w:sz="2" w:space="0" w:color="auto"/>
            </w:tcBorders>
            <w:vAlign w:val="center"/>
          </w:tcPr>
          <w:p w14:paraId="1A5C86A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38.50%</w:t>
            </w:r>
          </w:p>
        </w:tc>
        <w:tc>
          <w:tcPr>
            <w:tcW w:w="187" w:type="pct"/>
            <w:tcBorders>
              <w:top w:val="single" w:sz="2" w:space="0" w:color="auto"/>
              <w:left w:val="single" w:sz="2" w:space="0" w:color="auto"/>
              <w:bottom w:val="single" w:sz="2" w:space="0" w:color="auto"/>
              <w:right w:val="single" w:sz="2" w:space="0" w:color="auto"/>
            </w:tcBorders>
            <w:vAlign w:val="center"/>
          </w:tcPr>
          <w:p w14:paraId="6AA78CA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422" w:type="pct"/>
            <w:tcBorders>
              <w:top w:val="single" w:sz="2" w:space="0" w:color="auto"/>
              <w:left w:val="single" w:sz="2" w:space="0" w:color="auto"/>
              <w:bottom w:val="single" w:sz="2" w:space="0" w:color="auto"/>
              <w:right w:val="single" w:sz="2" w:space="0" w:color="auto"/>
            </w:tcBorders>
            <w:vAlign w:val="center"/>
          </w:tcPr>
          <w:p w14:paraId="38CC2C3A"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0BC97814"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4B1043EC"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4A0A987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513B09BE"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5E5C9ED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精加工车间改造（二期）</w:t>
            </w:r>
          </w:p>
        </w:tc>
        <w:tc>
          <w:tcPr>
            <w:tcW w:w="498" w:type="pct"/>
            <w:tcBorders>
              <w:top w:val="single" w:sz="2" w:space="0" w:color="auto"/>
              <w:left w:val="single" w:sz="2" w:space="0" w:color="auto"/>
              <w:bottom w:val="single" w:sz="2" w:space="0" w:color="auto"/>
              <w:right w:val="single" w:sz="2" w:space="0" w:color="auto"/>
            </w:tcBorders>
            <w:vAlign w:val="center"/>
          </w:tcPr>
          <w:p w14:paraId="224737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4,283,800.00</w:t>
            </w:r>
          </w:p>
        </w:tc>
        <w:tc>
          <w:tcPr>
            <w:tcW w:w="453" w:type="pct"/>
            <w:tcBorders>
              <w:top w:val="single" w:sz="2" w:space="0" w:color="auto"/>
              <w:left w:val="single" w:sz="2" w:space="0" w:color="auto"/>
              <w:bottom w:val="single" w:sz="2" w:space="0" w:color="auto"/>
              <w:right w:val="single" w:sz="2" w:space="0" w:color="auto"/>
            </w:tcBorders>
            <w:vAlign w:val="center"/>
          </w:tcPr>
          <w:p w14:paraId="211EE66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1,376,146.80</w:t>
            </w:r>
          </w:p>
        </w:tc>
        <w:tc>
          <w:tcPr>
            <w:tcW w:w="453" w:type="pct"/>
            <w:tcBorders>
              <w:top w:val="single" w:sz="2" w:space="0" w:color="auto"/>
              <w:left w:val="single" w:sz="2" w:space="0" w:color="auto"/>
              <w:bottom w:val="single" w:sz="2" w:space="0" w:color="auto"/>
              <w:right w:val="single" w:sz="2" w:space="0" w:color="auto"/>
            </w:tcBorders>
            <w:vAlign w:val="center"/>
          </w:tcPr>
          <w:p w14:paraId="397A66B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3,003,929.53</w:t>
            </w:r>
          </w:p>
        </w:tc>
        <w:tc>
          <w:tcPr>
            <w:tcW w:w="422" w:type="pct"/>
            <w:tcBorders>
              <w:top w:val="single" w:sz="2" w:space="0" w:color="auto"/>
              <w:left w:val="single" w:sz="2" w:space="0" w:color="auto"/>
              <w:bottom w:val="single" w:sz="2" w:space="0" w:color="auto"/>
              <w:right w:val="single" w:sz="2" w:space="0" w:color="auto"/>
            </w:tcBorders>
            <w:vAlign w:val="center"/>
          </w:tcPr>
          <w:p w14:paraId="27C478F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4,380,076.33</w:t>
            </w:r>
          </w:p>
        </w:tc>
        <w:tc>
          <w:tcPr>
            <w:tcW w:w="392" w:type="pct"/>
            <w:tcBorders>
              <w:top w:val="single" w:sz="2" w:space="0" w:color="auto"/>
              <w:left w:val="single" w:sz="2" w:space="0" w:color="auto"/>
              <w:bottom w:val="single" w:sz="2" w:space="0" w:color="auto"/>
              <w:right w:val="single" w:sz="2" w:space="0" w:color="auto"/>
            </w:tcBorders>
            <w:vAlign w:val="center"/>
          </w:tcPr>
          <w:p w14:paraId="37626651"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54FBF43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291" w:type="pct"/>
            <w:tcBorders>
              <w:top w:val="single" w:sz="2" w:space="0" w:color="auto"/>
              <w:left w:val="single" w:sz="2" w:space="0" w:color="auto"/>
              <w:bottom w:val="single" w:sz="2" w:space="0" w:color="auto"/>
              <w:right w:val="single" w:sz="2" w:space="0" w:color="auto"/>
            </w:tcBorders>
            <w:vAlign w:val="center"/>
          </w:tcPr>
          <w:p w14:paraId="60D3A93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102.25%</w:t>
            </w:r>
          </w:p>
        </w:tc>
        <w:tc>
          <w:tcPr>
            <w:tcW w:w="187" w:type="pct"/>
            <w:tcBorders>
              <w:top w:val="single" w:sz="2" w:space="0" w:color="auto"/>
              <w:left w:val="single" w:sz="2" w:space="0" w:color="auto"/>
              <w:bottom w:val="single" w:sz="2" w:space="0" w:color="auto"/>
              <w:right w:val="single" w:sz="2" w:space="0" w:color="auto"/>
            </w:tcBorders>
            <w:vAlign w:val="center"/>
          </w:tcPr>
          <w:p w14:paraId="330F32F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422" w:type="pct"/>
            <w:tcBorders>
              <w:top w:val="single" w:sz="2" w:space="0" w:color="auto"/>
              <w:left w:val="single" w:sz="2" w:space="0" w:color="auto"/>
              <w:bottom w:val="single" w:sz="2" w:space="0" w:color="auto"/>
              <w:right w:val="single" w:sz="2" w:space="0" w:color="auto"/>
            </w:tcBorders>
            <w:vAlign w:val="center"/>
          </w:tcPr>
          <w:p w14:paraId="69221579"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5B9EBF90"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7427D3C5"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36F4325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43CEA5C5"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60F1A05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北机房制冷改造</w:t>
            </w:r>
          </w:p>
        </w:tc>
        <w:tc>
          <w:tcPr>
            <w:tcW w:w="498" w:type="pct"/>
            <w:tcBorders>
              <w:top w:val="single" w:sz="2" w:space="0" w:color="auto"/>
              <w:left w:val="single" w:sz="2" w:space="0" w:color="auto"/>
              <w:bottom w:val="single" w:sz="2" w:space="0" w:color="auto"/>
              <w:right w:val="single" w:sz="2" w:space="0" w:color="auto"/>
            </w:tcBorders>
            <w:vAlign w:val="center"/>
          </w:tcPr>
          <w:p w14:paraId="30A09C5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695,428.42</w:t>
            </w:r>
          </w:p>
        </w:tc>
        <w:tc>
          <w:tcPr>
            <w:tcW w:w="453" w:type="pct"/>
            <w:tcBorders>
              <w:top w:val="single" w:sz="2" w:space="0" w:color="auto"/>
              <w:left w:val="single" w:sz="2" w:space="0" w:color="auto"/>
              <w:bottom w:val="single" w:sz="2" w:space="0" w:color="auto"/>
              <w:right w:val="single" w:sz="2" w:space="0" w:color="auto"/>
            </w:tcBorders>
            <w:vAlign w:val="center"/>
          </w:tcPr>
          <w:p w14:paraId="1C9AB00A"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756041D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695,428.42</w:t>
            </w:r>
          </w:p>
        </w:tc>
        <w:tc>
          <w:tcPr>
            <w:tcW w:w="422" w:type="pct"/>
            <w:tcBorders>
              <w:top w:val="single" w:sz="2" w:space="0" w:color="auto"/>
              <w:left w:val="single" w:sz="2" w:space="0" w:color="auto"/>
              <w:bottom w:val="single" w:sz="2" w:space="0" w:color="auto"/>
              <w:right w:val="single" w:sz="2" w:space="0" w:color="auto"/>
            </w:tcBorders>
            <w:vAlign w:val="center"/>
          </w:tcPr>
          <w:p w14:paraId="08CA45D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695,428.42</w:t>
            </w:r>
          </w:p>
        </w:tc>
        <w:tc>
          <w:tcPr>
            <w:tcW w:w="392" w:type="pct"/>
            <w:tcBorders>
              <w:top w:val="single" w:sz="2" w:space="0" w:color="auto"/>
              <w:left w:val="single" w:sz="2" w:space="0" w:color="auto"/>
              <w:bottom w:val="single" w:sz="2" w:space="0" w:color="auto"/>
              <w:right w:val="single" w:sz="2" w:space="0" w:color="auto"/>
            </w:tcBorders>
            <w:vAlign w:val="center"/>
          </w:tcPr>
          <w:p w14:paraId="52E56107"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44C83E4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291" w:type="pct"/>
            <w:tcBorders>
              <w:top w:val="single" w:sz="2" w:space="0" w:color="auto"/>
              <w:left w:val="single" w:sz="2" w:space="0" w:color="auto"/>
              <w:bottom w:val="single" w:sz="2" w:space="0" w:color="auto"/>
              <w:right w:val="single" w:sz="2" w:space="0" w:color="auto"/>
            </w:tcBorders>
            <w:vAlign w:val="center"/>
          </w:tcPr>
          <w:p w14:paraId="510A29D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87" w:type="pct"/>
            <w:tcBorders>
              <w:top w:val="single" w:sz="2" w:space="0" w:color="auto"/>
              <w:left w:val="single" w:sz="2" w:space="0" w:color="auto"/>
              <w:bottom w:val="single" w:sz="2" w:space="0" w:color="auto"/>
              <w:right w:val="single" w:sz="2" w:space="0" w:color="auto"/>
            </w:tcBorders>
            <w:vAlign w:val="center"/>
          </w:tcPr>
          <w:p w14:paraId="0DF42D9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422" w:type="pct"/>
            <w:tcBorders>
              <w:top w:val="single" w:sz="2" w:space="0" w:color="auto"/>
              <w:left w:val="single" w:sz="2" w:space="0" w:color="auto"/>
              <w:bottom w:val="single" w:sz="2" w:space="0" w:color="auto"/>
              <w:right w:val="single" w:sz="2" w:space="0" w:color="auto"/>
            </w:tcBorders>
            <w:vAlign w:val="center"/>
          </w:tcPr>
          <w:p w14:paraId="6B84F54E"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66C3A52C"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7AA4824A"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427540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17908F2F"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69BA569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速冻库改造（二期）</w:t>
            </w:r>
          </w:p>
        </w:tc>
        <w:tc>
          <w:tcPr>
            <w:tcW w:w="498" w:type="pct"/>
            <w:tcBorders>
              <w:top w:val="single" w:sz="2" w:space="0" w:color="auto"/>
              <w:left w:val="single" w:sz="2" w:space="0" w:color="auto"/>
              <w:bottom w:val="single" w:sz="2" w:space="0" w:color="auto"/>
              <w:right w:val="single" w:sz="2" w:space="0" w:color="auto"/>
            </w:tcBorders>
            <w:vAlign w:val="center"/>
          </w:tcPr>
          <w:p w14:paraId="2C9A0CB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1,800,000.00</w:t>
            </w:r>
          </w:p>
        </w:tc>
        <w:tc>
          <w:tcPr>
            <w:tcW w:w="453" w:type="pct"/>
            <w:tcBorders>
              <w:top w:val="single" w:sz="2" w:space="0" w:color="auto"/>
              <w:left w:val="single" w:sz="2" w:space="0" w:color="auto"/>
              <w:bottom w:val="single" w:sz="2" w:space="0" w:color="auto"/>
              <w:right w:val="single" w:sz="2" w:space="0" w:color="auto"/>
            </w:tcBorders>
            <w:vAlign w:val="center"/>
          </w:tcPr>
          <w:p w14:paraId="2CE6CB75"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2D180E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750,861.10</w:t>
            </w:r>
          </w:p>
        </w:tc>
        <w:tc>
          <w:tcPr>
            <w:tcW w:w="422" w:type="pct"/>
            <w:tcBorders>
              <w:top w:val="single" w:sz="2" w:space="0" w:color="auto"/>
              <w:left w:val="single" w:sz="2" w:space="0" w:color="auto"/>
              <w:bottom w:val="single" w:sz="2" w:space="0" w:color="auto"/>
              <w:right w:val="single" w:sz="2" w:space="0" w:color="auto"/>
            </w:tcBorders>
            <w:vAlign w:val="center"/>
          </w:tcPr>
          <w:p w14:paraId="0EEF9F3C"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19BC7686"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6E1BAF3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750,861.10</w:t>
            </w:r>
          </w:p>
        </w:tc>
        <w:tc>
          <w:tcPr>
            <w:tcW w:w="291" w:type="pct"/>
            <w:tcBorders>
              <w:top w:val="single" w:sz="2" w:space="0" w:color="auto"/>
              <w:left w:val="single" w:sz="2" w:space="0" w:color="auto"/>
              <w:bottom w:val="single" w:sz="2" w:space="0" w:color="auto"/>
              <w:right w:val="single" w:sz="2" w:space="0" w:color="auto"/>
            </w:tcBorders>
            <w:vAlign w:val="center"/>
          </w:tcPr>
          <w:p w14:paraId="371DEE8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41.71%</w:t>
            </w:r>
          </w:p>
        </w:tc>
        <w:tc>
          <w:tcPr>
            <w:tcW w:w="187" w:type="pct"/>
            <w:tcBorders>
              <w:top w:val="single" w:sz="2" w:space="0" w:color="auto"/>
              <w:left w:val="single" w:sz="2" w:space="0" w:color="auto"/>
              <w:bottom w:val="single" w:sz="2" w:space="0" w:color="auto"/>
              <w:right w:val="single" w:sz="2" w:space="0" w:color="auto"/>
            </w:tcBorders>
            <w:vAlign w:val="center"/>
          </w:tcPr>
          <w:p w14:paraId="1255972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0.5</w:t>
            </w:r>
          </w:p>
        </w:tc>
        <w:tc>
          <w:tcPr>
            <w:tcW w:w="422" w:type="pct"/>
            <w:tcBorders>
              <w:top w:val="single" w:sz="2" w:space="0" w:color="auto"/>
              <w:left w:val="single" w:sz="2" w:space="0" w:color="auto"/>
              <w:bottom w:val="single" w:sz="2" w:space="0" w:color="auto"/>
              <w:right w:val="single" w:sz="2" w:space="0" w:color="auto"/>
            </w:tcBorders>
            <w:vAlign w:val="center"/>
          </w:tcPr>
          <w:p w14:paraId="789382C9"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4E0D42E5"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6DCC17FE"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49C14C1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1B74DC60"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1FD1B17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分割车间鲜品输</w:t>
            </w:r>
            <w:r w:rsidRPr="00F614F9">
              <w:rPr>
                <w:rFonts w:ascii="Times New Roman" w:eastAsia="宋体" w:hAnsi="Times New Roman" w:cs="宋体"/>
                <w:sz w:val="18"/>
                <w:szCs w:val="18"/>
              </w:rPr>
              <w:lastRenderedPageBreak/>
              <w:t>送线</w:t>
            </w:r>
          </w:p>
        </w:tc>
        <w:tc>
          <w:tcPr>
            <w:tcW w:w="498" w:type="pct"/>
            <w:tcBorders>
              <w:top w:val="single" w:sz="2" w:space="0" w:color="auto"/>
              <w:left w:val="single" w:sz="2" w:space="0" w:color="auto"/>
              <w:bottom w:val="single" w:sz="2" w:space="0" w:color="auto"/>
              <w:right w:val="single" w:sz="2" w:space="0" w:color="auto"/>
            </w:tcBorders>
            <w:vAlign w:val="center"/>
          </w:tcPr>
          <w:p w14:paraId="4A92600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lastRenderedPageBreak/>
              <w:t>1,300,000.00</w:t>
            </w:r>
          </w:p>
        </w:tc>
        <w:tc>
          <w:tcPr>
            <w:tcW w:w="453" w:type="pct"/>
            <w:tcBorders>
              <w:top w:val="single" w:sz="2" w:space="0" w:color="auto"/>
              <w:left w:val="single" w:sz="2" w:space="0" w:color="auto"/>
              <w:bottom w:val="single" w:sz="2" w:space="0" w:color="auto"/>
              <w:right w:val="single" w:sz="2" w:space="0" w:color="auto"/>
            </w:tcBorders>
            <w:vAlign w:val="center"/>
          </w:tcPr>
          <w:p w14:paraId="6C7AA3B0"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37E68B2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477,876.10</w:t>
            </w:r>
          </w:p>
        </w:tc>
        <w:tc>
          <w:tcPr>
            <w:tcW w:w="422" w:type="pct"/>
            <w:tcBorders>
              <w:top w:val="single" w:sz="2" w:space="0" w:color="auto"/>
              <w:left w:val="single" w:sz="2" w:space="0" w:color="auto"/>
              <w:bottom w:val="single" w:sz="2" w:space="0" w:color="auto"/>
              <w:right w:val="single" w:sz="2" w:space="0" w:color="auto"/>
            </w:tcBorders>
            <w:vAlign w:val="center"/>
          </w:tcPr>
          <w:p w14:paraId="22752685"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03537D82"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350298C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477,876.10</w:t>
            </w:r>
          </w:p>
        </w:tc>
        <w:tc>
          <w:tcPr>
            <w:tcW w:w="291" w:type="pct"/>
            <w:tcBorders>
              <w:top w:val="single" w:sz="2" w:space="0" w:color="auto"/>
              <w:left w:val="single" w:sz="2" w:space="0" w:color="auto"/>
              <w:bottom w:val="single" w:sz="2" w:space="0" w:color="auto"/>
              <w:right w:val="single" w:sz="2" w:space="0" w:color="auto"/>
            </w:tcBorders>
            <w:vAlign w:val="center"/>
          </w:tcPr>
          <w:p w14:paraId="3FAAE44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36.76%</w:t>
            </w:r>
          </w:p>
        </w:tc>
        <w:tc>
          <w:tcPr>
            <w:tcW w:w="187" w:type="pct"/>
            <w:tcBorders>
              <w:top w:val="single" w:sz="2" w:space="0" w:color="auto"/>
              <w:left w:val="single" w:sz="2" w:space="0" w:color="auto"/>
              <w:bottom w:val="single" w:sz="2" w:space="0" w:color="auto"/>
              <w:right w:val="single" w:sz="2" w:space="0" w:color="auto"/>
            </w:tcBorders>
            <w:vAlign w:val="center"/>
          </w:tcPr>
          <w:p w14:paraId="1A036EA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0.5</w:t>
            </w:r>
          </w:p>
        </w:tc>
        <w:tc>
          <w:tcPr>
            <w:tcW w:w="422" w:type="pct"/>
            <w:tcBorders>
              <w:top w:val="single" w:sz="2" w:space="0" w:color="auto"/>
              <w:left w:val="single" w:sz="2" w:space="0" w:color="auto"/>
              <w:bottom w:val="single" w:sz="2" w:space="0" w:color="auto"/>
              <w:right w:val="single" w:sz="2" w:space="0" w:color="auto"/>
            </w:tcBorders>
            <w:vAlign w:val="center"/>
          </w:tcPr>
          <w:p w14:paraId="10B9AD41"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3E385840"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29E6D96"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62DEE14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7E12F496"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6D370D3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进口肉类精深加工及调味品生产项目</w:t>
            </w:r>
          </w:p>
        </w:tc>
        <w:tc>
          <w:tcPr>
            <w:tcW w:w="498" w:type="pct"/>
            <w:tcBorders>
              <w:top w:val="single" w:sz="2" w:space="0" w:color="auto"/>
              <w:left w:val="single" w:sz="2" w:space="0" w:color="auto"/>
              <w:bottom w:val="single" w:sz="2" w:space="0" w:color="auto"/>
              <w:right w:val="single" w:sz="2" w:space="0" w:color="auto"/>
            </w:tcBorders>
            <w:vAlign w:val="center"/>
          </w:tcPr>
          <w:p w14:paraId="7402D5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208,380,200.00</w:t>
            </w:r>
          </w:p>
        </w:tc>
        <w:tc>
          <w:tcPr>
            <w:tcW w:w="453" w:type="pct"/>
            <w:tcBorders>
              <w:top w:val="single" w:sz="2" w:space="0" w:color="auto"/>
              <w:left w:val="single" w:sz="2" w:space="0" w:color="auto"/>
              <w:bottom w:val="single" w:sz="2" w:space="0" w:color="auto"/>
              <w:right w:val="single" w:sz="2" w:space="0" w:color="auto"/>
            </w:tcBorders>
            <w:vAlign w:val="center"/>
          </w:tcPr>
          <w:p w14:paraId="2BC9D1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907,017.38</w:t>
            </w:r>
          </w:p>
        </w:tc>
        <w:tc>
          <w:tcPr>
            <w:tcW w:w="453" w:type="pct"/>
            <w:tcBorders>
              <w:top w:val="single" w:sz="2" w:space="0" w:color="auto"/>
              <w:left w:val="single" w:sz="2" w:space="0" w:color="auto"/>
              <w:bottom w:val="single" w:sz="2" w:space="0" w:color="auto"/>
              <w:right w:val="single" w:sz="2" w:space="0" w:color="auto"/>
            </w:tcBorders>
            <w:vAlign w:val="center"/>
          </w:tcPr>
          <w:p w14:paraId="7880E4B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116,671,966.23</w:t>
            </w:r>
          </w:p>
        </w:tc>
        <w:tc>
          <w:tcPr>
            <w:tcW w:w="422" w:type="pct"/>
            <w:tcBorders>
              <w:top w:val="single" w:sz="2" w:space="0" w:color="auto"/>
              <w:left w:val="single" w:sz="2" w:space="0" w:color="auto"/>
              <w:bottom w:val="single" w:sz="2" w:space="0" w:color="auto"/>
              <w:right w:val="single" w:sz="2" w:space="0" w:color="auto"/>
            </w:tcBorders>
            <w:vAlign w:val="center"/>
          </w:tcPr>
          <w:p w14:paraId="03D2B672"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45ADDA01"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399120B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117,578,983.61</w:t>
            </w:r>
          </w:p>
        </w:tc>
        <w:tc>
          <w:tcPr>
            <w:tcW w:w="291" w:type="pct"/>
            <w:tcBorders>
              <w:top w:val="single" w:sz="2" w:space="0" w:color="auto"/>
              <w:left w:val="single" w:sz="2" w:space="0" w:color="auto"/>
              <w:bottom w:val="single" w:sz="2" w:space="0" w:color="auto"/>
              <w:right w:val="single" w:sz="2" w:space="0" w:color="auto"/>
            </w:tcBorders>
            <w:vAlign w:val="center"/>
          </w:tcPr>
          <w:p w14:paraId="0FA204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56.43%</w:t>
            </w:r>
          </w:p>
        </w:tc>
        <w:tc>
          <w:tcPr>
            <w:tcW w:w="187" w:type="pct"/>
            <w:tcBorders>
              <w:top w:val="single" w:sz="2" w:space="0" w:color="auto"/>
              <w:left w:val="single" w:sz="2" w:space="0" w:color="auto"/>
              <w:bottom w:val="single" w:sz="2" w:space="0" w:color="auto"/>
              <w:right w:val="single" w:sz="2" w:space="0" w:color="auto"/>
            </w:tcBorders>
            <w:vAlign w:val="center"/>
          </w:tcPr>
          <w:p w14:paraId="559AFB2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0.8</w:t>
            </w:r>
          </w:p>
        </w:tc>
        <w:tc>
          <w:tcPr>
            <w:tcW w:w="422" w:type="pct"/>
            <w:tcBorders>
              <w:top w:val="single" w:sz="2" w:space="0" w:color="auto"/>
              <w:left w:val="single" w:sz="2" w:space="0" w:color="auto"/>
              <w:bottom w:val="single" w:sz="2" w:space="0" w:color="auto"/>
              <w:right w:val="single" w:sz="2" w:space="0" w:color="auto"/>
            </w:tcBorders>
            <w:vAlign w:val="center"/>
          </w:tcPr>
          <w:p w14:paraId="35A2D75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1,854,919.28</w:t>
            </w:r>
          </w:p>
        </w:tc>
        <w:tc>
          <w:tcPr>
            <w:tcW w:w="422" w:type="pct"/>
            <w:tcBorders>
              <w:top w:val="single" w:sz="2" w:space="0" w:color="auto"/>
              <w:left w:val="single" w:sz="2" w:space="0" w:color="auto"/>
              <w:bottom w:val="single" w:sz="2" w:space="0" w:color="auto"/>
              <w:right w:val="single" w:sz="2" w:space="0" w:color="auto"/>
            </w:tcBorders>
            <w:vAlign w:val="center"/>
          </w:tcPr>
          <w:p w14:paraId="432D322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1,854,919.28</w:t>
            </w:r>
          </w:p>
        </w:tc>
        <w:tc>
          <w:tcPr>
            <w:tcW w:w="239" w:type="pct"/>
            <w:tcBorders>
              <w:top w:val="single" w:sz="2" w:space="0" w:color="auto"/>
              <w:left w:val="single" w:sz="2" w:space="0" w:color="auto"/>
              <w:bottom w:val="single" w:sz="2" w:space="0" w:color="auto"/>
              <w:right w:val="single" w:sz="2" w:space="0" w:color="auto"/>
            </w:tcBorders>
            <w:vAlign w:val="center"/>
          </w:tcPr>
          <w:p w14:paraId="37EAB9F2"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42EC4B5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金融机构贷款</w:t>
            </w:r>
          </w:p>
        </w:tc>
      </w:tr>
      <w:tr w:rsidR="001D26E7" w:rsidRPr="00F614F9" w14:paraId="0A258D51"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383E103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黑龙江屠宰项目</w:t>
            </w:r>
          </w:p>
        </w:tc>
        <w:tc>
          <w:tcPr>
            <w:tcW w:w="498" w:type="pct"/>
            <w:tcBorders>
              <w:top w:val="single" w:sz="2" w:space="0" w:color="auto"/>
              <w:left w:val="single" w:sz="2" w:space="0" w:color="auto"/>
              <w:bottom w:val="single" w:sz="2" w:space="0" w:color="auto"/>
              <w:right w:val="single" w:sz="2" w:space="0" w:color="auto"/>
            </w:tcBorders>
            <w:vAlign w:val="center"/>
          </w:tcPr>
          <w:p w14:paraId="40019D7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196,530,000.00</w:t>
            </w:r>
          </w:p>
        </w:tc>
        <w:tc>
          <w:tcPr>
            <w:tcW w:w="453" w:type="pct"/>
            <w:tcBorders>
              <w:top w:val="single" w:sz="2" w:space="0" w:color="auto"/>
              <w:left w:val="single" w:sz="2" w:space="0" w:color="auto"/>
              <w:bottom w:val="single" w:sz="2" w:space="0" w:color="auto"/>
              <w:right w:val="single" w:sz="2" w:space="0" w:color="auto"/>
            </w:tcBorders>
            <w:vAlign w:val="center"/>
          </w:tcPr>
          <w:p w14:paraId="1901FB7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7,913,623.48</w:t>
            </w:r>
          </w:p>
        </w:tc>
        <w:tc>
          <w:tcPr>
            <w:tcW w:w="453" w:type="pct"/>
            <w:tcBorders>
              <w:top w:val="single" w:sz="2" w:space="0" w:color="auto"/>
              <w:left w:val="single" w:sz="2" w:space="0" w:color="auto"/>
              <w:bottom w:val="single" w:sz="2" w:space="0" w:color="auto"/>
              <w:right w:val="single" w:sz="2" w:space="0" w:color="auto"/>
            </w:tcBorders>
            <w:vAlign w:val="center"/>
          </w:tcPr>
          <w:p w14:paraId="7C1941B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7,813,858.30</w:t>
            </w:r>
          </w:p>
        </w:tc>
        <w:tc>
          <w:tcPr>
            <w:tcW w:w="422" w:type="pct"/>
            <w:tcBorders>
              <w:top w:val="single" w:sz="2" w:space="0" w:color="auto"/>
              <w:left w:val="single" w:sz="2" w:space="0" w:color="auto"/>
              <w:bottom w:val="single" w:sz="2" w:space="0" w:color="auto"/>
              <w:right w:val="single" w:sz="2" w:space="0" w:color="auto"/>
            </w:tcBorders>
            <w:vAlign w:val="center"/>
          </w:tcPr>
          <w:p w14:paraId="6FFB3E3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10,699,400.38</w:t>
            </w:r>
          </w:p>
        </w:tc>
        <w:tc>
          <w:tcPr>
            <w:tcW w:w="392" w:type="pct"/>
            <w:tcBorders>
              <w:top w:val="single" w:sz="2" w:space="0" w:color="auto"/>
              <w:left w:val="single" w:sz="2" w:space="0" w:color="auto"/>
              <w:bottom w:val="single" w:sz="2" w:space="0" w:color="auto"/>
              <w:right w:val="single" w:sz="2" w:space="0" w:color="auto"/>
            </w:tcBorders>
            <w:vAlign w:val="center"/>
          </w:tcPr>
          <w:p w14:paraId="148E559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453" w:type="pct"/>
            <w:tcBorders>
              <w:top w:val="single" w:sz="2" w:space="0" w:color="auto"/>
              <w:left w:val="single" w:sz="2" w:space="0" w:color="auto"/>
              <w:bottom w:val="single" w:sz="2" w:space="0" w:color="auto"/>
              <w:right w:val="single" w:sz="2" w:space="0" w:color="auto"/>
            </w:tcBorders>
            <w:vAlign w:val="center"/>
          </w:tcPr>
          <w:p w14:paraId="33764F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5,028,081.40</w:t>
            </w:r>
          </w:p>
        </w:tc>
        <w:tc>
          <w:tcPr>
            <w:tcW w:w="291" w:type="pct"/>
            <w:tcBorders>
              <w:top w:val="single" w:sz="2" w:space="0" w:color="auto"/>
              <w:left w:val="single" w:sz="2" w:space="0" w:color="auto"/>
              <w:bottom w:val="single" w:sz="2" w:space="0" w:color="auto"/>
              <w:right w:val="single" w:sz="2" w:space="0" w:color="auto"/>
            </w:tcBorders>
            <w:vAlign w:val="center"/>
          </w:tcPr>
          <w:p w14:paraId="5CDCA20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64.40%</w:t>
            </w:r>
          </w:p>
        </w:tc>
        <w:tc>
          <w:tcPr>
            <w:tcW w:w="187" w:type="pct"/>
            <w:tcBorders>
              <w:top w:val="single" w:sz="2" w:space="0" w:color="auto"/>
              <w:left w:val="single" w:sz="2" w:space="0" w:color="auto"/>
              <w:bottom w:val="single" w:sz="2" w:space="0" w:color="auto"/>
              <w:right w:val="single" w:sz="2" w:space="0" w:color="auto"/>
            </w:tcBorders>
            <w:vAlign w:val="center"/>
          </w:tcPr>
          <w:p w14:paraId="1740C72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0.99</w:t>
            </w:r>
          </w:p>
        </w:tc>
        <w:tc>
          <w:tcPr>
            <w:tcW w:w="422" w:type="pct"/>
            <w:tcBorders>
              <w:top w:val="single" w:sz="2" w:space="0" w:color="auto"/>
              <w:left w:val="single" w:sz="2" w:space="0" w:color="auto"/>
              <w:bottom w:val="single" w:sz="2" w:space="0" w:color="auto"/>
              <w:right w:val="single" w:sz="2" w:space="0" w:color="auto"/>
            </w:tcBorders>
            <w:vAlign w:val="center"/>
          </w:tcPr>
          <w:p w14:paraId="2B23F5A3"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1D932DFB"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3257BFC4"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6B6483E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2BEF8142"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5DAAFFB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巴中龙大生猪屠宰及加工项目</w:t>
            </w:r>
          </w:p>
        </w:tc>
        <w:tc>
          <w:tcPr>
            <w:tcW w:w="498" w:type="pct"/>
            <w:tcBorders>
              <w:top w:val="single" w:sz="2" w:space="0" w:color="auto"/>
              <w:left w:val="single" w:sz="2" w:space="0" w:color="auto"/>
              <w:bottom w:val="single" w:sz="2" w:space="0" w:color="auto"/>
              <w:right w:val="single" w:sz="2" w:space="0" w:color="auto"/>
            </w:tcBorders>
            <w:vAlign w:val="center"/>
          </w:tcPr>
          <w:p w14:paraId="0420FE8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249,000,000.00</w:t>
            </w:r>
          </w:p>
        </w:tc>
        <w:tc>
          <w:tcPr>
            <w:tcW w:w="453" w:type="pct"/>
            <w:tcBorders>
              <w:top w:val="single" w:sz="2" w:space="0" w:color="auto"/>
              <w:left w:val="single" w:sz="2" w:space="0" w:color="auto"/>
              <w:bottom w:val="single" w:sz="2" w:space="0" w:color="auto"/>
              <w:right w:val="single" w:sz="2" w:space="0" w:color="auto"/>
            </w:tcBorders>
            <w:vAlign w:val="center"/>
          </w:tcPr>
          <w:p w14:paraId="00D13BD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24,047,734.96</w:t>
            </w:r>
          </w:p>
        </w:tc>
        <w:tc>
          <w:tcPr>
            <w:tcW w:w="453" w:type="pct"/>
            <w:tcBorders>
              <w:top w:val="single" w:sz="2" w:space="0" w:color="auto"/>
              <w:left w:val="single" w:sz="2" w:space="0" w:color="auto"/>
              <w:bottom w:val="single" w:sz="2" w:space="0" w:color="auto"/>
              <w:right w:val="single" w:sz="2" w:space="0" w:color="auto"/>
            </w:tcBorders>
            <w:vAlign w:val="center"/>
          </w:tcPr>
          <w:p w14:paraId="75F2575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54,198,203.51</w:t>
            </w:r>
          </w:p>
        </w:tc>
        <w:tc>
          <w:tcPr>
            <w:tcW w:w="422" w:type="pct"/>
            <w:tcBorders>
              <w:top w:val="single" w:sz="2" w:space="0" w:color="auto"/>
              <w:left w:val="single" w:sz="2" w:space="0" w:color="auto"/>
              <w:bottom w:val="single" w:sz="2" w:space="0" w:color="auto"/>
              <w:right w:val="single" w:sz="2" w:space="0" w:color="auto"/>
            </w:tcBorders>
            <w:vAlign w:val="center"/>
          </w:tcPr>
          <w:p w14:paraId="6D0C8395"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1420E9B0"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4DB1B07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78,245,938.47</w:t>
            </w:r>
          </w:p>
        </w:tc>
        <w:tc>
          <w:tcPr>
            <w:tcW w:w="291" w:type="pct"/>
            <w:tcBorders>
              <w:top w:val="single" w:sz="2" w:space="0" w:color="auto"/>
              <w:left w:val="single" w:sz="2" w:space="0" w:color="auto"/>
              <w:bottom w:val="single" w:sz="2" w:space="0" w:color="auto"/>
              <w:right w:val="single" w:sz="2" w:space="0" w:color="auto"/>
            </w:tcBorders>
            <w:vAlign w:val="center"/>
          </w:tcPr>
          <w:p w14:paraId="34CBD9E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31.42%</w:t>
            </w:r>
          </w:p>
        </w:tc>
        <w:tc>
          <w:tcPr>
            <w:tcW w:w="187" w:type="pct"/>
            <w:tcBorders>
              <w:top w:val="single" w:sz="2" w:space="0" w:color="auto"/>
              <w:left w:val="single" w:sz="2" w:space="0" w:color="auto"/>
              <w:bottom w:val="single" w:sz="2" w:space="0" w:color="auto"/>
              <w:right w:val="single" w:sz="2" w:space="0" w:color="auto"/>
            </w:tcBorders>
            <w:vAlign w:val="center"/>
          </w:tcPr>
          <w:p w14:paraId="0B72C1B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0.8</w:t>
            </w:r>
          </w:p>
        </w:tc>
        <w:tc>
          <w:tcPr>
            <w:tcW w:w="422" w:type="pct"/>
            <w:tcBorders>
              <w:top w:val="single" w:sz="2" w:space="0" w:color="auto"/>
              <w:left w:val="single" w:sz="2" w:space="0" w:color="auto"/>
              <w:bottom w:val="single" w:sz="2" w:space="0" w:color="auto"/>
              <w:right w:val="single" w:sz="2" w:space="0" w:color="auto"/>
            </w:tcBorders>
            <w:vAlign w:val="center"/>
          </w:tcPr>
          <w:p w14:paraId="4C7D702D"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03455621"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605D30F"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787E9A3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167DE08C"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1E3E80E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巴中龙大屠宰线成套设备</w:t>
            </w:r>
          </w:p>
        </w:tc>
        <w:tc>
          <w:tcPr>
            <w:tcW w:w="498" w:type="pct"/>
            <w:tcBorders>
              <w:top w:val="single" w:sz="2" w:space="0" w:color="auto"/>
              <w:left w:val="single" w:sz="2" w:space="0" w:color="auto"/>
              <w:bottom w:val="single" w:sz="2" w:space="0" w:color="auto"/>
              <w:right w:val="single" w:sz="2" w:space="0" w:color="auto"/>
            </w:tcBorders>
            <w:vAlign w:val="center"/>
          </w:tcPr>
          <w:p w14:paraId="5EE3825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5,990,000.00</w:t>
            </w:r>
          </w:p>
        </w:tc>
        <w:tc>
          <w:tcPr>
            <w:tcW w:w="453" w:type="pct"/>
            <w:tcBorders>
              <w:top w:val="single" w:sz="2" w:space="0" w:color="auto"/>
              <w:left w:val="single" w:sz="2" w:space="0" w:color="auto"/>
              <w:bottom w:val="single" w:sz="2" w:space="0" w:color="auto"/>
              <w:right w:val="single" w:sz="2" w:space="0" w:color="auto"/>
            </w:tcBorders>
            <w:vAlign w:val="center"/>
          </w:tcPr>
          <w:p w14:paraId="590C49CD"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4778238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5,603,982.30</w:t>
            </w:r>
          </w:p>
        </w:tc>
        <w:tc>
          <w:tcPr>
            <w:tcW w:w="422" w:type="pct"/>
            <w:tcBorders>
              <w:top w:val="single" w:sz="2" w:space="0" w:color="auto"/>
              <w:left w:val="single" w:sz="2" w:space="0" w:color="auto"/>
              <w:bottom w:val="single" w:sz="2" w:space="0" w:color="auto"/>
              <w:right w:val="single" w:sz="2" w:space="0" w:color="auto"/>
            </w:tcBorders>
            <w:vAlign w:val="center"/>
          </w:tcPr>
          <w:p w14:paraId="66F7B4A7"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47DA56DD"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1E4341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5,603,982.30</w:t>
            </w:r>
          </w:p>
        </w:tc>
        <w:tc>
          <w:tcPr>
            <w:tcW w:w="291" w:type="pct"/>
            <w:tcBorders>
              <w:top w:val="single" w:sz="2" w:space="0" w:color="auto"/>
              <w:left w:val="single" w:sz="2" w:space="0" w:color="auto"/>
              <w:bottom w:val="single" w:sz="2" w:space="0" w:color="auto"/>
              <w:right w:val="single" w:sz="2" w:space="0" w:color="auto"/>
            </w:tcBorders>
            <w:vAlign w:val="center"/>
          </w:tcPr>
          <w:p w14:paraId="1529A82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93.56%</w:t>
            </w:r>
          </w:p>
        </w:tc>
        <w:tc>
          <w:tcPr>
            <w:tcW w:w="187" w:type="pct"/>
            <w:tcBorders>
              <w:top w:val="single" w:sz="2" w:space="0" w:color="auto"/>
              <w:left w:val="single" w:sz="2" w:space="0" w:color="auto"/>
              <w:bottom w:val="single" w:sz="2" w:space="0" w:color="auto"/>
              <w:right w:val="single" w:sz="2" w:space="0" w:color="auto"/>
            </w:tcBorders>
            <w:vAlign w:val="center"/>
          </w:tcPr>
          <w:p w14:paraId="7A24E3D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0.95</w:t>
            </w:r>
          </w:p>
        </w:tc>
        <w:tc>
          <w:tcPr>
            <w:tcW w:w="422" w:type="pct"/>
            <w:tcBorders>
              <w:top w:val="single" w:sz="2" w:space="0" w:color="auto"/>
              <w:left w:val="single" w:sz="2" w:space="0" w:color="auto"/>
              <w:bottom w:val="single" w:sz="2" w:space="0" w:color="auto"/>
              <w:right w:val="single" w:sz="2" w:space="0" w:color="auto"/>
            </w:tcBorders>
            <w:vAlign w:val="center"/>
          </w:tcPr>
          <w:p w14:paraId="7444A83B"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08F6E170"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02333EDD"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02FF481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71A8C4E3"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761C0FD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巴中龙大制冷系统</w:t>
            </w:r>
          </w:p>
        </w:tc>
        <w:tc>
          <w:tcPr>
            <w:tcW w:w="498" w:type="pct"/>
            <w:tcBorders>
              <w:top w:val="single" w:sz="2" w:space="0" w:color="auto"/>
              <w:left w:val="single" w:sz="2" w:space="0" w:color="auto"/>
              <w:bottom w:val="single" w:sz="2" w:space="0" w:color="auto"/>
              <w:right w:val="single" w:sz="2" w:space="0" w:color="auto"/>
            </w:tcBorders>
            <w:vAlign w:val="center"/>
          </w:tcPr>
          <w:p w14:paraId="2D981A5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11,000,000.00</w:t>
            </w:r>
          </w:p>
        </w:tc>
        <w:tc>
          <w:tcPr>
            <w:tcW w:w="453" w:type="pct"/>
            <w:tcBorders>
              <w:top w:val="single" w:sz="2" w:space="0" w:color="auto"/>
              <w:left w:val="single" w:sz="2" w:space="0" w:color="auto"/>
              <w:bottom w:val="single" w:sz="2" w:space="0" w:color="auto"/>
              <w:right w:val="single" w:sz="2" w:space="0" w:color="auto"/>
            </w:tcBorders>
            <w:vAlign w:val="center"/>
          </w:tcPr>
          <w:p w14:paraId="3F3759A4"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4976C0D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5,844,930.93</w:t>
            </w:r>
          </w:p>
        </w:tc>
        <w:tc>
          <w:tcPr>
            <w:tcW w:w="422" w:type="pct"/>
            <w:tcBorders>
              <w:top w:val="single" w:sz="2" w:space="0" w:color="auto"/>
              <w:left w:val="single" w:sz="2" w:space="0" w:color="auto"/>
              <w:bottom w:val="single" w:sz="2" w:space="0" w:color="auto"/>
              <w:right w:val="single" w:sz="2" w:space="0" w:color="auto"/>
            </w:tcBorders>
            <w:vAlign w:val="center"/>
          </w:tcPr>
          <w:p w14:paraId="6BD0F742"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4AAA822E"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0A510B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5,844,930.93</w:t>
            </w:r>
          </w:p>
        </w:tc>
        <w:tc>
          <w:tcPr>
            <w:tcW w:w="291" w:type="pct"/>
            <w:tcBorders>
              <w:top w:val="single" w:sz="2" w:space="0" w:color="auto"/>
              <w:left w:val="single" w:sz="2" w:space="0" w:color="auto"/>
              <w:bottom w:val="single" w:sz="2" w:space="0" w:color="auto"/>
              <w:right w:val="single" w:sz="2" w:space="0" w:color="auto"/>
            </w:tcBorders>
            <w:vAlign w:val="center"/>
          </w:tcPr>
          <w:p w14:paraId="62306A4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53.14%</w:t>
            </w:r>
          </w:p>
        </w:tc>
        <w:tc>
          <w:tcPr>
            <w:tcW w:w="187" w:type="pct"/>
            <w:tcBorders>
              <w:top w:val="single" w:sz="2" w:space="0" w:color="auto"/>
              <w:left w:val="single" w:sz="2" w:space="0" w:color="auto"/>
              <w:bottom w:val="single" w:sz="2" w:space="0" w:color="auto"/>
              <w:right w:val="single" w:sz="2" w:space="0" w:color="auto"/>
            </w:tcBorders>
            <w:vAlign w:val="center"/>
          </w:tcPr>
          <w:p w14:paraId="766B090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0.95</w:t>
            </w:r>
          </w:p>
        </w:tc>
        <w:tc>
          <w:tcPr>
            <w:tcW w:w="422" w:type="pct"/>
            <w:tcBorders>
              <w:top w:val="single" w:sz="2" w:space="0" w:color="auto"/>
              <w:left w:val="single" w:sz="2" w:space="0" w:color="auto"/>
              <w:bottom w:val="single" w:sz="2" w:space="0" w:color="auto"/>
              <w:right w:val="single" w:sz="2" w:space="0" w:color="auto"/>
            </w:tcBorders>
            <w:vAlign w:val="center"/>
          </w:tcPr>
          <w:p w14:paraId="03463175"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36E3F5CD"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625977F7"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D5C1BF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4DECB007"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72963E9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巴中龙大泡沫清洗消毒系统</w:t>
            </w:r>
          </w:p>
        </w:tc>
        <w:tc>
          <w:tcPr>
            <w:tcW w:w="498" w:type="pct"/>
            <w:tcBorders>
              <w:top w:val="single" w:sz="2" w:space="0" w:color="auto"/>
              <w:left w:val="single" w:sz="2" w:space="0" w:color="auto"/>
              <w:bottom w:val="single" w:sz="2" w:space="0" w:color="auto"/>
              <w:right w:val="single" w:sz="2" w:space="0" w:color="auto"/>
            </w:tcBorders>
            <w:vAlign w:val="center"/>
          </w:tcPr>
          <w:p w14:paraId="08EBDFB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133,000.00</w:t>
            </w:r>
          </w:p>
        </w:tc>
        <w:tc>
          <w:tcPr>
            <w:tcW w:w="453" w:type="pct"/>
            <w:tcBorders>
              <w:top w:val="single" w:sz="2" w:space="0" w:color="auto"/>
              <w:left w:val="single" w:sz="2" w:space="0" w:color="auto"/>
              <w:bottom w:val="single" w:sz="2" w:space="0" w:color="auto"/>
              <w:right w:val="single" w:sz="2" w:space="0" w:color="auto"/>
            </w:tcBorders>
            <w:vAlign w:val="center"/>
          </w:tcPr>
          <w:p w14:paraId="5BF2B750"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096F62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23,539.82</w:t>
            </w:r>
          </w:p>
        </w:tc>
        <w:tc>
          <w:tcPr>
            <w:tcW w:w="422" w:type="pct"/>
            <w:tcBorders>
              <w:top w:val="single" w:sz="2" w:space="0" w:color="auto"/>
              <w:left w:val="single" w:sz="2" w:space="0" w:color="auto"/>
              <w:bottom w:val="single" w:sz="2" w:space="0" w:color="auto"/>
              <w:right w:val="single" w:sz="2" w:space="0" w:color="auto"/>
            </w:tcBorders>
            <w:vAlign w:val="center"/>
          </w:tcPr>
          <w:p w14:paraId="1126DFC1"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1B62A3DE"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32352A5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23,539.82</w:t>
            </w:r>
          </w:p>
        </w:tc>
        <w:tc>
          <w:tcPr>
            <w:tcW w:w="291" w:type="pct"/>
            <w:tcBorders>
              <w:top w:val="single" w:sz="2" w:space="0" w:color="auto"/>
              <w:left w:val="single" w:sz="2" w:space="0" w:color="auto"/>
              <w:bottom w:val="single" w:sz="2" w:space="0" w:color="auto"/>
              <w:right w:val="single" w:sz="2" w:space="0" w:color="auto"/>
            </w:tcBorders>
            <w:vAlign w:val="center"/>
          </w:tcPr>
          <w:p w14:paraId="3CA5B8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17.70%</w:t>
            </w:r>
          </w:p>
        </w:tc>
        <w:tc>
          <w:tcPr>
            <w:tcW w:w="187" w:type="pct"/>
            <w:tcBorders>
              <w:top w:val="single" w:sz="2" w:space="0" w:color="auto"/>
              <w:left w:val="single" w:sz="2" w:space="0" w:color="auto"/>
              <w:bottom w:val="single" w:sz="2" w:space="0" w:color="auto"/>
              <w:right w:val="single" w:sz="2" w:space="0" w:color="auto"/>
            </w:tcBorders>
            <w:vAlign w:val="center"/>
          </w:tcPr>
          <w:p w14:paraId="3CA6B3F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0.95</w:t>
            </w:r>
          </w:p>
        </w:tc>
        <w:tc>
          <w:tcPr>
            <w:tcW w:w="422" w:type="pct"/>
            <w:tcBorders>
              <w:top w:val="single" w:sz="2" w:space="0" w:color="auto"/>
              <w:left w:val="single" w:sz="2" w:space="0" w:color="auto"/>
              <w:bottom w:val="single" w:sz="2" w:space="0" w:color="auto"/>
              <w:right w:val="single" w:sz="2" w:space="0" w:color="auto"/>
            </w:tcBorders>
            <w:vAlign w:val="center"/>
          </w:tcPr>
          <w:p w14:paraId="62541A3F"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4F7FD035"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75635B9D"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7FBE987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658BA9CB"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0C29D47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巴中龙大屠宰项目锅炉系统</w:t>
            </w:r>
          </w:p>
        </w:tc>
        <w:tc>
          <w:tcPr>
            <w:tcW w:w="498" w:type="pct"/>
            <w:tcBorders>
              <w:top w:val="single" w:sz="2" w:space="0" w:color="auto"/>
              <w:left w:val="single" w:sz="2" w:space="0" w:color="auto"/>
              <w:bottom w:val="single" w:sz="2" w:space="0" w:color="auto"/>
              <w:right w:val="single" w:sz="2" w:space="0" w:color="auto"/>
            </w:tcBorders>
            <w:vAlign w:val="center"/>
          </w:tcPr>
          <w:p w14:paraId="3BC782A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596,981.10</w:t>
            </w:r>
          </w:p>
        </w:tc>
        <w:tc>
          <w:tcPr>
            <w:tcW w:w="453" w:type="pct"/>
            <w:tcBorders>
              <w:top w:val="single" w:sz="2" w:space="0" w:color="auto"/>
              <w:left w:val="single" w:sz="2" w:space="0" w:color="auto"/>
              <w:bottom w:val="single" w:sz="2" w:space="0" w:color="auto"/>
              <w:right w:val="single" w:sz="2" w:space="0" w:color="auto"/>
            </w:tcBorders>
            <w:vAlign w:val="center"/>
          </w:tcPr>
          <w:p w14:paraId="6FEB78A9"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3780D63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528,301.86</w:t>
            </w:r>
          </w:p>
        </w:tc>
        <w:tc>
          <w:tcPr>
            <w:tcW w:w="422" w:type="pct"/>
            <w:tcBorders>
              <w:top w:val="single" w:sz="2" w:space="0" w:color="auto"/>
              <w:left w:val="single" w:sz="2" w:space="0" w:color="auto"/>
              <w:bottom w:val="single" w:sz="2" w:space="0" w:color="auto"/>
              <w:right w:val="single" w:sz="2" w:space="0" w:color="auto"/>
            </w:tcBorders>
            <w:vAlign w:val="center"/>
          </w:tcPr>
          <w:p w14:paraId="64A7E342"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17C659E8"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2F73E79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528,301.86</w:t>
            </w:r>
          </w:p>
        </w:tc>
        <w:tc>
          <w:tcPr>
            <w:tcW w:w="291" w:type="pct"/>
            <w:tcBorders>
              <w:top w:val="single" w:sz="2" w:space="0" w:color="auto"/>
              <w:left w:val="single" w:sz="2" w:space="0" w:color="auto"/>
              <w:bottom w:val="single" w:sz="2" w:space="0" w:color="auto"/>
              <w:right w:val="single" w:sz="2" w:space="0" w:color="auto"/>
            </w:tcBorders>
            <w:vAlign w:val="center"/>
          </w:tcPr>
          <w:p w14:paraId="0C8811D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88.50%</w:t>
            </w:r>
          </w:p>
        </w:tc>
        <w:tc>
          <w:tcPr>
            <w:tcW w:w="187" w:type="pct"/>
            <w:tcBorders>
              <w:top w:val="single" w:sz="2" w:space="0" w:color="auto"/>
              <w:left w:val="single" w:sz="2" w:space="0" w:color="auto"/>
              <w:bottom w:val="single" w:sz="2" w:space="0" w:color="auto"/>
              <w:right w:val="single" w:sz="2" w:space="0" w:color="auto"/>
            </w:tcBorders>
            <w:vAlign w:val="center"/>
          </w:tcPr>
          <w:p w14:paraId="5B21A00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0.95</w:t>
            </w:r>
          </w:p>
        </w:tc>
        <w:tc>
          <w:tcPr>
            <w:tcW w:w="422" w:type="pct"/>
            <w:tcBorders>
              <w:top w:val="single" w:sz="2" w:space="0" w:color="auto"/>
              <w:left w:val="single" w:sz="2" w:space="0" w:color="auto"/>
              <w:bottom w:val="single" w:sz="2" w:space="0" w:color="auto"/>
              <w:right w:val="single" w:sz="2" w:space="0" w:color="auto"/>
            </w:tcBorders>
            <w:vAlign w:val="center"/>
          </w:tcPr>
          <w:p w14:paraId="3405F3FB"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636DB52E"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02CC8D1E"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7C4E5E7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0711E79F"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39FDAD2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巴中龙大废气处理设备</w:t>
            </w:r>
          </w:p>
        </w:tc>
        <w:tc>
          <w:tcPr>
            <w:tcW w:w="498" w:type="pct"/>
            <w:tcBorders>
              <w:top w:val="single" w:sz="2" w:space="0" w:color="auto"/>
              <w:left w:val="single" w:sz="2" w:space="0" w:color="auto"/>
              <w:bottom w:val="single" w:sz="2" w:space="0" w:color="auto"/>
              <w:right w:val="single" w:sz="2" w:space="0" w:color="auto"/>
            </w:tcBorders>
            <w:vAlign w:val="center"/>
          </w:tcPr>
          <w:p w14:paraId="53E7C9C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627,839.35</w:t>
            </w:r>
          </w:p>
        </w:tc>
        <w:tc>
          <w:tcPr>
            <w:tcW w:w="453" w:type="pct"/>
            <w:tcBorders>
              <w:top w:val="single" w:sz="2" w:space="0" w:color="auto"/>
              <w:left w:val="single" w:sz="2" w:space="0" w:color="auto"/>
              <w:bottom w:val="single" w:sz="2" w:space="0" w:color="auto"/>
              <w:right w:val="single" w:sz="2" w:space="0" w:color="auto"/>
            </w:tcBorders>
            <w:vAlign w:val="center"/>
          </w:tcPr>
          <w:p w14:paraId="7E344AED"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372B676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416,707.54</w:t>
            </w:r>
          </w:p>
        </w:tc>
        <w:tc>
          <w:tcPr>
            <w:tcW w:w="422" w:type="pct"/>
            <w:tcBorders>
              <w:top w:val="single" w:sz="2" w:space="0" w:color="auto"/>
              <w:left w:val="single" w:sz="2" w:space="0" w:color="auto"/>
              <w:bottom w:val="single" w:sz="2" w:space="0" w:color="auto"/>
              <w:right w:val="single" w:sz="2" w:space="0" w:color="auto"/>
            </w:tcBorders>
            <w:vAlign w:val="center"/>
          </w:tcPr>
          <w:p w14:paraId="172B87DB"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7C07AC6E"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4D6EE9E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416,707.54</w:t>
            </w:r>
          </w:p>
        </w:tc>
        <w:tc>
          <w:tcPr>
            <w:tcW w:w="291" w:type="pct"/>
            <w:tcBorders>
              <w:top w:val="single" w:sz="2" w:space="0" w:color="auto"/>
              <w:left w:val="single" w:sz="2" w:space="0" w:color="auto"/>
              <w:bottom w:val="single" w:sz="2" w:space="0" w:color="auto"/>
              <w:right w:val="single" w:sz="2" w:space="0" w:color="auto"/>
            </w:tcBorders>
            <w:vAlign w:val="center"/>
          </w:tcPr>
          <w:p w14:paraId="33110D9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66.37%</w:t>
            </w:r>
          </w:p>
        </w:tc>
        <w:tc>
          <w:tcPr>
            <w:tcW w:w="187" w:type="pct"/>
            <w:tcBorders>
              <w:top w:val="single" w:sz="2" w:space="0" w:color="auto"/>
              <w:left w:val="single" w:sz="2" w:space="0" w:color="auto"/>
              <w:bottom w:val="single" w:sz="2" w:space="0" w:color="auto"/>
              <w:right w:val="single" w:sz="2" w:space="0" w:color="auto"/>
            </w:tcBorders>
            <w:vAlign w:val="center"/>
          </w:tcPr>
          <w:p w14:paraId="3042B07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0.95</w:t>
            </w:r>
          </w:p>
        </w:tc>
        <w:tc>
          <w:tcPr>
            <w:tcW w:w="422" w:type="pct"/>
            <w:tcBorders>
              <w:top w:val="single" w:sz="2" w:space="0" w:color="auto"/>
              <w:left w:val="single" w:sz="2" w:space="0" w:color="auto"/>
              <w:bottom w:val="single" w:sz="2" w:space="0" w:color="auto"/>
              <w:right w:val="single" w:sz="2" w:space="0" w:color="auto"/>
            </w:tcBorders>
            <w:vAlign w:val="center"/>
          </w:tcPr>
          <w:p w14:paraId="0979C7CA"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1FF24715"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2C9DBB09"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3A1D09E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1C948889"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54EF662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巴中龙大污水处理设备</w:t>
            </w:r>
          </w:p>
        </w:tc>
        <w:tc>
          <w:tcPr>
            <w:tcW w:w="498" w:type="pct"/>
            <w:tcBorders>
              <w:top w:val="single" w:sz="2" w:space="0" w:color="auto"/>
              <w:left w:val="single" w:sz="2" w:space="0" w:color="auto"/>
              <w:bottom w:val="single" w:sz="2" w:space="0" w:color="auto"/>
              <w:right w:val="single" w:sz="2" w:space="0" w:color="auto"/>
            </w:tcBorders>
            <w:vAlign w:val="center"/>
          </w:tcPr>
          <w:p w14:paraId="7F2F94A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1,855,770.49</w:t>
            </w:r>
          </w:p>
        </w:tc>
        <w:tc>
          <w:tcPr>
            <w:tcW w:w="453" w:type="pct"/>
            <w:tcBorders>
              <w:top w:val="single" w:sz="2" w:space="0" w:color="auto"/>
              <w:left w:val="single" w:sz="2" w:space="0" w:color="auto"/>
              <w:bottom w:val="single" w:sz="2" w:space="0" w:color="auto"/>
              <w:right w:val="single" w:sz="2" w:space="0" w:color="auto"/>
            </w:tcBorders>
            <w:vAlign w:val="center"/>
          </w:tcPr>
          <w:p w14:paraId="5F66AF5F"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0162AE2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1,231,706.08</w:t>
            </w:r>
          </w:p>
        </w:tc>
        <w:tc>
          <w:tcPr>
            <w:tcW w:w="422" w:type="pct"/>
            <w:tcBorders>
              <w:top w:val="single" w:sz="2" w:space="0" w:color="auto"/>
              <w:left w:val="single" w:sz="2" w:space="0" w:color="auto"/>
              <w:bottom w:val="single" w:sz="2" w:space="0" w:color="auto"/>
              <w:right w:val="single" w:sz="2" w:space="0" w:color="auto"/>
            </w:tcBorders>
            <w:vAlign w:val="center"/>
          </w:tcPr>
          <w:p w14:paraId="41BFAB17"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71136F8A"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11AAF2C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1,231,706.08</w:t>
            </w:r>
          </w:p>
        </w:tc>
        <w:tc>
          <w:tcPr>
            <w:tcW w:w="291" w:type="pct"/>
            <w:tcBorders>
              <w:top w:val="single" w:sz="2" w:space="0" w:color="auto"/>
              <w:left w:val="single" w:sz="2" w:space="0" w:color="auto"/>
              <w:bottom w:val="single" w:sz="2" w:space="0" w:color="auto"/>
              <w:right w:val="single" w:sz="2" w:space="0" w:color="auto"/>
            </w:tcBorders>
            <w:vAlign w:val="center"/>
          </w:tcPr>
          <w:p w14:paraId="66316B1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66.37%</w:t>
            </w:r>
          </w:p>
        </w:tc>
        <w:tc>
          <w:tcPr>
            <w:tcW w:w="187" w:type="pct"/>
            <w:tcBorders>
              <w:top w:val="single" w:sz="2" w:space="0" w:color="auto"/>
              <w:left w:val="single" w:sz="2" w:space="0" w:color="auto"/>
              <w:bottom w:val="single" w:sz="2" w:space="0" w:color="auto"/>
              <w:right w:val="single" w:sz="2" w:space="0" w:color="auto"/>
            </w:tcBorders>
            <w:vAlign w:val="center"/>
          </w:tcPr>
          <w:p w14:paraId="10E5B87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0.95</w:t>
            </w:r>
          </w:p>
        </w:tc>
        <w:tc>
          <w:tcPr>
            <w:tcW w:w="422" w:type="pct"/>
            <w:tcBorders>
              <w:top w:val="single" w:sz="2" w:space="0" w:color="auto"/>
              <w:left w:val="single" w:sz="2" w:space="0" w:color="auto"/>
              <w:bottom w:val="single" w:sz="2" w:space="0" w:color="auto"/>
              <w:right w:val="single" w:sz="2" w:space="0" w:color="auto"/>
            </w:tcBorders>
            <w:vAlign w:val="center"/>
          </w:tcPr>
          <w:p w14:paraId="57E314D5"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3DA31A87"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353D7D24"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2F6AE9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712F1C19"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0946B3A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巴中屠宰项目</w:t>
            </w:r>
            <w:r w:rsidRPr="00F614F9">
              <w:rPr>
                <w:rFonts w:ascii="Times New Roman" w:eastAsia="宋体" w:hAnsi="Times New Roman" w:cs="宋体"/>
                <w:sz w:val="18"/>
                <w:szCs w:val="18"/>
              </w:rPr>
              <w:t>X</w:t>
            </w:r>
            <w:r w:rsidRPr="00F614F9">
              <w:rPr>
                <w:rFonts w:ascii="Times New Roman" w:eastAsia="宋体" w:hAnsi="Times New Roman" w:cs="宋体"/>
                <w:sz w:val="18"/>
                <w:szCs w:val="18"/>
              </w:rPr>
              <w:t>光机成套设备</w:t>
            </w:r>
          </w:p>
        </w:tc>
        <w:tc>
          <w:tcPr>
            <w:tcW w:w="498" w:type="pct"/>
            <w:tcBorders>
              <w:top w:val="single" w:sz="2" w:space="0" w:color="auto"/>
              <w:left w:val="single" w:sz="2" w:space="0" w:color="auto"/>
              <w:bottom w:val="single" w:sz="2" w:space="0" w:color="auto"/>
              <w:right w:val="single" w:sz="2" w:space="0" w:color="auto"/>
            </w:tcBorders>
            <w:vAlign w:val="center"/>
          </w:tcPr>
          <w:p w14:paraId="7866FD3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564,000.00</w:t>
            </w:r>
          </w:p>
        </w:tc>
        <w:tc>
          <w:tcPr>
            <w:tcW w:w="453" w:type="pct"/>
            <w:tcBorders>
              <w:top w:val="single" w:sz="2" w:space="0" w:color="auto"/>
              <w:left w:val="single" w:sz="2" w:space="0" w:color="auto"/>
              <w:bottom w:val="single" w:sz="2" w:space="0" w:color="auto"/>
              <w:right w:val="single" w:sz="2" w:space="0" w:color="auto"/>
            </w:tcBorders>
            <w:vAlign w:val="center"/>
          </w:tcPr>
          <w:p w14:paraId="220DD265"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074D403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499,115.04</w:t>
            </w:r>
          </w:p>
        </w:tc>
        <w:tc>
          <w:tcPr>
            <w:tcW w:w="422" w:type="pct"/>
            <w:tcBorders>
              <w:top w:val="single" w:sz="2" w:space="0" w:color="auto"/>
              <w:left w:val="single" w:sz="2" w:space="0" w:color="auto"/>
              <w:bottom w:val="single" w:sz="2" w:space="0" w:color="auto"/>
              <w:right w:val="single" w:sz="2" w:space="0" w:color="auto"/>
            </w:tcBorders>
            <w:vAlign w:val="center"/>
          </w:tcPr>
          <w:p w14:paraId="39A62BF1"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36F096D7"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46D78B3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499,115.04</w:t>
            </w:r>
          </w:p>
        </w:tc>
        <w:tc>
          <w:tcPr>
            <w:tcW w:w="291" w:type="pct"/>
            <w:tcBorders>
              <w:top w:val="single" w:sz="2" w:space="0" w:color="auto"/>
              <w:left w:val="single" w:sz="2" w:space="0" w:color="auto"/>
              <w:bottom w:val="single" w:sz="2" w:space="0" w:color="auto"/>
              <w:right w:val="single" w:sz="2" w:space="0" w:color="auto"/>
            </w:tcBorders>
            <w:vAlign w:val="center"/>
          </w:tcPr>
          <w:p w14:paraId="5604F0B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88.50%</w:t>
            </w:r>
          </w:p>
        </w:tc>
        <w:tc>
          <w:tcPr>
            <w:tcW w:w="187" w:type="pct"/>
            <w:tcBorders>
              <w:top w:val="single" w:sz="2" w:space="0" w:color="auto"/>
              <w:left w:val="single" w:sz="2" w:space="0" w:color="auto"/>
              <w:bottom w:val="single" w:sz="2" w:space="0" w:color="auto"/>
              <w:right w:val="single" w:sz="2" w:space="0" w:color="auto"/>
            </w:tcBorders>
            <w:vAlign w:val="center"/>
          </w:tcPr>
          <w:p w14:paraId="16942CC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0.95</w:t>
            </w:r>
          </w:p>
        </w:tc>
        <w:tc>
          <w:tcPr>
            <w:tcW w:w="422" w:type="pct"/>
            <w:tcBorders>
              <w:top w:val="single" w:sz="2" w:space="0" w:color="auto"/>
              <w:left w:val="single" w:sz="2" w:space="0" w:color="auto"/>
              <w:bottom w:val="single" w:sz="2" w:space="0" w:color="auto"/>
              <w:right w:val="single" w:sz="2" w:space="0" w:color="auto"/>
            </w:tcBorders>
            <w:vAlign w:val="center"/>
          </w:tcPr>
          <w:p w14:paraId="4D865E8D"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36E63106"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37F378F0"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2736D2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541DC0F7"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3755EE5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生食投资规划</w:t>
            </w:r>
          </w:p>
        </w:tc>
        <w:tc>
          <w:tcPr>
            <w:tcW w:w="498" w:type="pct"/>
            <w:tcBorders>
              <w:top w:val="single" w:sz="2" w:space="0" w:color="auto"/>
              <w:left w:val="single" w:sz="2" w:space="0" w:color="auto"/>
              <w:bottom w:val="single" w:sz="2" w:space="0" w:color="auto"/>
              <w:right w:val="single" w:sz="2" w:space="0" w:color="auto"/>
            </w:tcBorders>
            <w:vAlign w:val="center"/>
          </w:tcPr>
          <w:p w14:paraId="76A5FBE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258,102,400.00</w:t>
            </w:r>
          </w:p>
        </w:tc>
        <w:tc>
          <w:tcPr>
            <w:tcW w:w="453" w:type="pct"/>
            <w:tcBorders>
              <w:top w:val="single" w:sz="2" w:space="0" w:color="auto"/>
              <w:left w:val="single" w:sz="2" w:space="0" w:color="auto"/>
              <w:bottom w:val="single" w:sz="2" w:space="0" w:color="auto"/>
              <w:right w:val="single" w:sz="2" w:space="0" w:color="auto"/>
            </w:tcBorders>
            <w:vAlign w:val="center"/>
          </w:tcPr>
          <w:p w14:paraId="58BD23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172,887,010.77</w:t>
            </w:r>
          </w:p>
        </w:tc>
        <w:tc>
          <w:tcPr>
            <w:tcW w:w="453" w:type="pct"/>
            <w:tcBorders>
              <w:top w:val="single" w:sz="2" w:space="0" w:color="auto"/>
              <w:left w:val="single" w:sz="2" w:space="0" w:color="auto"/>
              <w:bottom w:val="single" w:sz="2" w:space="0" w:color="auto"/>
              <w:right w:val="single" w:sz="2" w:space="0" w:color="auto"/>
            </w:tcBorders>
            <w:vAlign w:val="center"/>
          </w:tcPr>
          <w:p w14:paraId="6B0FB47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38,341,713.52</w:t>
            </w:r>
          </w:p>
        </w:tc>
        <w:tc>
          <w:tcPr>
            <w:tcW w:w="422" w:type="pct"/>
            <w:tcBorders>
              <w:top w:val="single" w:sz="2" w:space="0" w:color="auto"/>
              <w:left w:val="single" w:sz="2" w:space="0" w:color="auto"/>
              <w:bottom w:val="single" w:sz="2" w:space="0" w:color="auto"/>
              <w:right w:val="single" w:sz="2" w:space="0" w:color="auto"/>
            </w:tcBorders>
            <w:vAlign w:val="center"/>
          </w:tcPr>
          <w:p w14:paraId="548C022A"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1A3BEEAF"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084078D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211,228,724.29</w:t>
            </w:r>
          </w:p>
        </w:tc>
        <w:tc>
          <w:tcPr>
            <w:tcW w:w="291" w:type="pct"/>
            <w:tcBorders>
              <w:top w:val="single" w:sz="2" w:space="0" w:color="auto"/>
              <w:left w:val="single" w:sz="2" w:space="0" w:color="auto"/>
              <w:bottom w:val="single" w:sz="2" w:space="0" w:color="auto"/>
              <w:right w:val="single" w:sz="2" w:space="0" w:color="auto"/>
            </w:tcBorders>
            <w:vAlign w:val="center"/>
          </w:tcPr>
          <w:p w14:paraId="2C6935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81.84%</w:t>
            </w:r>
          </w:p>
        </w:tc>
        <w:tc>
          <w:tcPr>
            <w:tcW w:w="187" w:type="pct"/>
            <w:tcBorders>
              <w:top w:val="single" w:sz="2" w:space="0" w:color="auto"/>
              <w:left w:val="single" w:sz="2" w:space="0" w:color="auto"/>
              <w:bottom w:val="single" w:sz="2" w:space="0" w:color="auto"/>
              <w:right w:val="single" w:sz="2" w:space="0" w:color="auto"/>
            </w:tcBorders>
            <w:vAlign w:val="center"/>
          </w:tcPr>
          <w:p w14:paraId="5B40494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w:t>
            </w:r>
          </w:p>
        </w:tc>
        <w:tc>
          <w:tcPr>
            <w:tcW w:w="422" w:type="pct"/>
            <w:tcBorders>
              <w:top w:val="single" w:sz="2" w:space="0" w:color="auto"/>
              <w:left w:val="single" w:sz="2" w:space="0" w:color="auto"/>
              <w:bottom w:val="single" w:sz="2" w:space="0" w:color="auto"/>
              <w:right w:val="single" w:sz="2" w:space="0" w:color="auto"/>
            </w:tcBorders>
            <w:vAlign w:val="center"/>
          </w:tcPr>
          <w:p w14:paraId="4C477DDC"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6DB437B0"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35C941D1"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04EEB18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2C773D77"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1480A8A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熟食投资规划</w:t>
            </w:r>
          </w:p>
        </w:tc>
        <w:tc>
          <w:tcPr>
            <w:tcW w:w="498" w:type="pct"/>
            <w:tcBorders>
              <w:top w:val="single" w:sz="2" w:space="0" w:color="auto"/>
              <w:left w:val="single" w:sz="2" w:space="0" w:color="auto"/>
              <w:bottom w:val="single" w:sz="2" w:space="0" w:color="auto"/>
              <w:right w:val="single" w:sz="2" w:space="0" w:color="auto"/>
            </w:tcBorders>
            <w:vAlign w:val="center"/>
          </w:tcPr>
          <w:p w14:paraId="26D328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75,016,000.00</w:t>
            </w:r>
          </w:p>
        </w:tc>
        <w:tc>
          <w:tcPr>
            <w:tcW w:w="453" w:type="pct"/>
            <w:tcBorders>
              <w:top w:val="single" w:sz="2" w:space="0" w:color="auto"/>
              <w:left w:val="single" w:sz="2" w:space="0" w:color="auto"/>
              <w:bottom w:val="single" w:sz="2" w:space="0" w:color="auto"/>
              <w:right w:val="single" w:sz="2" w:space="0" w:color="auto"/>
            </w:tcBorders>
            <w:vAlign w:val="center"/>
          </w:tcPr>
          <w:p w14:paraId="0DC8465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2,410,328.89</w:t>
            </w:r>
          </w:p>
        </w:tc>
        <w:tc>
          <w:tcPr>
            <w:tcW w:w="453" w:type="pct"/>
            <w:tcBorders>
              <w:top w:val="single" w:sz="2" w:space="0" w:color="auto"/>
              <w:left w:val="single" w:sz="2" w:space="0" w:color="auto"/>
              <w:bottom w:val="single" w:sz="2" w:space="0" w:color="auto"/>
              <w:right w:val="single" w:sz="2" w:space="0" w:color="auto"/>
            </w:tcBorders>
            <w:vAlign w:val="center"/>
          </w:tcPr>
          <w:p w14:paraId="573EBD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4,811,760.89</w:t>
            </w:r>
          </w:p>
        </w:tc>
        <w:tc>
          <w:tcPr>
            <w:tcW w:w="422" w:type="pct"/>
            <w:tcBorders>
              <w:top w:val="single" w:sz="2" w:space="0" w:color="auto"/>
              <w:left w:val="single" w:sz="2" w:space="0" w:color="auto"/>
              <w:bottom w:val="single" w:sz="2" w:space="0" w:color="auto"/>
              <w:right w:val="single" w:sz="2" w:space="0" w:color="auto"/>
            </w:tcBorders>
            <w:vAlign w:val="center"/>
          </w:tcPr>
          <w:p w14:paraId="1CF73382"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527FBB5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5,402,343.12</w:t>
            </w:r>
          </w:p>
        </w:tc>
        <w:tc>
          <w:tcPr>
            <w:tcW w:w="453" w:type="pct"/>
            <w:tcBorders>
              <w:top w:val="single" w:sz="2" w:space="0" w:color="auto"/>
              <w:left w:val="single" w:sz="2" w:space="0" w:color="auto"/>
              <w:bottom w:val="single" w:sz="2" w:space="0" w:color="auto"/>
              <w:right w:val="single" w:sz="2" w:space="0" w:color="auto"/>
            </w:tcBorders>
            <w:vAlign w:val="center"/>
          </w:tcPr>
          <w:p w14:paraId="094222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1,819,746.66</w:t>
            </w:r>
          </w:p>
        </w:tc>
        <w:tc>
          <w:tcPr>
            <w:tcW w:w="291" w:type="pct"/>
            <w:tcBorders>
              <w:top w:val="single" w:sz="2" w:space="0" w:color="auto"/>
              <w:left w:val="single" w:sz="2" w:space="0" w:color="auto"/>
              <w:bottom w:val="single" w:sz="2" w:space="0" w:color="auto"/>
              <w:right w:val="single" w:sz="2" w:space="0" w:color="auto"/>
            </w:tcBorders>
            <w:vAlign w:val="center"/>
          </w:tcPr>
          <w:p w14:paraId="492D210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2.43%</w:t>
            </w:r>
          </w:p>
        </w:tc>
        <w:tc>
          <w:tcPr>
            <w:tcW w:w="187" w:type="pct"/>
            <w:tcBorders>
              <w:top w:val="single" w:sz="2" w:space="0" w:color="auto"/>
              <w:left w:val="single" w:sz="2" w:space="0" w:color="auto"/>
              <w:bottom w:val="single" w:sz="2" w:space="0" w:color="auto"/>
              <w:right w:val="single" w:sz="2" w:space="0" w:color="auto"/>
            </w:tcBorders>
            <w:vAlign w:val="center"/>
          </w:tcPr>
          <w:p w14:paraId="6357E75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0.1</w:t>
            </w:r>
          </w:p>
        </w:tc>
        <w:tc>
          <w:tcPr>
            <w:tcW w:w="422" w:type="pct"/>
            <w:tcBorders>
              <w:top w:val="single" w:sz="2" w:space="0" w:color="auto"/>
              <w:left w:val="single" w:sz="2" w:space="0" w:color="auto"/>
              <w:bottom w:val="single" w:sz="2" w:space="0" w:color="auto"/>
              <w:right w:val="single" w:sz="2" w:space="0" w:color="auto"/>
            </w:tcBorders>
            <w:vAlign w:val="center"/>
          </w:tcPr>
          <w:p w14:paraId="3E522B53"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7154F6A0"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63865268"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33144A6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59F1C8F9"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757DD53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氨制冷系统改造</w:t>
            </w:r>
          </w:p>
        </w:tc>
        <w:tc>
          <w:tcPr>
            <w:tcW w:w="498" w:type="pct"/>
            <w:tcBorders>
              <w:top w:val="single" w:sz="2" w:space="0" w:color="auto"/>
              <w:left w:val="single" w:sz="2" w:space="0" w:color="auto"/>
              <w:bottom w:val="single" w:sz="2" w:space="0" w:color="auto"/>
              <w:right w:val="single" w:sz="2" w:space="0" w:color="auto"/>
            </w:tcBorders>
            <w:vAlign w:val="center"/>
          </w:tcPr>
          <w:p w14:paraId="7769C11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520,000.00</w:t>
            </w:r>
          </w:p>
        </w:tc>
        <w:tc>
          <w:tcPr>
            <w:tcW w:w="453" w:type="pct"/>
            <w:tcBorders>
              <w:top w:val="single" w:sz="2" w:space="0" w:color="auto"/>
              <w:left w:val="single" w:sz="2" w:space="0" w:color="auto"/>
              <w:bottom w:val="single" w:sz="2" w:space="0" w:color="auto"/>
              <w:right w:val="single" w:sz="2" w:space="0" w:color="auto"/>
            </w:tcBorders>
            <w:vAlign w:val="center"/>
          </w:tcPr>
          <w:p w14:paraId="2F22C52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132,075.47</w:t>
            </w:r>
          </w:p>
        </w:tc>
        <w:tc>
          <w:tcPr>
            <w:tcW w:w="453" w:type="pct"/>
            <w:tcBorders>
              <w:top w:val="single" w:sz="2" w:space="0" w:color="auto"/>
              <w:left w:val="single" w:sz="2" w:space="0" w:color="auto"/>
              <w:bottom w:val="single" w:sz="2" w:space="0" w:color="auto"/>
              <w:right w:val="single" w:sz="2" w:space="0" w:color="auto"/>
            </w:tcBorders>
            <w:vAlign w:val="center"/>
          </w:tcPr>
          <w:p w14:paraId="63F29C5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238,532.11</w:t>
            </w:r>
          </w:p>
        </w:tc>
        <w:tc>
          <w:tcPr>
            <w:tcW w:w="422" w:type="pct"/>
            <w:tcBorders>
              <w:top w:val="single" w:sz="2" w:space="0" w:color="auto"/>
              <w:left w:val="single" w:sz="2" w:space="0" w:color="auto"/>
              <w:bottom w:val="single" w:sz="2" w:space="0" w:color="auto"/>
              <w:right w:val="single" w:sz="2" w:space="0" w:color="auto"/>
            </w:tcBorders>
            <w:vAlign w:val="center"/>
          </w:tcPr>
          <w:p w14:paraId="6D63DB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370,607.58</w:t>
            </w:r>
          </w:p>
        </w:tc>
        <w:tc>
          <w:tcPr>
            <w:tcW w:w="392" w:type="pct"/>
            <w:tcBorders>
              <w:top w:val="single" w:sz="2" w:space="0" w:color="auto"/>
              <w:left w:val="single" w:sz="2" w:space="0" w:color="auto"/>
              <w:bottom w:val="single" w:sz="2" w:space="0" w:color="auto"/>
              <w:right w:val="single" w:sz="2" w:space="0" w:color="auto"/>
            </w:tcBorders>
            <w:vAlign w:val="center"/>
          </w:tcPr>
          <w:p w14:paraId="2ADEB11E"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3C3D8C6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291" w:type="pct"/>
            <w:tcBorders>
              <w:top w:val="single" w:sz="2" w:space="0" w:color="auto"/>
              <w:left w:val="single" w:sz="2" w:space="0" w:color="auto"/>
              <w:bottom w:val="single" w:sz="2" w:space="0" w:color="auto"/>
              <w:right w:val="single" w:sz="2" w:space="0" w:color="auto"/>
            </w:tcBorders>
            <w:vAlign w:val="center"/>
          </w:tcPr>
          <w:p w14:paraId="2040810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71.27%</w:t>
            </w:r>
          </w:p>
        </w:tc>
        <w:tc>
          <w:tcPr>
            <w:tcW w:w="187" w:type="pct"/>
            <w:tcBorders>
              <w:top w:val="single" w:sz="2" w:space="0" w:color="auto"/>
              <w:left w:val="single" w:sz="2" w:space="0" w:color="auto"/>
              <w:bottom w:val="single" w:sz="2" w:space="0" w:color="auto"/>
              <w:right w:val="single" w:sz="2" w:space="0" w:color="auto"/>
            </w:tcBorders>
            <w:vAlign w:val="center"/>
          </w:tcPr>
          <w:p w14:paraId="65A3683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422" w:type="pct"/>
            <w:tcBorders>
              <w:top w:val="single" w:sz="2" w:space="0" w:color="auto"/>
              <w:left w:val="single" w:sz="2" w:space="0" w:color="auto"/>
              <w:bottom w:val="single" w:sz="2" w:space="0" w:color="auto"/>
              <w:right w:val="single" w:sz="2" w:space="0" w:color="auto"/>
            </w:tcBorders>
            <w:vAlign w:val="center"/>
          </w:tcPr>
          <w:p w14:paraId="48E23BC2"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2A1B4E48"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7496DA99"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5A4D137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210839CA"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2BB7F07E"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晏</w:t>
            </w:r>
            <w:proofErr w:type="gramEnd"/>
            <w:r w:rsidRPr="00F614F9">
              <w:rPr>
                <w:rFonts w:ascii="Times New Roman" w:eastAsia="宋体" w:hAnsi="Times New Roman" w:cs="宋体"/>
                <w:sz w:val="18"/>
                <w:szCs w:val="18"/>
              </w:rPr>
              <w:t>峪猪场围墙</w:t>
            </w:r>
          </w:p>
        </w:tc>
        <w:tc>
          <w:tcPr>
            <w:tcW w:w="498" w:type="pct"/>
            <w:tcBorders>
              <w:top w:val="single" w:sz="2" w:space="0" w:color="auto"/>
              <w:left w:val="single" w:sz="2" w:space="0" w:color="auto"/>
              <w:bottom w:val="single" w:sz="2" w:space="0" w:color="auto"/>
              <w:right w:val="single" w:sz="2" w:space="0" w:color="auto"/>
            </w:tcBorders>
            <w:vAlign w:val="center"/>
          </w:tcPr>
          <w:p w14:paraId="4A91EB2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2,817,618.00</w:t>
            </w:r>
          </w:p>
        </w:tc>
        <w:tc>
          <w:tcPr>
            <w:tcW w:w="453" w:type="pct"/>
            <w:tcBorders>
              <w:top w:val="single" w:sz="2" w:space="0" w:color="auto"/>
              <w:left w:val="single" w:sz="2" w:space="0" w:color="auto"/>
              <w:bottom w:val="single" w:sz="2" w:space="0" w:color="auto"/>
              <w:right w:val="single" w:sz="2" w:space="0" w:color="auto"/>
            </w:tcBorders>
            <w:vAlign w:val="center"/>
          </w:tcPr>
          <w:p w14:paraId="5AF7787B"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62D5F8C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3,075,118.00</w:t>
            </w:r>
          </w:p>
        </w:tc>
        <w:tc>
          <w:tcPr>
            <w:tcW w:w="422" w:type="pct"/>
            <w:tcBorders>
              <w:top w:val="single" w:sz="2" w:space="0" w:color="auto"/>
              <w:left w:val="single" w:sz="2" w:space="0" w:color="auto"/>
              <w:bottom w:val="single" w:sz="2" w:space="0" w:color="auto"/>
              <w:right w:val="single" w:sz="2" w:space="0" w:color="auto"/>
            </w:tcBorders>
            <w:vAlign w:val="center"/>
          </w:tcPr>
          <w:p w14:paraId="45B69C7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3,075,118.00</w:t>
            </w:r>
          </w:p>
        </w:tc>
        <w:tc>
          <w:tcPr>
            <w:tcW w:w="392" w:type="pct"/>
            <w:tcBorders>
              <w:top w:val="single" w:sz="2" w:space="0" w:color="auto"/>
              <w:left w:val="single" w:sz="2" w:space="0" w:color="auto"/>
              <w:bottom w:val="single" w:sz="2" w:space="0" w:color="auto"/>
              <w:right w:val="single" w:sz="2" w:space="0" w:color="auto"/>
            </w:tcBorders>
            <w:vAlign w:val="center"/>
          </w:tcPr>
          <w:p w14:paraId="099CC8AA"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5ECACFE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291" w:type="pct"/>
            <w:tcBorders>
              <w:top w:val="single" w:sz="2" w:space="0" w:color="auto"/>
              <w:left w:val="single" w:sz="2" w:space="0" w:color="auto"/>
              <w:bottom w:val="single" w:sz="2" w:space="0" w:color="auto"/>
              <w:right w:val="single" w:sz="2" w:space="0" w:color="auto"/>
            </w:tcBorders>
            <w:vAlign w:val="center"/>
          </w:tcPr>
          <w:p w14:paraId="259719A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109.14%</w:t>
            </w:r>
          </w:p>
        </w:tc>
        <w:tc>
          <w:tcPr>
            <w:tcW w:w="187" w:type="pct"/>
            <w:tcBorders>
              <w:top w:val="single" w:sz="2" w:space="0" w:color="auto"/>
              <w:left w:val="single" w:sz="2" w:space="0" w:color="auto"/>
              <w:bottom w:val="single" w:sz="2" w:space="0" w:color="auto"/>
              <w:right w:val="single" w:sz="2" w:space="0" w:color="auto"/>
            </w:tcBorders>
            <w:vAlign w:val="center"/>
          </w:tcPr>
          <w:p w14:paraId="30BFE6B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422" w:type="pct"/>
            <w:tcBorders>
              <w:top w:val="single" w:sz="2" w:space="0" w:color="auto"/>
              <w:left w:val="single" w:sz="2" w:space="0" w:color="auto"/>
              <w:bottom w:val="single" w:sz="2" w:space="0" w:color="auto"/>
              <w:right w:val="single" w:sz="2" w:space="0" w:color="auto"/>
            </w:tcBorders>
            <w:vAlign w:val="center"/>
          </w:tcPr>
          <w:p w14:paraId="4D040760"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2E9BCD7C"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2A26DF32"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304D502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募集资金</w:t>
            </w:r>
          </w:p>
        </w:tc>
      </w:tr>
      <w:tr w:rsidR="001D26E7" w:rsidRPr="00F614F9" w14:paraId="41ADC7B9"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539DC38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安丘</w:t>
            </w:r>
            <w:proofErr w:type="gramStart"/>
            <w:r w:rsidRPr="00F614F9">
              <w:rPr>
                <w:rFonts w:ascii="Times New Roman" w:eastAsia="宋体" w:hAnsi="Times New Roman" w:cs="宋体"/>
                <w:sz w:val="18"/>
                <w:szCs w:val="18"/>
              </w:rPr>
              <w:t>晏</w:t>
            </w:r>
            <w:proofErr w:type="gramEnd"/>
            <w:r w:rsidRPr="00F614F9">
              <w:rPr>
                <w:rFonts w:ascii="Times New Roman" w:eastAsia="宋体" w:hAnsi="Times New Roman" w:cs="宋体"/>
                <w:sz w:val="18"/>
                <w:szCs w:val="18"/>
              </w:rPr>
              <w:t>峪养殖项目污水处理工程</w:t>
            </w:r>
          </w:p>
        </w:tc>
        <w:tc>
          <w:tcPr>
            <w:tcW w:w="498" w:type="pct"/>
            <w:tcBorders>
              <w:top w:val="single" w:sz="2" w:space="0" w:color="auto"/>
              <w:left w:val="single" w:sz="2" w:space="0" w:color="auto"/>
              <w:bottom w:val="single" w:sz="2" w:space="0" w:color="auto"/>
              <w:right w:val="single" w:sz="2" w:space="0" w:color="auto"/>
            </w:tcBorders>
            <w:vAlign w:val="center"/>
          </w:tcPr>
          <w:p w14:paraId="66625D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6,300,000.00</w:t>
            </w:r>
          </w:p>
        </w:tc>
        <w:tc>
          <w:tcPr>
            <w:tcW w:w="453" w:type="pct"/>
            <w:tcBorders>
              <w:top w:val="single" w:sz="2" w:space="0" w:color="auto"/>
              <w:left w:val="single" w:sz="2" w:space="0" w:color="auto"/>
              <w:bottom w:val="single" w:sz="2" w:space="0" w:color="auto"/>
              <w:right w:val="single" w:sz="2" w:space="0" w:color="auto"/>
            </w:tcBorders>
            <w:vAlign w:val="center"/>
          </w:tcPr>
          <w:p w14:paraId="669F0502"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7D900B7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350,768.62</w:t>
            </w:r>
          </w:p>
        </w:tc>
        <w:tc>
          <w:tcPr>
            <w:tcW w:w="422" w:type="pct"/>
            <w:tcBorders>
              <w:top w:val="single" w:sz="2" w:space="0" w:color="auto"/>
              <w:left w:val="single" w:sz="2" w:space="0" w:color="auto"/>
              <w:bottom w:val="single" w:sz="2" w:space="0" w:color="auto"/>
              <w:right w:val="single" w:sz="2" w:space="0" w:color="auto"/>
            </w:tcBorders>
            <w:vAlign w:val="center"/>
          </w:tcPr>
          <w:p w14:paraId="1A15E4F3"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54FD01A3"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0934AF5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350,768.62</w:t>
            </w:r>
          </w:p>
        </w:tc>
        <w:tc>
          <w:tcPr>
            <w:tcW w:w="291" w:type="pct"/>
            <w:tcBorders>
              <w:top w:val="single" w:sz="2" w:space="0" w:color="auto"/>
              <w:left w:val="single" w:sz="2" w:space="0" w:color="auto"/>
              <w:bottom w:val="single" w:sz="2" w:space="0" w:color="auto"/>
              <w:right w:val="single" w:sz="2" w:space="0" w:color="auto"/>
            </w:tcBorders>
            <w:vAlign w:val="center"/>
          </w:tcPr>
          <w:p w14:paraId="45388B3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27.91%</w:t>
            </w:r>
          </w:p>
        </w:tc>
        <w:tc>
          <w:tcPr>
            <w:tcW w:w="187" w:type="pct"/>
            <w:tcBorders>
              <w:top w:val="single" w:sz="2" w:space="0" w:color="auto"/>
              <w:left w:val="single" w:sz="2" w:space="0" w:color="auto"/>
              <w:bottom w:val="single" w:sz="2" w:space="0" w:color="auto"/>
              <w:right w:val="single" w:sz="2" w:space="0" w:color="auto"/>
            </w:tcBorders>
            <w:vAlign w:val="center"/>
          </w:tcPr>
          <w:p w14:paraId="2542275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0.17</w:t>
            </w:r>
          </w:p>
        </w:tc>
        <w:tc>
          <w:tcPr>
            <w:tcW w:w="422" w:type="pct"/>
            <w:tcBorders>
              <w:top w:val="single" w:sz="2" w:space="0" w:color="auto"/>
              <w:left w:val="single" w:sz="2" w:space="0" w:color="auto"/>
              <w:bottom w:val="single" w:sz="2" w:space="0" w:color="auto"/>
              <w:right w:val="single" w:sz="2" w:space="0" w:color="auto"/>
            </w:tcBorders>
            <w:vAlign w:val="center"/>
          </w:tcPr>
          <w:p w14:paraId="75ECAE7D"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13EEE8D9"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4F6794FD"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53CB84A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募集资金</w:t>
            </w:r>
          </w:p>
        </w:tc>
      </w:tr>
      <w:tr w:rsidR="001D26E7" w:rsidRPr="00F614F9" w14:paraId="42DEF84E"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42D3ED1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西刘庄猪场</w:t>
            </w:r>
          </w:p>
        </w:tc>
        <w:tc>
          <w:tcPr>
            <w:tcW w:w="498" w:type="pct"/>
            <w:tcBorders>
              <w:top w:val="single" w:sz="2" w:space="0" w:color="auto"/>
              <w:left w:val="single" w:sz="2" w:space="0" w:color="auto"/>
              <w:bottom w:val="single" w:sz="2" w:space="0" w:color="auto"/>
              <w:right w:val="single" w:sz="2" w:space="0" w:color="auto"/>
            </w:tcBorders>
            <w:vAlign w:val="center"/>
          </w:tcPr>
          <w:p w14:paraId="573C0A0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150,000,000.00</w:t>
            </w:r>
          </w:p>
        </w:tc>
        <w:tc>
          <w:tcPr>
            <w:tcW w:w="453" w:type="pct"/>
            <w:tcBorders>
              <w:top w:val="single" w:sz="2" w:space="0" w:color="auto"/>
              <w:left w:val="single" w:sz="2" w:space="0" w:color="auto"/>
              <w:bottom w:val="single" w:sz="2" w:space="0" w:color="auto"/>
              <w:right w:val="single" w:sz="2" w:space="0" w:color="auto"/>
            </w:tcBorders>
            <w:vAlign w:val="center"/>
          </w:tcPr>
          <w:p w14:paraId="3559E45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185,140,157.31</w:t>
            </w:r>
          </w:p>
        </w:tc>
        <w:tc>
          <w:tcPr>
            <w:tcW w:w="453" w:type="pct"/>
            <w:tcBorders>
              <w:top w:val="single" w:sz="2" w:space="0" w:color="auto"/>
              <w:left w:val="single" w:sz="2" w:space="0" w:color="auto"/>
              <w:bottom w:val="single" w:sz="2" w:space="0" w:color="auto"/>
              <w:right w:val="single" w:sz="2" w:space="0" w:color="auto"/>
            </w:tcBorders>
            <w:vAlign w:val="center"/>
          </w:tcPr>
          <w:p w14:paraId="5498EA9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48,833,473.79</w:t>
            </w:r>
          </w:p>
        </w:tc>
        <w:tc>
          <w:tcPr>
            <w:tcW w:w="422" w:type="pct"/>
            <w:tcBorders>
              <w:top w:val="single" w:sz="2" w:space="0" w:color="auto"/>
              <w:left w:val="single" w:sz="2" w:space="0" w:color="auto"/>
              <w:bottom w:val="single" w:sz="2" w:space="0" w:color="auto"/>
              <w:right w:val="single" w:sz="2" w:space="0" w:color="auto"/>
            </w:tcBorders>
            <w:vAlign w:val="center"/>
          </w:tcPr>
          <w:p w14:paraId="096C83AB"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2303DE50"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667456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233,973,631.10</w:t>
            </w:r>
          </w:p>
        </w:tc>
        <w:tc>
          <w:tcPr>
            <w:tcW w:w="291" w:type="pct"/>
            <w:tcBorders>
              <w:top w:val="single" w:sz="2" w:space="0" w:color="auto"/>
              <w:left w:val="single" w:sz="2" w:space="0" w:color="auto"/>
              <w:bottom w:val="single" w:sz="2" w:space="0" w:color="auto"/>
              <w:right w:val="single" w:sz="2" w:space="0" w:color="auto"/>
            </w:tcBorders>
            <w:vAlign w:val="center"/>
          </w:tcPr>
          <w:p w14:paraId="1825DDF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158.44%</w:t>
            </w:r>
          </w:p>
        </w:tc>
        <w:tc>
          <w:tcPr>
            <w:tcW w:w="187" w:type="pct"/>
            <w:tcBorders>
              <w:top w:val="single" w:sz="2" w:space="0" w:color="auto"/>
              <w:left w:val="single" w:sz="2" w:space="0" w:color="auto"/>
              <w:bottom w:val="single" w:sz="2" w:space="0" w:color="auto"/>
              <w:right w:val="single" w:sz="2" w:space="0" w:color="auto"/>
            </w:tcBorders>
            <w:vAlign w:val="center"/>
          </w:tcPr>
          <w:p w14:paraId="7FBFF75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0.99</w:t>
            </w:r>
          </w:p>
        </w:tc>
        <w:tc>
          <w:tcPr>
            <w:tcW w:w="422" w:type="pct"/>
            <w:tcBorders>
              <w:top w:val="single" w:sz="2" w:space="0" w:color="auto"/>
              <w:left w:val="single" w:sz="2" w:space="0" w:color="auto"/>
              <w:bottom w:val="single" w:sz="2" w:space="0" w:color="auto"/>
              <w:right w:val="single" w:sz="2" w:space="0" w:color="auto"/>
            </w:tcBorders>
            <w:vAlign w:val="center"/>
          </w:tcPr>
          <w:p w14:paraId="02806C1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82,800,451.56</w:t>
            </w:r>
          </w:p>
        </w:tc>
        <w:tc>
          <w:tcPr>
            <w:tcW w:w="422" w:type="pct"/>
            <w:tcBorders>
              <w:top w:val="single" w:sz="2" w:space="0" w:color="auto"/>
              <w:left w:val="single" w:sz="2" w:space="0" w:color="auto"/>
              <w:bottom w:val="single" w:sz="2" w:space="0" w:color="auto"/>
              <w:right w:val="single" w:sz="2" w:space="0" w:color="auto"/>
            </w:tcBorders>
            <w:vAlign w:val="center"/>
          </w:tcPr>
          <w:p w14:paraId="13BFA41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32,905,294.29</w:t>
            </w:r>
          </w:p>
        </w:tc>
        <w:tc>
          <w:tcPr>
            <w:tcW w:w="239" w:type="pct"/>
            <w:tcBorders>
              <w:top w:val="single" w:sz="2" w:space="0" w:color="auto"/>
              <w:left w:val="single" w:sz="2" w:space="0" w:color="auto"/>
              <w:bottom w:val="single" w:sz="2" w:space="0" w:color="auto"/>
              <w:right w:val="single" w:sz="2" w:space="0" w:color="auto"/>
            </w:tcBorders>
            <w:vAlign w:val="center"/>
          </w:tcPr>
          <w:p w14:paraId="3A0607BB"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4635C7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募集资金</w:t>
            </w:r>
          </w:p>
        </w:tc>
      </w:tr>
      <w:tr w:rsidR="001D26E7" w:rsidRPr="00F614F9" w14:paraId="2A44F482"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7EE88F3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西刘庄猪场水井</w:t>
            </w:r>
          </w:p>
        </w:tc>
        <w:tc>
          <w:tcPr>
            <w:tcW w:w="498" w:type="pct"/>
            <w:tcBorders>
              <w:top w:val="single" w:sz="2" w:space="0" w:color="auto"/>
              <w:left w:val="single" w:sz="2" w:space="0" w:color="auto"/>
              <w:bottom w:val="single" w:sz="2" w:space="0" w:color="auto"/>
              <w:right w:val="single" w:sz="2" w:space="0" w:color="auto"/>
            </w:tcBorders>
            <w:vAlign w:val="center"/>
          </w:tcPr>
          <w:p w14:paraId="3ACB2AB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1,300,000.00</w:t>
            </w:r>
          </w:p>
        </w:tc>
        <w:tc>
          <w:tcPr>
            <w:tcW w:w="453" w:type="pct"/>
            <w:tcBorders>
              <w:top w:val="single" w:sz="2" w:space="0" w:color="auto"/>
              <w:left w:val="single" w:sz="2" w:space="0" w:color="auto"/>
              <w:bottom w:val="single" w:sz="2" w:space="0" w:color="auto"/>
              <w:right w:val="single" w:sz="2" w:space="0" w:color="auto"/>
            </w:tcBorders>
            <w:vAlign w:val="center"/>
          </w:tcPr>
          <w:p w14:paraId="1F3374F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1,287,256.00</w:t>
            </w:r>
          </w:p>
        </w:tc>
        <w:tc>
          <w:tcPr>
            <w:tcW w:w="453" w:type="pct"/>
            <w:tcBorders>
              <w:top w:val="single" w:sz="2" w:space="0" w:color="auto"/>
              <w:left w:val="single" w:sz="2" w:space="0" w:color="auto"/>
              <w:bottom w:val="single" w:sz="2" w:space="0" w:color="auto"/>
              <w:right w:val="single" w:sz="2" w:space="0" w:color="auto"/>
            </w:tcBorders>
            <w:vAlign w:val="center"/>
          </w:tcPr>
          <w:p w14:paraId="141A2B0E"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4AF261F8"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4FA5558A"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14CF5EE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1,287,256.00</w:t>
            </w:r>
          </w:p>
        </w:tc>
        <w:tc>
          <w:tcPr>
            <w:tcW w:w="291" w:type="pct"/>
            <w:tcBorders>
              <w:top w:val="single" w:sz="2" w:space="0" w:color="auto"/>
              <w:left w:val="single" w:sz="2" w:space="0" w:color="auto"/>
              <w:bottom w:val="single" w:sz="2" w:space="0" w:color="auto"/>
              <w:right w:val="single" w:sz="2" w:space="0" w:color="auto"/>
            </w:tcBorders>
            <w:vAlign w:val="center"/>
          </w:tcPr>
          <w:p w14:paraId="7279BB7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99.02%</w:t>
            </w:r>
          </w:p>
        </w:tc>
        <w:tc>
          <w:tcPr>
            <w:tcW w:w="187" w:type="pct"/>
            <w:tcBorders>
              <w:top w:val="single" w:sz="2" w:space="0" w:color="auto"/>
              <w:left w:val="single" w:sz="2" w:space="0" w:color="auto"/>
              <w:bottom w:val="single" w:sz="2" w:space="0" w:color="auto"/>
              <w:right w:val="single" w:sz="2" w:space="0" w:color="auto"/>
            </w:tcBorders>
            <w:vAlign w:val="center"/>
          </w:tcPr>
          <w:p w14:paraId="4319600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0.99</w:t>
            </w:r>
          </w:p>
        </w:tc>
        <w:tc>
          <w:tcPr>
            <w:tcW w:w="422" w:type="pct"/>
            <w:tcBorders>
              <w:top w:val="single" w:sz="2" w:space="0" w:color="auto"/>
              <w:left w:val="single" w:sz="2" w:space="0" w:color="auto"/>
              <w:bottom w:val="single" w:sz="2" w:space="0" w:color="auto"/>
              <w:right w:val="single" w:sz="2" w:space="0" w:color="auto"/>
            </w:tcBorders>
            <w:vAlign w:val="center"/>
          </w:tcPr>
          <w:p w14:paraId="3F85D55E"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0C575569"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0D7463F5"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452B541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募集资金</w:t>
            </w:r>
          </w:p>
        </w:tc>
      </w:tr>
      <w:tr w:rsidR="001D26E7" w:rsidRPr="00F614F9" w14:paraId="3B0E46DE"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3264DB0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西刘庄猪场污水站</w:t>
            </w:r>
          </w:p>
        </w:tc>
        <w:tc>
          <w:tcPr>
            <w:tcW w:w="498" w:type="pct"/>
            <w:tcBorders>
              <w:top w:val="single" w:sz="2" w:space="0" w:color="auto"/>
              <w:left w:val="single" w:sz="2" w:space="0" w:color="auto"/>
              <w:bottom w:val="single" w:sz="2" w:space="0" w:color="auto"/>
              <w:right w:val="single" w:sz="2" w:space="0" w:color="auto"/>
            </w:tcBorders>
            <w:vAlign w:val="center"/>
          </w:tcPr>
          <w:p w14:paraId="623326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6,900,000.00</w:t>
            </w:r>
          </w:p>
        </w:tc>
        <w:tc>
          <w:tcPr>
            <w:tcW w:w="453" w:type="pct"/>
            <w:tcBorders>
              <w:top w:val="single" w:sz="2" w:space="0" w:color="auto"/>
              <w:left w:val="single" w:sz="2" w:space="0" w:color="auto"/>
              <w:bottom w:val="single" w:sz="2" w:space="0" w:color="auto"/>
              <w:right w:val="single" w:sz="2" w:space="0" w:color="auto"/>
            </w:tcBorders>
            <w:vAlign w:val="center"/>
          </w:tcPr>
          <w:p w14:paraId="5F60CA1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6,870,000.00</w:t>
            </w:r>
          </w:p>
        </w:tc>
        <w:tc>
          <w:tcPr>
            <w:tcW w:w="453" w:type="pct"/>
            <w:tcBorders>
              <w:top w:val="single" w:sz="2" w:space="0" w:color="auto"/>
              <w:left w:val="single" w:sz="2" w:space="0" w:color="auto"/>
              <w:bottom w:val="single" w:sz="2" w:space="0" w:color="auto"/>
              <w:right w:val="single" w:sz="2" w:space="0" w:color="auto"/>
            </w:tcBorders>
            <w:vAlign w:val="center"/>
          </w:tcPr>
          <w:p w14:paraId="1F34BFA0"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45A8219C"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5E1E3842"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48612CF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6,870,000.00</w:t>
            </w:r>
          </w:p>
        </w:tc>
        <w:tc>
          <w:tcPr>
            <w:tcW w:w="291" w:type="pct"/>
            <w:tcBorders>
              <w:top w:val="single" w:sz="2" w:space="0" w:color="auto"/>
              <w:left w:val="single" w:sz="2" w:space="0" w:color="auto"/>
              <w:bottom w:val="single" w:sz="2" w:space="0" w:color="auto"/>
              <w:right w:val="single" w:sz="2" w:space="0" w:color="auto"/>
            </w:tcBorders>
            <w:vAlign w:val="center"/>
          </w:tcPr>
          <w:p w14:paraId="5306FCA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99.57%</w:t>
            </w:r>
          </w:p>
        </w:tc>
        <w:tc>
          <w:tcPr>
            <w:tcW w:w="187" w:type="pct"/>
            <w:tcBorders>
              <w:top w:val="single" w:sz="2" w:space="0" w:color="auto"/>
              <w:left w:val="single" w:sz="2" w:space="0" w:color="auto"/>
              <w:bottom w:val="single" w:sz="2" w:space="0" w:color="auto"/>
              <w:right w:val="single" w:sz="2" w:space="0" w:color="auto"/>
            </w:tcBorders>
            <w:vAlign w:val="center"/>
          </w:tcPr>
          <w:p w14:paraId="4E16CB3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0.99</w:t>
            </w:r>
          </w:p>
        </w:tc>
        <w:tc>
          <w:tcPr>
            <w:tcW w:w="422" w:type="pct"/>
            <w:tcBorders>
              <w:top w:val="single" w:sz="2" w:space="0" w:color="auto"/>
              <w:left w:val="single" w:sz="2" w:space="0" w:color="auto"/>
              <w:bottom w:val="single" w:sz="2" w:space="0" w:color="auto"/>
              <w:right w:val="single" w:sz="2" w:space="0" w:color="auto"/>
            </w:tcBorders>
            <w:vAlign w:val="center"/>
          </w:tcPr>
          <w:p w14:paraId="5B7DBF56"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02222A5A"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73BF6595"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0A8E96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募集资金</w:t>
            </w:r>
          </w:p>
        </w:tc>
      </w:tr>
      <w:tr w:rsidR="001D26E7" w:rsidRPr="00F614F9" w14:paraId="680B109C"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2DC18C9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西刘庄猪场燃气管道工程</w:t>
            </w:r>
          </w:p>
        </w:tc>
        <w:tc>
          <w:tcPr>
            <w:tcW w:w="498" w:type="pct"/>
            <w:tcBorders>
              <w:top w:val="single" w:sz="2" w:space="0" w:color="auto"/>
              <w:left w:val="single" w:sz="2" w:space="0" w:color="auto"/>
              <w:bottom w:val="single" w:sz="2" w:space="0" w:color="auto"/>
              <w:right w:val="single" w:sz="2" w:space="0" w:color="auto"/>
            </w:tcBorders>
            <w:vAlign w:val="center"/>
          </w:tcPr>
          <w:p w14:paraId="753A48F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540,000.00</w:t>
            </w:r>
          </w:p>
        </w:tc>
        <w:tc>
          <w:tcPr>
            <w:tcW w:w="453" w:type="pct"/>
            <w:tcBorders>
              <w:top w:val="single" w:sz="2" w:space="0" w:color="auto"/>
              <w:left w:val="single" w:sz="2" w:space="0" w:color="auto"/>
              <w:bottom w:val="single" w:sz="2" w:space="0" w:color="auto"/>
              <w:right w:val="single" w:sz="2" w:space="0" w:color="auto"/>
            </w:tcBorders>
            <w:vAlign w:val="center"/>
          </w:tcPr>
          <w:p w14:paraId="580D8DE8"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1B09F26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351,000.00</w:t>
            </w:r>
          </w:p>
        </w:tc>
        <w:tc>
          <w:tcPr>
            <w:tcW w:w="422" w:type="pct"/>
            <w:tcBorders>
              <w:top w:val="single" w:sz="2" w:space="0" w:color="auto"/>
              <w:left w:val="single" w:sz="2" w:space="0" w:color="auto"/>
              <w:bottom w:val="single" w:sz="2" w:space="0" w:color="auto"/>
              <w:right w:val="single" w:sz="2" w:space="0" w:color="auto"/>
            </w:tcBorders>
            <w:vAlign w:val="center"/>
          </w:tcPr>
          <w:p w14:paraId="67A4E2DB"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3B9FE76A"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007DB10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351,000.00</w:t>
            </w:r>
          </w:p>
        </w:tc>
        <w:tc>
          <w:tcPr>
            <w:tcW w:w="291" w:type="pct"/>
            <w:tcBorders>
              <w:top w:val="single" w:sz="2" w:space="0" w:color="auto"/>
              <w:left w:val="single" w:sz="2" w:space="0" w:color="auto"/>
              <w:bottom w:val="single" w:sz="2" w:space="0" w:color="auto"/>
              <w:right w:val="single" w:sz="2" w:space="0" w:color="auto"/>
            </w:tcBorders>
            <w:vAlign w:val="center"/>
          </w:tcPr>
          <w:p w14:paraId="70FCA25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65.00%</w:t>
            </w:r>
          </w:p>
        </w:tc>
        <w:tc>
          <w:tcPr>
            <w:tcW w:w="187" w:type="pct"/>
            <w:tcBorders>
              <w:top w:val="single" w:sz="2" w:space="0" w:color="auto"/>
              <w:left w:val="single" w:sz="2" w:space="0" w:color="auto"/>
              <w:bottom w:val="single" w:sz="2" w:space="0" w:color="auto"/>
              <w:right w:val="single" w:sz="2" w:space="0" w:color="auto"/>
            </w:tcBorders>
            <w:vAlign w:val="center"/>
          </w:tcPr>
          <w:p w14:paraId="26EC02A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0.95</w:t>
            </w:r>
          </w:p>
        </w:tc>
        <w:tc>
          <w:tcPr>
            <w:tcW w:w="422" w:type="pct"/>
            <w:tcBorders>
              <w:top w:val="single" w:sz="2" w:space="0" w:color="auto"/>
              <w:left w:val="single" w:sz="2" w:space="0" w:color="auto"/>
              <w:bottom w:val="single" w:sz="2" w:space="0" w:color="auto"/>
              <w:right w:val="single" w:sz="2" w:space="0" w:color="auto"/>
            </w:tcBorders>
            <w:vAlign w:val="center"/>
          </w:tcPr>
          <w:p w14:paraId="472E7E09"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5DA5F00A"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41F6A87E"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2EAAC31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募集资金</w:t>
            </w:r>
          </w:p>
        </w:tc>
      </w:tr>
      <w:tr w:rsidR="001D26E7" w:rsidRPr="00F614F9" w14:paraId="593ACAB5"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0B8926E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待宰栏及屠宰车间废气处理工程</w:t>
            </w:r>
          </w:p>
        </w:tc>
        <w:tc>
          <w:tcPr>
            <w:tcW w:w="498" w:type="pct"/>
            <w:tcBorders>
              <w:top w:val="single" w:sz="2" w:space="0" w:color="auto"/>
              <w:left w:val="single" w:sz="2" w:space="0" w:color="auto"/>
              <w:bottom w:val="single" w:sz="2" w:space="0" w:color="auto"/>
              <w:right w:val="single" w:sz="2" w:space="0" w:color="auto"/>
            </w:tcBorders>
            <w:vAlign w:val="center"/>
          </w:tcPr>
          <w:p w14:paraId="27A6844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2,400,000.00</w:t>
            </w:r>
          </w:p>
        </w:tc>
        <w:tc>
          <w:tcPr>
            <w:tcW w:w="453" w:type="pct"/>
            <w:tcBorders>
              <w:top w:val="single" w:sz="2" w:space="0" w:color="auto"/>
              <w:left w:val="single" w:sz="2" w:space="0" w:color="auto"/>
              <w:bottom w:val="single" w:sz="2" w:space="0" w:color="auto"/>
              <w:right w:val="single" w:sz="2" w:space="0" w:color="auto"/>
            </w:tcBorders>
            <w:vAlign w:val="center"/>
          </w:tcPr>
          <w:p w14:paraId="3A2C494B"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5004850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1,456,311.35</w:t>
            </w:r>
          </w:p>
        </w:tc>
        <w:tc>
          <w:tcPr>
            <w:tcW w:w="422" w:type="pct"/>
            <w:tcBorders>
              <w:top w:val="single" w:sz="2" w:space="0" w:color="auto"/>
              <w:left w:val="single" w:sz="2" w:space="0" w:color="auto"/>
              <w:bottom w:val="single" w:sz="2" w:space="0" w:color="auto"/>
              <w:right w:val="single" w:sz="2" w:space="0" w:color="auto"/>
            </w:tcBorders>
            <w:vAlign w:val="center"/>
          </w:tcPr>
          <w:p w14:paraId="586F71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1,456,311.35</w:t>
            </w:r>
          </w:p>
        </w:tc>
        <w:tc>
          <w:tcPr>
            <w:tcW w:w="392" w:type="pct"/>
            <w:tcBorders>
              <w:top w:val="single" w:sz="2" w:space="0" w:color="auto"/>
              <w:left w:val="single" w:sz="2" w:space="0" w:color="auto"/>
              <w:bottom w:val="single" w:sz="2" w:space="0" w:color="auto"/>
              <w:right w:val="single" w:sz="2" w:space="0" w:color="auto"/>
            </w:tcBorders>
            <w:vAlign w:val="center"/>
          </w:tcPr>
          <w:p w14:paraId="4661F1D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453" w:type="pct"/>
            <w:tcBorders>
              <w:top w:val="single" w:sz="2" w:space="0" w:color="auto"/>
              <w:left w:val="single" w:sz="2" w:space="0" w:color="auto"/>
              <w:bottom w:val="single" w:sz="2" w:space="0" w:color="auto"/>
              <w:right w:val="single" w:sz="2" w:space="0" w:color="auto"/>
            </w:tcBorders>
            <w:vAlign w:val="center"/>
          </w:tcPr>
          <w:p w14:paraId="3686F99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291" w:type="pct"/>
            <w:tcBorders>
              <w:top w:val="single" w:sz="2" w:space="0" w:color="auto"/>
              <w:left w:val="single" w:sz="2" w:space="0" w:color="auto"/>
              <w:bottom w:val="single" w:sz="2" w:space="0" w:color="auto"/>
              <w:right w:val="single" w:sz="2" w:space="0" w:color="auto"/>
            </w:tcBorders>
            <w:vAlign w:val="center"/>
          </w:tcPr>
          <w:p w14:paraId="7321790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60.68%</w:t>
            </w:r>
          </w:p>
        </w:tc>
        <w:tc>
          <w:tcPr>
            <w:tcW w:w="187" w:type="pct"/>
            <w:tcBorders>
              <w:top w:val="single" w:sz="2" w:space="0" w:color="auto"/>
              <w:left w:val="single" w:sz="2" w:space="0" w:color="auto"/>
              <w:bottom w:val="single" w:sz="2" w:space="0" w:color="auto"/>
              <w:right w:val="single" w:sz="2" w:space="0" w:color="auto"/>
            </w:tcBorders>
            <w:vAlign w:val="center"/>
          </w:tcPr>
          <w:p w14:paraId="662C1E3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422" w:type="pct"/>
            <w:tcBorders>
              <w:top w:val="single" w:sz="2" w:space="0" w:color="auto"/>
              <w:left w:val="single" w:sz="2" w:space="0" w:color="auto"/>
              <w:bottom w:val="single" w:sz="2" w:space="0" w:color="auto"/>
              <w:right w:val="single" w:sz="2" w:space="0" w:color="auto"/>
            </w:tcBorders>
            <w:vAlign w:val="center"/>
          </w:tcPr>
          <w:p w14:paraId="458EF6F9"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18A578A4"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F11D850"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0AA4396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428908F0"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3F7F54A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蒸发冷及制冷管道支架改造工程</w:t>
            </w:r>
          </w:p>
        </w:tc>
        <w:tc>
          <w:tcPr>
            <w:tcW w:w="498" w:type="pct"/>
            <w:tcBorders>
              <w:top w:val="single" w:sz="2" w:space="0" w:color="auto"/>
              <w:left w:val="single" w:sz="2" w:space="0" w:color="auto"/>
              <w:bottom w:val="single" w:sz="2" w:space="0" w:color="auto"/>
              <w:right w:val="single" w:sz="2" w:space="0" w:color="auto"/>
            </w:tcBorders>
            <w:vAlign w:val="center"/>
          </w:tcPr>
          <w:p w14:paraId="12DE53E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850,000.00</w:t>
            </w:r>
          </w:p>
        </w:tc>
        <w:tc>
          <w:tcPr>
            <w:tcW w:w="453" w:type="pct"/>
            <w:tcBorders>
              <w:top w:val="single" w:sz="2" w:space="0" w:color="auto"/>
              <w:left w:val="single" w:sz="2" w:space="0" w:color="auto"/>
              <w:bottom w:val="single" w:sz="2" w:space="0" w:color="auto"/>
              <w:right w:val="single" w:sz="2" w:space="0" w:color="auto"/>
            </w:tcBorders>
            <w:vAlign w:val="center"/>
          </w:tcPr>
          <w:p w14:paraId="76463762"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7EC7A2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588,053.10</w:t>
            </w:r>
          </w:p>
        </w:tc>
        <w:tc>
          <w:tcPr>
            <w:tcW w:w="422" w:type="pct"/>
            <w:tcBorders>
              <w:top w:val="single" w:sz="2" w:space="0" w:color="auto"/>
              <w:left w:val="single" w:sz="2" w:space="0" w:color="auto"/>
              <w:bottom w:val="single" w:sz="2" w:space="0" w:color="auto"/>
              <w:right w:val="single" w:sz="2" w:space="0" w:color="auto"/>
            </w:tcBorders>
            <w:vAlign w:val="center"/>
          </w:tcPr>
          <w:p w14:paraId="4BBA008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588,053.10</w:t>
            </w:r>
          </w:p>
        </w:tc>
        <w:tc>
          <w:tcPr>
            <w:tcW w:w="392" w:type="pct"/>
            <w:tcBorders>
              <w:top w:val="single" w:sz="2" w:space="0" w:color="auto"/>
              <w:left w:val="single" w:sz="2" w:space="0" w:color="auto"/>
              <w:bottom w:val="single" w:sz="2" w:space="0" w:color="auto"/>
              <w:right w:val="single" w:sz="2" w:space="0" w:color="auto"/>
            </w:tcBorders>
            <w:vAlign w:val="center"/>
          </w:tcPr>
          <w:p w14:paraId="39B3F25F"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4765F57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291" w:type="pct"/>
            <w:tcBorders>
              <w:top w:val="single" w:sz="2" w:space="0" w:color="auto"/>
              <w:left w:val="single" w:sz="2" w:space="0" w:color="auto"/>
              <w:bottom w:val="single" w:sz="2" w:space="0" w:color="auto"/>
              <w:right w:val="single" w:sz="2" w:space="0" w:color="auto"/>
            </w:tcBorders>
            <w:vAlign w:val="center"/>
          </w:tcPr>
          <w:p w14:paraId="2D87811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69.18%</w:t>
            </w:r>
          </w:p>
        </w:tc>
        <w:tc>
          <w:tcPr>
            <w:tcW w:w="187" w:type="pct"/>
            <w:tcBorders>
              <w:top w:val="single" w:sz="2" w:space="0" w:color="auto"/>
              <w:left w:val="single" w:sz="2" w:space="0" w:color="auto"/>
              <w:bottom w:val="single" w:sz="2" w:space="0" w:color="auto"/>
              <w:right w:val="single" w:sz="2" w:space="0" w:color="auto"/>
            </w:tcBorders>
            <w:vAlign w:val="center"/>
          </w:tcPr>
          <w:p w14:paraId="42714B6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422" w:type="pct"/>
            <w:tcBorders>
              <w:top w:val="single" w:sz="2" w:space="0" w:color="auto"/>
              <w:left w:val="single" w:sz="2" w:space="0" w:color="auto"/>
              <w:bottom w:val="single" w:sz="2" w:space="0" w:color="auto"/>
              <w:right w:val="single" w:sz="2" w:space="0" w:color="auto"/>
            </w:tcBorders>
            <w:vAlign w:val="center"/>
          </w:tcPr>
          <w:p w14:paraId="0F661FF6"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5BE4D1AB"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744C7AE3"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35135AA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4131EAA4"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1E28C45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东饲料厂粉尘防爆改造</w:t>
            </w:r>
          </w:p>
        </w:tc>
        <w:tc>
          <w:tcPr>
            <w:tcW w:w="498" w:type="pct"/>
            <w:tcBorders>
              <w:top w:val="single" w:sz="2" w:space="0" w:color="auto"/>
              <w:left w:val="single" w:sz="2" w:space="0" w:color="auto"/>
              <w:bottom w:val="single" w:sz="2" w:space="0" w:color="auto"/>
              <w:right w:val="single" w:sz="2" w:space="0" w:color="auto"/>
            </w:tcBorders>
            <w:vAlign w:val="center"/>
          </w:tcPr>
          <w:p w14:paraId="1D011FB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220,000.00</w:t>
            </w:r>
          </w:p>
        </w:tc>
        <w:tc>
          <w:tcPr>
            <w:tcW w:w="453" w:type="pct"/>
            <w:tcBorders>
              <w:top w:val="single" w:sz="2" w:space="0" w:color="auto"/>
              <w:left w:val="single" w:sz="2" w:space="0" w:color="auto"/>
              <w:bottom w:val="single" w:sz="2" w:space="0" w:color="auto"/>
              <w:right w:val="single" w:sz="2" w:space="0" w:color="auto"/>
            </w:tcBorders>
            <w:vAlign w:val="center"/>
          </w:tcPr>
          <w:p w14:paraId="4F2973D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453" w:type="pct"/>
            <w:tcBorders>
              <w:top w:val="single" w:sz="2" w:space="0" w:color="auto"/>
              <w:left w:val="single" w:sz="2" w:space="0" w:color="auto"/>
              <w:bottom w:val="single" w:sz="2" w:space="0" w:color="auto"/>
              <w:right w:val="single" w:sz="2" w:space="0" w:color="auto"/>
            </w:tcBorders>
            <w:vAlign w:val="center"/>
          </w:tcPr>
          <w:p w14:paraId="044E9F5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196,540.00</w:t>
            </w:r>
          </w:p>
        </w:tc>
        <w:tc>
          <w:tcPr>
            <w:tcW w:w="422" w:type="pct"/>
            <w:tcBorders>
              <w:top w:val="single" w:sz="2" w:space="0" w:color="auto"/>
              <w:left w:val="single" w:sz="2" w:space="0" w:color="auto"/>
              <w:bottom w:val="single" w:sz="2" w:space="0" w:color="auto"/>
              <w:right w:val="single" w:sz="2" w:space="0" w:color="auto"/>
            </w:tcBorders>
            <w:vAlign w:val="center"/>
          </w:tcPr>
          <w:p w14:paraId="5744372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92" w:type="pct"/>
            <w:tcBorders>
              <w:top w:val="single" w:sz="2" w:space="0" w:color="auto"/>
              <w:left w:val="single" w:sz="2" w:space="0" w:color="auto"/>
              <w:bottom w:val="single" w:sz="2" w:space="0" w:color="auto"/>
              <w:right w:val="single" w:sz="2" w:space="0" w:color="auto"/>
            </w:tcBorders>
            <w:vAlign w:val="center"/>
          </w:tcPr>
          <w:p w14:paraId="6F03DB5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453" w:type="pct"/>
            <w:tcBorders>
              <w:top w:val="single" w:sz="2" w:space="0" w:color="auto"/>
              <w:left w:val="single" w:sz="2" w:space="0" w:color="auto"/>
              <w:bottom w:val="single" w:sz="2" w:space="0" w:color="auto"/>
              <w:right w:val="single" w:sz="2" w:space="0" w:color="auto"/>
            </w:tcBorders>
            <w:vAlign w:val="center"/>
          </w:tcPr>
          <w:p w14:paraId="0203214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196,540.00</w:t>
            </w:r>
          </w:p>
        </w:tc>
        <w:tc>
          <w:tcPr>
            <w:tcW w:w="291" w:type="pct"/>
            <w:tcBorders>
              <w:top w:val="single" w:sz="2" w:space="0" w:color="auto"/>
              <w:left w:val="single" w:sz="2" w:space="0" w:color="auto"/>
              <w:bottom w:val="single" w:sz="2" w:space="0" w:color="auto"/>
              <w:right w:val="single" w:sz="2" w:space="0" w:color="auto"/>
            </w:tcBorders>
            <w:vAlign w:val="center"/>
          </w:tcPr>
          <w:p w14:paraId="4D1F83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89.34%</w:t>
            </w:r>
          </w:p>
        </w:tc>
        <w:tc>
          <w:tcPr>
            <w:tcW w:w="187" w:type="pct"/>
            <w:tcBorders>
              <w:top w:val="single" w:sz="2" w:space="0" w:color="auto"/>
              <w:left w:val="single" w:sz="2" w:space="0" w:color="auto"/>
              <w:bottom w:val="single" w:sz="2" w:space="0" w:color="auto"/>
              <w:right w:val="single" w:sz="2" w:space="0" w:color="auto"/>
            </w:tcBorders>
            <w:vAlign w:val="center"/>
          </w:tcPr>
          <w:p w14:paraId="4CFF954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w:t>
            </w:r>
          </w:p>
        </w:tc>
        <w:tc>
          <w:tcPr>
            <w:tcW w:w="422" w:type="pct"/>
            <w:tcBorders>
              <w:top w:val="single" w:sz="2" w:space="0" w:color="auto"/>
              <w:left w:val="single" w:sz="2" w:space="0" w:color="auto"/>
              <w:bottom w:val="single" w:sz="2" w:space="0" w:color="auto"/>
              <w:right w:val="single" w:sz="2" w:space="0" w:color="auto"/>
            </w:tcBorders>
            <w:vAlign w:val="center"/>
          </w:tcPr>
          <w:p w14:paraId="040F87E3"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62DCCBEE"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4B8859B4"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48E62BF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68578B9D"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330360B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乔家泊饲料厂技改土建工程</w:t>
            </w:r>
          </w:p>
        </w:tc>
        <w:tc>
          <w:tcPr>
            <w:tcW w:w="498" w:type="pct"/>
            <w:tcBorders>
              <w:top w:val="single" w:sz="2" w:space="0" w:color="auto"/>
              <w:left w:val="single" w:sz="2" w:space="0" w:color="auto"/>
              <w:bottom w:val="single" w:sz="2" w:space="0" w:color="auto"/>
              <w:right w:val="single" w:sz="2" w:space="0" w:color="auto"/>
            </w:tcBorders>
            <w:vAlign w:val="center"/>
          </w:tcPr>
          <w:p w14:paraId="23A2C6E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520,000.00</w:t>
            </w:r>
          </w:p>
        </w:tc>
        <w:tc>
          <w:tcPr>
            <w:tcW w:w="453" w:type="pct"/>
            <w:tcBorders>
              <w:top w:val="single" w:sz="2" w:space="0" w:color="auto"/>
              <w:left w:val="single" w:sz="2" w:space="0" w:color="auto"/>
              <w:bottom w:val="single" w:sz="2" w:space="0" w:color="auto"/>
              <w:right w:val="single" w:sz="2" w:space="0" w:color="auto"/>
            </w:tcBorders>
            <w:vAlign w:val="center"/>
          </w:tcPr>
          <w:p w14:paraId="36B4F45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453" w:type="pct"/>
            <w:tcBorders>
              <w:top w:val="single" w:sz="2" w:space="0" w:color="auto"/>
              <w:left w:val="single" w:sz="2" w:space="0" w:color="auto"/>
              <w:bottom w:val="single" w:sz="2" w:space="0" w:color="auto"/>
              <w:right w:val="single" w:sz="2" w:space="0" w:color="auto"/>
            </w:tcBorders>
            <w:vAlign w:val="center"/>
          </w:tcPr>
          <w:p w14:paraId="570D98F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420,800.00</w:t>
            </w:r>
          </w:p>
        </w:tc>
        <w:tc>
          <w:tcPr>
            <w:tcW w:w="422" w:type="pct"/>
            <w:tcBorders>
              <w:top w:val="single" w:sz="2" w:space="0" w:color="auto"/>
              <w:left w:val="single" w:sz="2" w:space="0" w:color="auto"/>
              <w:bottom w:val="single" w:sz="2" w:space="0" w:color="auto"/>
              <w:right w:val="single" w:sz="2" w:space="0" w:color="auto"/>
            </w:tcBorders>
            <w:vAlign w:val="center"/>
          </w:tcPr>
          <w:p w14:paraId="3FB16DB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92" w:type="pct"/>
            <w:tcBorders>
              <w:top w:val="single" w:sz="2" w:space="0" w:color="auto"/>
              <w:left w:val="single" w:sz="2" w:space="0" w:color="auto"/>
              <w:bottom w:val="single" w:sz="2" w:space="0" w:color="auto"/>
              <w:right w:val="single" w:sz="2" w:space="0" w:color="auto"/>
            </w:tcBorders>
            <w:vAlign w:val="center"/>
          </w:tcPr>
          <w:p w14:paraId="14CB7567"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5C63BB6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420,800.00</w:t>
            </w:r>
          </w:p>
        </w:tc>
        <w:tc>
          <w:tcPr>
            <w:tcW w:w="291" w:type="pct"/>
            <w:tcBorders>
              <w:top w:val="single" w:sz="2" w:space="0" w:color="auto"/>
              <w:left w:val="single" w:sz="2" w:space="0" w:color="auto"/>
              <w:bottom w:val="single" w:sz="2" w:space="0" w:color="auto"/>
              <w:right w:val="single" w:sz="2" w:space="0" w:color="auto"/>
            </w:tcBorders>
            <w:vAlign w:val="center"/>
          </w:tcPr>
          <w:p w14:paraId="7919F14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80.92%</w:t>
            </w:r>
          </w:p>
        </w:tc>
        <w:tc>
          <w:tcPr>
            <w:tcW w:w="187" w:type="pct"/>
            <w:tcBorders>
              <w:top w:val="single" w:sz="2" w:space="0" w:color="auto"/>
              <w:left w:val="single" w:sz="2" w:space="0" w:color="auto"/>
              <w:bottom w:val="single" w:sz="2" w:space="0" w:color="auto"/>
              <w:right w:val="single" w:sz="2" w:space="0" w:color="auto"/>
            </w:tcBorders>
            <w:vAlign w:val="center"/>
          </w:tcPr>
          <w:p w14:paraId="73492E5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0.8</w:t>
            </w:r>
          </w:p>
        </w:tc>
        <w:tc>
          <w:tcPr>
            <w:tcW w:w="422" w:type="pct"/>
            <w:tcBorders>
              <w:top w:val="single" w:sz="2" w:space="0" w:color="auto"/>
              <w:left w:val="single" w:sz="2" w:space="0" w:color="auto"/>
              <w:bottom w:val="single" w:sz="2" w:space="0" w:color="auto"/>
              <w:right w:val="single" w:sz="2" w:space="0" w:color="auto"/>
            </w:tcBorders>
            <w:vAlign w:val="center"/>
          </w:tcPr>
          <w:p w14:paraId="5983B6D1"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2D094977"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58543664"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31B7843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5582E54C"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0194063E"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团旺饲料</w:t>
            </w:r>
            <w:proofErr w:type="gramEnd"/>
            <w:r w:rsidRPr="00F614F9">
              <w:rPr>
                <w:rFonts w:ascii="Times New Roman" w:eastAsia="宋体" w:hAnsi="Times New Roman" w:cs="宋体"/>
                <w:sz w:val="18"/>
                <w:szCs w:val="18"/>
              </w:rPr>
              <w:t>车间粮仓</w:t>
            </w:r>
          </w:p>
        </w:tc>
        <w:tc>
          <w:tcPr>
            <w:tcW w:w="498" w:type="pct"/>
            <w:tcBorders>
              <w:top w:val="single" w:sz="2" w:space="0" w:color="auto"/>
              <w:left w:val="single" w:sz="2" w:space="0" w:color="auto"/>
              <w:bottom w:val="single" w:sz="2" w:space="0" w:color="auto"/>
              <w:right w:val="single" w:sz="2" w:space="0" w:color="auto"/>
            </w:tcBorders>
            <w:vAlign w:val="center"/>
          </w:tcPr>
          <w:p w14:paraId="26C023D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10,500.00</w:t>
            </w:r>
          </w:p>
        </w:tc>
        <w:tc>
          <w:tcPr>
            <w:tcW w:w="453" w:type="pct"/>
            <w:tcBorders>
              <w:top w:val="single" w:sz="2" w:space="0" w:color="auto"/>
              <w:left w:val="single" w:sz="2" w:space="0" w:color="auto"/>
              <w:bottom w:val="single" w:sz="2" w:space="0" w:color="auto"/>
              <w:right w:val="single" w:sz="2" w:space="0" w:color="auto"/>
            </w:tcBorders>
            <w:vAlign w:val="center"/>
          </w:tcPr>
          <w:p w14:paraId="342B7BC5"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03380E4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10,469.00</w:t>
            </w:r>
          </w:p>
        </w:tc>
        <w:tc>
          <w:tcPr>
            <w:tcW w:w="422" w:type="pct"/>
            <w:tcBorders>
              <w:top w:val="single" w:sz="2" w:space="0" w:color="auto"/>
              <w:left w:val="single" w:sz="2" w:space="0" w:color="auto"/>
              <w:bottom w:val="single" w:sz="2" w:space="0" w:color="auto"/>
              <w:right w:val="single" w:sz="2" w:space="0" w:color="auto"/>
            </w:tcBorders>
            <w:vAlign w:val="center"/>
          </w:tcPr>
          <w:p w14:paraId="18892DA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10,469.00</w:t>
            </w:r>
          </w:p>
        </w:tc>
        <w:tc>
          <w:tcPr>
            <w:tcW w:w="392" w:type="pct"/>
            <w:tcBorders>
              <w:top w:val="single" w:sz="2" w:space="0" w:color="auto"/>
              <w:left w:val="single" w:sz="2" w:space="0" w:color="auto"/>
              <w:bottom w:val="single" w:sz="2" w:space="0" w:color="auto"/>
              <w:right w:val="single" w:sz="2" w:space="0" w:color="auto"/>
            </w:tcBorders>
            <w:vAlign w:val="center"/>
          </w:tcPr>
          <w:p w14:paraId="61A905B2"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2C4C625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291" w:type="pct"/>
            <w:tcBorders>
              <w:top w:val="single" w:sz="2" w:space="0" w:color="auto"/>
              <w:left w:val="single" w:sz="2" w:space="0" w:color="auto"/>
              <w:bottom w:val="single" w:sz="2" w:space="0" w:color="auto"/>
              <w:right w:val="single" w:sz="2" w:space="0" w:color="auto"/>
            </w:tcBorders>
            <w:vAlign w:val="center"/>
          </w:tcPr>
          <w:p w14:paraId="09651ED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99.70%</w:t>
            </w:r>
          </w:p>
        </w:tc>
        <w:tc>
          <w:tcPr>
            <w:tcW w:w="187" w:type="pct"/>
            <w:tcBorders>
              <w:top w:val="single" w:sz="2" w:space="0" w:color="auto"/>
              <w:left w:val="single" w:sz="2" w:space="0" w:color="auto"/>
              <w:bottom w:val="single" w:sz="2" w:space="0" w:color="auto"/>
              <w:right w:val="single" w:sz="2" w:space="0" w:color="auto"/>
            </w:tcBorders>
            <w:vAlign w:val="center"/>
          </w:tcPr>
          <w:p w14:paraId="075BD36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422" w:type="pct"/>
            <w:tcBorders>
              <w:top w:val="single" w:sz="2" w:space="0" w:color="auto"/>
              <w:left w:val="single" w:sz="2" w:space="0" w:color="auto"/>
              <w:bottom w:val="single" w:sz="2" w:space="0" w:color="auto"/>
              <w:right w:val="single" w:sz="2" w:space="0" w:color="auto"/>
            </w:tcBorders>
            <w:vAlign w:val="center"/>
          </w:tcPr>
          <w:p w14:paraId="68CAC979"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46A00EBC"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05620BBB"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D68B8B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30E5BE9D"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19A383E1"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团旺饲料</w:t>
            </w:r>
            <w:proofErr w:type="gramEnd"/>
            <w:r w:rsidRPr="00F614F9">
              <w:rPr>
                <w:rFonts w:ascii="Times New Roman" w:eastAsia="宋体" w:hAnsi="Times New Roman" w:cs="宋体"/>
                <w:sz w:val="18"/>
                <w:szCs w:val="18"/>
              </w:rPr>
              <w:t>厂散装钢板仓</w:t>
            </w:r>
          </w:p>
        </w:tc>
        <w:tc>
          <w:tcPr>
            <w:tcW w:w="498" w:type="pct"/>
            <w:tcBorders>
              <w:top w:val="single" w:sz="2" w:space="0" w:color="auto"/>
              <w:left w:val="single" w:sz="2" w:space="0" w:color="auto"/>
              <w:bottom w:val="single" w:sz="2" w:space="0" w:color="auto"/>
              <w:right w:val="single" w:sz="2" w:space="0" w:color="auto"/>
            </w:tcBorders>
            <w:vAlign w:val="center"/>
          </w:tcPr>
          <w:p w14:paraId="31071E7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1,470,000.00</w:t>
            </w:r>
          </w:p>
        </w:tc>
        <w:tc>
          <w:tcPr>
            <w:tcW w:w="453" w:type="pct"/>
            <w:tcBorders>
              <w:top w:val="single" w:sz="2" w:space="0" w:color="auto"/>
              <w:left w:val="single" w:sz="2" w:space="0" w:color="auto"/>
              <w:bottom w:val="single" w:sz="2" w:space="0" w:color="auto"/>
              <w:right w:val="single" w:sz="2" w:space="0" w:color="auto"/>
            </w:tcBorders>
            <w:vAlign w:val="center"/>
          </w:tcPr>
          <w:p w14:paraId="792878E5"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20B2D5D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735,000.00</w:t>
            </w:r>
          </w:p>
        </w:tc>
        <w:tc>
          <w:tcPr>
            <w:tcW w:w="422" w:type="pct"/>
            <w:tcBorders>
              <w:top w:val="single" w:sz="2" w:space="0" w:color="auto"/>
              <w:left w:val="single" w:sz="2" w:space="0" w:color="auto"/>
              <w:bottom w:val="single" w:sz="2" w:space="0" w:color="auto"/>
              <w:right w:val="single" w:sz="2" w:space="0" w:color="auto"/>
            </w:tcBorders>
            <w:vAlign w:val="center"/>
          </w:tcPr>
          <w:p w14:paraId="07C25B45"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46342874"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5A00C16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735,000.00</w:t>
            </w:r>
          </w:p>
        </w:tc>
        <w:tc>
          <w:tcPr>
            <w:tcW w:w="291" w:type="pct"/>
            <w:tcBorders>
              <w:top w:val="single" w:sz="2" w:space="0" w:color="auto"/>
              <w:left w:val="single" w:sz="2" w:space="0" w:color="auto"/>
              <w:bottom w:val="single" w:sz="2" w:space="0" w:color="auto"/>
              <w:right w:val="single" w:sz="2" w:space="0" w:color="auto"/>
            </w:tcBorders>
            <w:vAlign w:val="center"/>
          </w:tcPr>
          <w:p w14:paraId="6A098A4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50.00%</w:t>
            </w:r>
          </w:p>
        </w:tc>
        <w:tc>
          <w:tcPr>
            <w:tcW w:w="187" w:type="pct"/>
            <w:tcBorders>
              <w:top w:val="single" w:sz="2" w:space="0" w:color="auto"/>
              <w:left w:val="single" w:sz="2" w:space="0" w:color="auto"/>
              <w:bottom w:val="single" w:sz="2" w:space="0" w:color="auto"/>
              <w:right w:val="single" w:sz="2" w:space="0" w:color="auto"/>
            </w:tcBorders>
            <w:vAlign w:val="center"/>
          </w:tcPr>
          <w:p w14:paraId="0B09ABA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0.8</w:t>
            </w:r>
          </w:p>
        </w:tc>
        <w:tc>
          <w:tcPr>
            <w:tcW w:w="422" w:type="pct"/>
            <w:tcBorders>
              <w:top w:val="single" w:sz="2" w:space="0" w:color="auto"/>
              <w:left w:val="single" w:sz="2" w:space="0" w:color="auto"/>
              <w:bottom w:val="single" w:sz="2" w:space="0" w:color="auto"/>
              <w:right w:val="single" w:sz="2" w:space="0" w:color="auto"/>
            </w:tcBorders>
            <w:vAlign w:val="center"/>
          </w:tcPr>
          <w:p w14:paraId="0D0B809D"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0D51B113"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202D58F"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1C7968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7D3B4588"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78CE482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西饲料厂粉尘防爆改造</w:t>
            </w:r>
          </w:p>
        </w:tc>
        <w:tc>
          <w:tcPr>
            <w:tcW w:w="498" w:type="pct"/>
            <w:tcBorders>
              <w:top w:val="single" w:sz="2" w:space="0" w:color="auto"/>
              <w:left w:val="single" w:sz="2" w:space="0" w:color="auto"/>
              <w:bottom w:val="single" w:sz="2" w:space="0" w:color="auto"/>
              <w:right w:val="single" w:sz="2" w:space="0" w:color="auto"/>
            </w:tcBorders>
            <w:vAlign w:val="center"/>
          </w:tcPr>
          <w:p w14:paraId="1CB2E61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300,000.00</w:t>
            </w:r>
          </w:p>
        </w:tc>
        <w:tc>
          <w:tcPr>
            <w:tcW w:w="453" w:type="pct"/>
            <w:tcBorders>
              <w:top w:val="single" w:sz="2" w:space="0" w:color="auto"/>
              <w:left w:val="single" w:sz="2" w:space="0" w:color="auto"/>
              <w:bottom w:val="single" w:sz="2" w:space="0" w:color="auto"/>
              <w:right w:val="single" w:sz="2" w:space="0" w:color="auto"/>
            </w:tcBorders>
            <w:vAlign w:val="center"/>
          </w:tcPr>
          <w:p w14:paraId="16311B94"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74FBCAD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293,460.00</w:t>
            </w:r>
          </w:p>
        </w:tc>
        <w:tc>
          <w:tcPr>
            <w:tcW w:w="422" w:type="pct"/>
            <w:tcBorders>
              <w:top w:val="single" w:sz="2" w:space="0" w:color="auto"/>
              <w:left w:val="single" w:sz="2" w:space="0" w:color="auto"/>
              <w:bottom w:val="single" w:sz="2" w:space="0" w:color="auto"/>
              <w:right w:val="single" w:sz="2" w:space="0" w:color="auto"/>
            </w:tcBorders>
            <w:vAlign w:val="center"/>
          </w:tcPr>
          <w:p w14:paraId="7AA17E48"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20768AD1"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7EB834B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293,460.00</w:t>
            </w:r>
          </w:p>
        </w:tc>
        <w:tc>
          <w:tcPr>
            <w:tcW w:w="291" w:type="pct"/>
            <w:tcBorders>
              <w:top w:val="single" w:sz="2" w:space="0" w:color="auto"/>
              <w:left w:val="single" w:sz="2" w:space="0" w:color="auto"/>
              <w:bottom w:val="single" w:sz="2" w:space="0" w:color="auto"/>
              <w:right w:val="single" w:sz="2" w:space="0" w:color="auto"/>
            </w:tcBorders>
            <w:vAlign w:val="center"/>
          </w:tcPr>
          <w:p w14:paraId="7BCC151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97.82%</w:t>
            </w:r>
          </w:p>
        </w:tc>
        <w:tc>
          <w:tcPr>
            <w:tcW w:w="187" w:type="pct"/>
            <w:tcBorders>
              <w:top w:val="single" w:sz="2" w:space="0" w:color="auto"/>
              <w:left w:val="single" w:sz="2" w:space="0" w:color="auto"/>
              <w:bottom w:val="single" w:sz="2" w:space="0" w:color="auto"/>
              <w:right w:val="single" w:sz="2" w:space="0" w:color="auto"/>
            </w:tcBorders>
            <w:vAlign w:val="center"/>
          </w:tcPr>
          <w:p w14:paraId="5F51284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w:t>
            </w:r>
          </w:p>
        </w:tc>
        <w:tc>
          <w:tcPr>
            <w:tcW w:w="422" w:type="pct"/>
            <w:tcBorders>
              <w:top w:val="single" w:sz="2" w:space="0" w:color="auto"/>
              <w:left w:val="single" w:sz="2" w:space="0" w:color="auto"/>
              <w:bottom w:val="single" w:sz="2" w:space="0" w:color="auto"/>
              <w:right w:val="single" w:sz="2" w:space="0" w:color="auto"/>
            </w:tcBorders>
            <w:vAlign w:val="center"/>
          </w:tcPr>
          <w:p w14:paraId="47833CC7"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10BF8A58"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F2B0299"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500F7D0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4C388CEE"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65E77F1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杨格庄预处理中心</w:t>
            </w:r>
          </w:p>
        </w:tc>
        <w:tc>
          <w:tcPr>
            <w:tcW w:w="498" w:type="pct"/>
            <w:tcBorders>
              <w:top w:val="single" w:sz="2" w:space="0" w:color="auto"/>
              <w:left w:val="single" w:sz="2" w:space="0" w:color="auto"/>
              <w:bottom w:val="single" w:sz="2" w:space="0" w:color="auto"/>
              <w:right w:val="single" w:sz="2" w:space="0" w:color="auto"/>
            </w:tcBorders>
            <w:vAlign w:val="center"/>
          </w:tcPr>
          <w:p w14:paraId="7D04A6E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300,000.00</w:t>
            </w:r>
          </w:p>
        </w:tc>
        <w:tc>
          <w:tcPr>
            <w:tcW w:w="453" w:type="pct"/>
            <w:tcBorders>
              <w:top w:val="single" w:sz="2" w:space="0" w:color="auto"/>
              <w:left w:val="single" w:sz="2" w:space="0" w:color="auto"/>
              <w:bottom w:val="single" w:sz="2" w:space="0" w:color="auto"/>
              <w:right w:val="single" w:sz="2" w:space="0" w:color="auto"/>
            </w:tcBorders>
            <w:vAlign w:val="center"/>
          </w:tcPr>
          <w:p w14:paraId="368388D7"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6F257E7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255,662.80</w:t>
            </w:r>
          </w:p>
        </w:tc>
        <w:tc>
          <w:tcPr>
            <w:tcW w:w="422" w:type="pct"/>
            <w:tcBorders>
              <w:top w:val="single" w:sz="2" w:space="0" w:color="auto"/>
              <w:left w:val="single" w:sz="2" w:space="0" w:color="auto"/>
              <w:bottom w:val="single" w:sz="2" w:space="0" w:color="auto"/>
              <w:right w:val="single" w:sz="2" w:space="0" w:color="auto"/>
            </w:tcBorders>
            <w:vAlign w:val="center"/>
          </w:tcPr>
          <w:p w14:paraId="0C7082D4"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5357C778"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698C393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255,662.80</w:t>
            </w:r>
          </w:p>
        </w:tc>
        <w:tc>
          <w:tcPr>
            <w:tcW w:w="291" w:type="pct"/>
            <w:tcBorders>
              <w:top w:val="single" w:sz="2" w:space="0" w:color="auto"/>
              <w:left w:val="single" w:sz="2" w:space="0" w:color="auto"/>
              <w:bottom w:val="single" w:sz="2" w:space="0" w:color="auto"/>
              <w:right w:val="single" w:sz="2" w:space="0" w:color="auto"/>
            </w:tcBorders>
            <w:vAlign w:val="center"/>
          </w:tcPr>
          <w:p w14:paraId="437C893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85.22%</w:t>
            </w:r>
          </w:p>
        </w:tc>
        <w:tc>
          <w:tcPr>
            <w:tcW w:w="187" w:type="pct"/>
            <w:tcBorders>
              <w:top w:val="single" w:sz="2" w:space="0" w:color="auto"/>
              <w:left w:val="single" w:sz="2" w:space="0" w:color="auto"/>
              <w:bottom w:val="single" w:sz="2" w:space="0" w:color="auto"/>
              <w:right w:val="single" w:sz="2" w:space="0" w:color="auto"/>
            </w:tcBorders>
            <w:vAlign w:val="center"/>
          </w:tcPr>
          <w:p w14:paraId="1BA7E0D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w:t>
            </w:r>
          </w:p>
        </w:tc>
        <w:tc>
          <w:tcPr>
            <w:tcW w:w="422" w:type="pct"/>
            <w:tcBorders>
              <w:top w:val="single" w:sz="2" w:space="0" w:color="auto"/>
              <w:left w:val="single" w:sz="2" w:space="0" w:color="auto"/>
              <w:bottom w:val="single" w:sz="2" w:space="0" w:color="auto"/>
              <w:right w:val="single" w:sz="2" w:space="0" w:color="auto"/>
            </w:tcBorders>
            <w:vAlign w:val="center"/>
          </w:tcPr>
          <w:p w14:paraId="126948E3"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6C1DE974"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529201CC"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465BD64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1CC966D3"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30835B3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王宋预处理中心</w:t>
            </w:r>
          </w:p>
        </w:tc>
        <w:tc>
          <w:tcPr>
            <w:tcW w:w="498" w:type="pct"/>
            <w:tcBorders>
              <w:top w:val="single" w:sz="2" w:space="0" w:color="auto"/>
              <w:left w:val="single" w:sz="2" w:space="0" w:color="auto"/>
              <w:bottom w:val="single" w:sz="2" w:space="0" w:color="auto"/>
              <w:right w:val="single" w:sz="2" w:space="0" w:color="auto"/>
            </w:tcBorders>
            <w:vAlign w:val="center"/>
          </w:tcPr>
          <w:p w14:paraId="3A4EC47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300,000.00</w:t>
            </w:r>
          </w:p>
        </w:tc>
        <w:tc>
          <w:tcPr>
            <w:tcW w:w="453" w:type="pct"/>
            <w:tcBorders>
              <w:top w:val="single" w:sz="2" w:space="0" w:color="auto"/>
              <w:left w:val="single" w:sz="2" w:space="0" w:color="auto"/>
              <w:bottom w:val="single" w:sz="2" w:space="0" w:color="auto"/>
              <w:right w:val="single" w:sz="2" w:space="0" w:color="auto"/>
            </w:tcBorders>
            <w:vAlign w:val="center"/>
          </w:tcPr>
          <w:p w14:paraId="7AD2E1C3"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072BF75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156,000.00</w:t>
            </w:r>
          </w:p>
        </w:tc>
        <w:tc>
          <w:tcPr>
            <w:tcW w:w="422" w:type="pct"/>
            <w:tcBorders>
              <w:top w:val="single" w:sz="2" w:space="0" w:color="auto"/>
              <w:left w:val="single" w:sz="2" w:space="0" w:color="auto"/>
              <w:bottom w:val="single" w:sz="2" w:space="0" w:color="auto"/>
              <w:right w:val="single" w:sz="2" w:space="0" w:color="auto"/>
            </w:tcBorders>
            <w:vAlign w:val="center"/>
          </w:tcPr>
          <w:p w14:paraId="3CBBB378"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07E0E2A8"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5963F54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156,000.00</w:t>
            </w:r>
          </w:p>
        </w:tc>
        <w:tc>
          <w:tcPr>
            <w:tcW w:w="291" w:type="pct"/>
            <w:tcBorders>
              <w:top w:val="single" w:sz="2" w:space="0" w:color="auto"/>
              <w:left w:val="single" w:sz="2" w:space="0" w:color="auto"/>
              <w:bottom w:val="single" w:sz="2" w:space="0" w:color="auto"/>
              <w:right w:val="single" w:sz="2" w:space="0" w:color="auto"/>
            </w:tcBorders>
            <w:vAlign w:val="center"/>
          </w:tcPr>
          <w:p w14:paraId="6AC4E7F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52.00%</w:t>
            </w:r>
          </w:p>
        </w:tc>
        <w:tc>
          <w:tcPr>
            <w:tcW w:w="187" w:type="pct"/>
            <w:tcBorders>
              <w:top w:val="single" w:sz="2" w:space="0" w:color="auto"/>
              <w:left w:val="single" w:sz="2" w:space="0" w:color="auto"/>
              <w:bottom w:val="single" w:sz="2" w:space="0" w:color="auto"/>
              <w:right w:val="single" w:sz="2" w:space="0" w:color="auto"/>
            </w:tcBorders>
            <w:vAlign w:val="center"/>
          </w:tcPr>
          <w:p w14:paraId="1F03429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0.8</w:t>
            </w:r>
          </w:p>
        </w:tc>
        <w:tc>
          <w:tcPr>
            <w:tcW w:w="422" w:type="pct"/>
            <w:tcBorders>
              <w:top w:val="single" w:sz="2" w:space="0" w:color="auto"/>
              <w:left w:val="single" w:sz="2" w:space="0" w:color="auto"/>
              <w:bottom w:val="single" w:sz="2" w:space="0" w:color="auto"/>
              <w:right w:val="single" w:sz="2" w:space="0" w:color="auto"/>
            </w:tcBorders>
            <w:vAlign w:val="center"/>
          </w:tcPr>
          <w:p w14:paraId="5B1EC205"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46061CDF"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738E75CB"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3B49E45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53F89F43"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757A6D3D"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团旺饲料</w:t>
            </w:r>
            <w:proofErr w:type="gramEnd"/>
            <w:r w:rsidRPr="00F614F9">
              <w:rPr>
                <w:rFonts w:ascii="Times New Roman" w:eastAsia="宋体" w:hAnsi="Times New Roman" w:cs="宋体"/>
                <w:sz w:val="18"/>
                <w:szCs w:val="18"/>
              </w:rPr>
              <w:t>厂土建技改工程</w:t>
            </w:r>
          </w:p>
        </w:tc>
        <w:tc>
          <w:tcPr>
            <w:tcW w:w="498" w:type="pct"/>
            <w:tcBorders>
              <w:top w:val="single" w:sz="2" w:space="0" w:color="auto"/>
              <w:left w:val="single" w:sz="2" w:space="0" w:color="auto"/>
              <w:bottom w:val="single" w:sz="2" w:space="0" w:color="auto"/>
              <w:right w:val="single" w:sz="2" w:space="0" w:color="auto"/>
            </w:tcBorders>
            <w:vAlign w:val="center"/>
          </w:tcPr>
          <w:p w14:paraId="74BDAD0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600,000.00</w:t>
            </w:r>
          </w:p>
        </w:tc>
        <w:tc>
          <w:tcPr>
            <w:tcW w:w="453" w:type="pct"/>
            <w:tcBorders>
              <w:top w:val="single" w:sz="2" w:space="0" w:color="auto"/>
              <w:left w:val="single" w:sz="2" w:space="0" w:color="auto"/>
              <w:bottom w:val="single" w:sz="2" w:space="0" w:color="auto"/>
              <w:right w:val="single" w:sz="2" w:space="0" w:color="auto"/>
            </w:tcBorders>
            <w:vAlign w:val="center"/>
          </w:tcPr>
          <w:p w14:paraId="2BA3C6BA"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450B97A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342,000.00</w:t>
            </w:r>
          </w:p>
        </w:tc>
        <w:tc>
          <w:tcPr>
            <w:tcW w:w="422" w:type="pct"/>
            <w:tcBorders>
              <w:top w:val="single" w:sz="2" w:space="0" w:color="auto"/>
              <w:left w:val="single" w:sz="2" w:space="0" w:color="auto"/>
              <w:bottom w:val="single" w:sz="2" w:space="0" w:color="auto"/>
              <w:right w:val="single" w:sz="2" w:space="0" w:color="auto"/>
            </w:tcBorders>
            <w:vAlign w:val="center"/>
          </w:tcPr>
          <w:p w14:paraId="68C693F9"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2527A647"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7D22BE1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342,000.00</w:t>
            </w:r>
          </w:p>
        </w:tc>
        <w:tc>
          <w:tcPr>
            <w:tcW w:w="291" w:type="pct"/>
            <w:tcBorders>
              <w:top w:val="single" w:sz="2" w:space="0" w:color="auto"/>
              <w:left w:val="single" w:sz="2" w:space="0" w:color="auto"/>
              <w:bottom w:val="single" w:sz="2" w:space="0" w:color="auto"/>
              <w:right w:val="single" w:sz="2" w:space="0" w:color="auto"/>
            </w:tcBorders>
            <w:vAlign w:val="center"/>
          </w:tcPr>
          <w:p w14:paraId="38E28EE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57.00%</w:t>
            </w:r>
          </w:p>
        </w:tc>
        <w:tc>
          <w:tcPr>
            <w:tcW w:w="187" w:type="pct"/>
            <w:tcBorders>
              <w:top w:val="single" w:sz="2" w:space="0" w:color="auto"/>
              <w:left w:val="single" w:sz="2" w:space="0" w:color="auto"/>
              <w:bottom w:val="single" w:sz="2" w:space="0" w:color="auto"/>
              <w:right w:val="single" w:sz="2" w:space="0" w:color="auto"/>
            </w:tcBorders>
            <w:vAlign w:val="center"/>
          </w:tcPr>
          <w:p w14:paraId="66922AE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0.8</w:t>
            </w:r>
          </w:p>
        </w:tc>
        <w:tc>
          <w:tcPr>
            <w:tcW w:w="422" w:type="pct"/>
            <w:tcBorders>
              <w:top w:val="single" w:sz="2" w:space="0" w:color="auto"/>
              <w:left w:val="single" w:sz="2" w:space="0" w:color="auto"/>
              <w:bottom w:val="single" w:sz="2" w:space="0" w:color="auto"/>
              <w:right w:val="single" w:sz="2" w:space="0" w:color="auto"/>
            </w:tcBorders>
            <w:vAlign w:val="center"/>
          </w:tcPr>
          <w:p w14:paraId="1085F0F0"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7D78E00E"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2138741F"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0DCB86A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2B7D993E"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04029FD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崔格庄土建技改工程</w:t>
            </w:r>
          </w:p>
        </w:tc>
        <w:tc>
          <w:tcPr>
            <w:tcW w:w="498" w:type="pct"/>
            <w:tcBorders>
              <w:top w:val="single" w:sz="2" w:space="0" w:color="auto"/>
              <w:left w:val="single" w:sz="2" w:space="0" w:color="auto"/>
              <w:bottom w:val="single" w:sz="2" w:space="0" w:color="auto"/>
              <w:right w:val="single" w:sz="2" w:space="0" w:color="auto"/>
            </w:tcBorders>
            <w:vAlign w:val="center"/>
          </w:tcPr>
          <w:p w14:paraId="73BAAE0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600,000.00</w:t>
            </w:r>
          </w:p>
        </w:tc>
        <w:tc>
          <w:tcPr>
            <w:tcW w:w="453" w:type="pct"/>
            <w:tcBorders>
              <w:top w:val="single" w:sz="2" w:space="0" w:color="auto"/>
              <w:left w:val="single" w:sz="2" w:space="0" w:color="auto"/>
              <w:bottom w:val="single" w:sz="2" w:space="0" w:color="auto"/>
              <w:right w:val="single" w:sz="2" w:space="0" w:color="auto"/>
            </w:tcBorders>
            <w:vAlign w:val="center"/>
          </w:tcPr>
          <w:p w14:paraId="5BB43CB4"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2C89BBB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360,000.00</w:t>
            </w:r>
          </w:p>
        </w:tc>
        <w:tc>
          <w:tcPr>
            <w:tcW w:w="422" w:type="pct"/>
            <w:tcBorders>
              <w:top w:val="single" w:sz="2" w:space="0" w:color="auto"/>
              <w:left w:val="single" w:sz="2" w:space="0" w:color="auto"/>
              <w:bottom w:val="single" w:sz="2" w:space="0" w:color="auto"/>
              <w:right w:val="single" w:sz="2" w:space="0" w:color="auto"/>
            </w:tcBorders>
            <w:vAlign w:val="center"/>
          </w:tcPr>
          <w:p w14:paraId="3AF2BAF6"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0CFB4FA7"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202B7CC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360,000.00</w:t>
            </w:r>
          </w:p>
        </w:tc>
        <w:tc>
          <w:tcPr>
            <w:tcW w:w="291" w:type="pct"/>
            <w:tcBorders>
              <w:top w:val="single" w:sz="2" w:space="0" w:color="auto"/>
              <w:left w:val="single" w:sz="2" w:space="0" w:color="auto"/>
              <w:bottom w:val="single" w:sz="2" w:space="0" w:color="auto"/>
              <w:right w:val="single" w:sz="2" w:space="0" w:color="auto"/>
            </w:tcBorders>
            <w:vAlign w:val="center"/>
          </w:tcPr>
          <w:p w14:paraId="3F5FBB1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60.00%</w:t>
            </w:r>
          </w:p>
        </w:tc>
        <w:tc>
          <w:tcPr>
            <w:tcW w:w="187" w:type="pct"/>
            <w:tcBorders>
              <w:top w:val="single" w:sz="2" w:space="0" w:color="auto"/>
              <w:left w:val="single" w:sz="2" w:space="0" w:color="auto"/>
              <w:bottom w:val="single" w:sz="2" w:space="0" w:color="auto"/>
              <w:right w:val="single" w:sz="2" w:space="0" w:color="auto"/>
            </w:tcBorders>
            <w:vAlign w:val="center"/>
          </w:tcPr>
          <w:p w14:paraId="5699031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w:t>
            </w:r>
          </w:p>
        </w:tc>
        <w:tc>
          <w:tcPr>
            <w:tcW w:w="422" w:type="pct"/>
            <w:tcBorders>
              <w:top w:val="single" w:sz="2" w:space="0" w:color="auto"/>
              <w:left w:val="single" w:sz="2" w:space="0" w:color="auto"/>
              <w:bottom w:val="single" w:sz="2" w:space="0" w:color="auto"/>
              <w:right w:val="single" w:sz="2" w:space="0" w:color="auto"/>
            </w:tcBorders>
            <w:vAlign w:val="center"/>
          </w:tcPr>
          <w:p w14:paraId="4717BFB3"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75222106"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3959CBB5"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44E8A13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1ECF21B1"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0C6CA65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龙口服务部技改工程</w:t>
            </w:r>
          </w:p>
        </w:tc>
        <w:tc>
          <w:tcPr>
            <w:tcW w:w="498" w:type="pct"/>
            <w:tcBorders>
              <w:top w:val="single" w:sz="2" w:space="0" w:color="auto"/>
              <w:left w:val="single" w:sz="2" w:space="0" w:color="auto"/>
              <w:bottom w:val="single" w:sz="2" w:space="0" w:color="auto"/>
              <w:right w:val="single" w:sz="2" w:space="0" w:color="auto"/>
            </w:tcBorders>
            <w:vAlign w:val="center"/>
          </w:tcPr>
          <w:p w14:paraId="3F35D74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200,000.00</w:t>
            </w:r>
          </w:p>
        </w:tc>
        <w:tc>
          <w:tcPr>
            <w:tcW w:w="453" w:type="pct"/>
            <w:tcBorders>
              <w:top w:val="single" w:sz="2" w:space="0" w:color="auto"/>
              <w:left w:val="single" w:sz="2" w:space="0" w:color="auto"/>
              <w:bottom w:val="single" w:sz="2" w:space="0" w:color="auto"/>
              <w:right w:val="single" w:sz="2" w:space="0" w:color="auto"/>
            </w:tcBorders>
            <w:vAlign w:val="center"/>
          </w:tcPr>
          <w:p w14:paraId="0F91AFAB"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630CEEE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87,087.28</w:t>
            </w:r>
          </w:p>
        </w:tc>
        <w:tc>
          <w:tcPr>
            <w:tcW w:w="422" w:type="pct"/>
            <w:tcBorders>
              <w:top w:val="single" w:sz="2" w:space="0" w:color="auto"/>
              <w:left w:val="single" w:sz="2" w:space="0" w:color="auto"/>
              <w:bottom w:val="single" w:sz="2" w:space="0" w:color="auto"/>
              <w:right w:val="single" w:sz="2" w:space="0" w:color="auto"/>
            </w:tcBorders>
            <w:vAlign w:val="center"/>
          </w:tcPr>
          <w:p w14:paraId="02365EE7"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7AE379DD"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03C70B1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87,087.28</w:t>
            </w:r>
          </w:p>
        </w:tc>
        <w:tc>
          <w:tcPr>
            <w:tcW w:w="291" w:type="pct"/>
            <w:tcBorders>
              <w:top w:val="single" w:sz="2" w:space="0" w:color="auto"/>
              <w:left w:val="single" w:sz="2" w:space="0" w:color="auto"/>
              <w:bottom w:val="single" w:sz="2" w:space="0" w:color="auto"/>
              <w:right w:val="single" w:sz="2" w:space="0" w:color="auto"/>
            </w:tcBorders>
            <w:vAlign w:val="center"/>
          </w:tcPr>
          <w:p w14:paraId="060199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43.54%</w:t>
            </w:r>
          </w:p>
        </w:tc>
        <w:tc>
          <w:tcPr>
            <w:tcW w:w="187" w:type="pct"/>
            <w:tcBorders>
              <w:top w:val="single" w:sz="2" w:space="0" w:color="auto"/>
              <w:left w:val="single" w:sz="2" w:space="0" w:color="auto"/>
              <w:bottom w:val="single" w:sz="2" w:space="0" w:color="auto"/>
              <w:right w:val="single" w:sz="2" w:space="0" w:color="auto"/>
            </w:tcBorders>
            <w:vAlign w:val="center"/>
          </w:tcPr>
          <w:p w14:paraId="066D479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0.8</w:t>
            </w:r>
          </w:p>
        </w:tc>
        <w:tc>
          <w:tcPr>
            <w:tcW w:w="422" w:type="pct"/>
            <w:tcBorders>
              <w:top w:val="single" w:sz="2" w:space="0" w:color="auto"/>
              <w:left w:val="single" w:sz="2" w:space="0" w:color="auto"/>
              <w:bottom w:val="single" w:sz="2" w:space="0" w:color="auto"/>
              <w:right w:val="single" w:sz="2" w:space="0" w:color="auto"/>
            </w:tcBorders>
            <w:vAlign w:val="center"/>
          </w:tcPr>
          <w:p w14:paraId="295F2AC4"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42F877AC"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5113CC7D"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7F98AA6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63A8E194"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0B4C542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东线</w:t>
            </w:r>
            <w:proofErr w:type="gramStart"/>
            <w:r w:rsidRPr="00F614F9">
              <w:rPr>
                <w:rFonts w:ascii="Times New Roman" w:eastAsia="宋体" w:hAnsi="Times New Roman" w:cs="宋体"/>
                <w:sz w:val="18"/>
                <w:szCs w:val="18"/>
              </w:rPr>
              <w:t>淘汰站</w:t>
            </w:r>
            <w:proofErr w:type="gramEnd"/>
            <w:r w:rsidRPr="00F614F9">
              <w:rPr>
                <w:rFonts w:ascii="Times New Roman" w:eastAsia="宋体" w:hAnsi="Times New Roman" w:cs="宋体"/>
                <w:sz w:val="18"/>
                <w:szCs w:val="18"/>
              </w:rPr>
              <w:t>建设</w:t>
            </w:r>
          </w:p>
        </w:tc>
        <w:tc>
          <w:tcPr>
            <w:tcW w:w="498" w:type="pct"/>
            <w:tcBorders>
              <w:top w:val="single" w:sz="2" w:space="0" w:color="auto"/>
              <w:left w:val="single" w:sz="2" w:space="0" w:color="auto"/>
              <w:bottom w:val="single" w:sz="2" w:space="0" w:color="auto"/>
              <w:right w:val="single" w:sz="2" w:space="0" w:color="auto"/>
            </w:tcBorders>
            <w:vAlign w:val="center"/>
          </w:tcPr>
          <w:p w14:paraId="0A450F4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25,000.00</w:t>
            </w:r>
          </w:p>
        </w:tc>
        <w:tc>
          <w:tcPr>
            <w:tcW w:w="453" w:type="pct"/>
            <w:tcBorders>
              <w:top w:val="single" w:sz="2" w:space="0" w:color="auto"/>
              <w:left w:val="single" w:sz="2" w:space="0" w:color="auto"/>
              <w:bottom w:val="single" w:sz="2" w:space="0" w:color="auto"/>
              <w:right w:val="single" w:sz="2" w:space="0" w:color="auto"/>
            </w:tcBorders>
            <w:vAlign w:val="center"/>
          </w:tcPr>
          <w:p w14:paraId="16679F43"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205594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23,387.56</w:t>
            </w:r>
          </w:p>
        </w:tc>
        <w:tc>
          <w:tcPr>
            <w:tcW w:w="422" w:type="pct"/>
            <w:tcBorders>
              <w:top w:val="single" w:sz="2" w:space="0" w:color="auto"/>
              <w:left w:val="single" w:sz="2" w:space="0" w:color="auto"/>
              <w:bottom w:val="single" w:sz="2" w:space="0" w:color="auto"/>
              <w:right w:val="single" w:sz="2" w:space="0" w:color="auto"/>
            </w:tcBorders>
            <w:vAlign w:val="center"/>
          </w:tcPr>
          <w:p w14:paraId="0E40E0D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23,387.56</w:t>
            </w:r>
          </w:p>
        </w:tc>
        <w:tc>
          <w:tcPr>
            <w:tcW w:w="392" w:type="pct"/>
            <w:tcBorders>
              <w:top w:val="single" w:sz="2" w:space="0" w:color="auto"/>
              <w:left w:val="single" w:sz="2" w:space="0" w:color="auto"/>
              <w:bottom w:val="single" w:sz="2" w:space="0" w:color="auto"/>
              <w:right w:val="single" w:sz="2" w:space="0" w:color="auto"/>
            </w:tcBorders>
            <w:vAlign w:val="center"/>
          </w:tcPr>
          <w:p w14:paraId="69FD428F"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33EF4E3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291" w:type="pct"/>
            <w:tcBorders>
              <w:top w:val="single" w:sz="2" w:space="0" w:color="auto"/>
              <w:left w:val="single" w:sz="2" w:space="0" w:color="auto"/>
              <w:bottom w:val="single" w:sz="2" w:space="0" w:color="auto"/>
              <w:right w:val="single" w:sz="2" w:space="0" w:color="auto"/>
            </w:tcBorders>
            <w:vAlign w:val="center"/>
          </w:tcPr>
          <w:p w14:paraId="7E98DE9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93.55%</w:t>
            </w:r>
          </w:p>
        </w:tc>
        <w:tc>
          <w:tcPr>
            <w:tcW w:w="187" w:type="pct"/>
            <w:tcBorders>
              <w:top w:val="single" w:sz="2" w:space="0" w:color="auto"/>
              <w:left w:val="single" w:sz="2" w:space="0" w:color="auto"/>
              <w:bottom w:val="single" w:sz="2" w:space="0" w:color="auto"/>
              <w:right w:val="single" w:sz="2" w:space="0" w:color="auto"/>
            </w:tcBorders>
            <w:vAlign w:val="center"/>
          </w:tcPr>
          <w:p w14:paraId="49A0005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422" w:type="pct"/>
            <w:tcBorders>
              <w:top w:val="single" w:sz="2" w:space="0" w:color="auto"/>
              <w:left w:val="single" w:sz="2" w:space="0" w:color="auto"/>
              <w:bottom w:val="single" w:sz="2" w:space="0" w:color="auto"/>
              <w:right w:val="single" w:sz="2" w:space="0" w:color="auto"/>
            </w:tcBorders>
            <w:vAlign w:val="center"/>
          </w:tcPr>
          <w:p w14:paraId="1A395648"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24AFD1BD"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080E0160"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C577ED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3DF9FF1B"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60E2D9C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王宋</w:t>
            </w:r>
            <w:proofErr w:type="gramStart"/>
            <w:r w:rsidRPr="00F614F9">
              <w:rPr>
                <w:rFonts w:ascii="Times New Roman" w:eastAsia="宋体" w:hAnsi="Times New Roman" w:cs="宋体"/>
                <w:sz w:val="18"/>
                <w:szCs w:val="18"/>
              </w:rPr>
              <w:t>一</w:t>
            </w:r>
            <w:proofErr w:type="gramEnd"/>
            <w:r w:rsidRPr="00F614F9">
              <w:rPr>
                <w:rFonts w:ascii="Times New Roman" w:eastAsia="宋体" w:hAnsi="Times New Roman" w:cs="宋体"/>
                <w:sz w:val="18"/>
                <w:szCs w:val="18"/>
              </w:rPr>
              <w:t>技改工程</w:t>
            </w:r>
          </w:p>
        </w:tc>
        <w:tc>
          <w:tcPr>
            <w:tcW w:w="498" w:type="pct"/>
            <w:tcBorders>
              <w:top w:val="single" w:sz="2" w:space="0" w:color="auto"/>
              <w:left w:val="single" w:sz="2" w:space="0" w:color="auto"/>
              <w:bottom w:val="single" w:sz="2" w:space="0" w:color="auto"/>
              <w:right w:val="single" w:sz="2" w:space="0" w:color="auto"/>
            </w:tcBorders>
            <w:vAlign w:val="center"/>
          </w:tcPr>
          <w:p w14:paraId="79CABB6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300,000.00</w:t>
            </w:r>
          </w:p>
        </w:tc>
        <w:tc>
          <w:tcPr>
            <w:tcW w:w="453" w:type="pct"/>
            <w:tcBorders>
              <w:top w:val="single" w:sz="2" w:space="0" w:color="auto"/>
              <w:left w:val="single" w:sz="2" w:space="0" w:color="auto"/>
              <w:bottom w:val="single" w:sz="2" w:space="0" w:color="auto"/>
              <w:right w:val="single" w:sz="2" w:space="0" w:color="auto"/>
            </w:tcBorders>
            <w:vAlign w:val="center"/>
          </w:tcPr>
          <w:p w14:paraId="718368A1"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5951D40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104,056.61</w:t>
            </w:r>
          </w:p>
        </w:tc>
        <w:tc>
          <w:tcPr>
            <w:tcW w:w="422" w:type="pct"/>
            <w:tcBorders>
              <w:top w:val="single" w:sz="2" w:space="0" w:color="auto"/>
              <w:left w:val="single" w:sz="2" w:space="0" w:color="auto"/>
              <w:bottom w:val="single" w:sz="2" w:space="0" w:color="auto"/>
              <w:right w:val="single" w:sz="2" w:space="0" w:color="auto"/>
            </w:tcBorders>
            <w:vAlign w:val="center"/>
          </w:tcPr>
          <w:p w14:paraId="333F43BE"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1D16A2E6"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087400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104,056.61</w:t>
            </w:r>
          </w:p>
        </w:tc>
        <w:tc>
          <w:tcPr>
            <w:tcW w:w="291" w:type="pct"/>
            <w:tcBorders>
              <w:top w:val="single" w:sz="2" w:space="0" w:color="auto"/>
              <w:left w:val="single" w:sz="2" w:space="0" w:color="auto"/>
              <w:bottom w:val="single" w:sz="2" w:space="0" w:color="auto"/>
              <w:right w:val="single" w:sz="2" w:space="0" w:color="auto"/>
            </w:tcBorders>
            <w:vAlign w:val="center"/>
          </w:tcPr>
          <w:p w14:paraId="65569C8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34.69%</w:t>
            </w:r>
          </w:p>
        </w:tc>
        <w:tc>
          <w:tcPr>
            <w:tcW w:w="187" w:type="pct"/>
            <w:tcBorders>
              <w:top w:val="single" w:sz="2" w:space="0" w:color="auto"/>
              <w:left w:val="single" w:sz="2" w:space="0" w:color="auto"/>
              <w:bottom w:val="single" w:sz="2" w:space="0" w:color="auto"/>
              <w:right w:val="single" w:sz="2" w:space="0" w:color="auto"/>
            </w:tcBorders>
            <w:vAlign w:val="center"/>
          </w:tcPr>
          <w:p w14:paraId="46C1120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0.8</w:t>
            </w:r>
          </w:p>
        </w:tc>
        <w:tc>
          <w:tcPr>
            <w:tcW w:w="422" w:type="pct"/>
            <w:tcBorders>
              <w:top w:val="single" w:sz="2" w:space="0" w:color="auto"/>
              <w:left w:val="single" w:sz="2" w:space="0" w:color="auto"/>
              <w:bottom w:val="single" w:sz="2" w:space="0" w:color="auto"/>
              <w:right w:val="single" w:sz="2" w:space="0" w:color="auto"/>
            </w:tcBorders>
            <w:vAlign w:val="center"/>
          </w:tcPr>
          <w:p w14:paraId="77DEA9CE"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3425344E"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254608B"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4A085D8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26FDA97C"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3ABC859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王宋预处理技改</w:t>
            </w:r>
          </w:p>
        </w:tc>
        <w:tc>
          <w:tcPr>
            <w:tcW w:w="498" w:type="pct"/>
            <w:tcBorders>
              <w:top w:val="single" w:sz="2" w:space="0" w:color="auto"/>
              <w:left w:val="single" w:sz="2" w:space="0" w:color="auto"/>
              <w:bottom w:val="single" w:sz="2" w:space="0" w:color="auto"/>
              <w:right w:val="single" w:sz="2" w:space="0" w:color="auto"/>
            </w:tcBorders>
            <w:vAlign w:val="center"/>
          </w:tcPr>
          <w:p w14:paraId="6D5D3F4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300,000.00</w:t>
            </w:r>
          </w:p>
        </w:tc>
        <w:tc>
          <w:tcPr>
            <w:tcW w:w="453" w:type="pct"/>
            <w:tcBorders>
              <w:top w:val="single" w:sz="2" w:space="0" w:color="auto"/>
              <w:left w:val="single" w:sz="2" w:space="0" w:color="auto"/>
              <w:bottom w:val="single" w:sz="2" w:space="0" w:color="auto"/>
              <w:right w:val="single" w:sz="2" w:space="0" w:color="auto"/>
            </w:tcBorders>
            <w:vAlign w:val="center"/>
          </w:tcPr>
          <w:p w14:paraId="2D516FB2"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2836BE8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117,543.39</w:t>
            </w:r>
          </w:p>
        </w:tc>
        <w:tc>
          <w:tcPr>
            <w:tcW w:w="422" w:type="pct"/>
            <w:tcBorders>
              <w:top w:val="single" w:sz="2" w:space="0" w:color="auto"/>
              <w:left w:val="single" w:sz="2" w:space="0" w:color="auto"/>
              <w:bottom w:val="single" w:sz="2" w:space="0" w:color="auto"/>
              <w:right w:val="single" w:sz="2" w:space="0" w:color="auto"/>
            </w:tcBorders>
            <w:vAlign w:val="center"/>
          </w:tcPr>
          <w:p w14:paraId="57382A17"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20B3A786"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272E7A2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117,543.39</w:t>
            </w:r>
          </w:p>
        </w:tc>
        <w:tc>
          <w:tcPr>
            <w:tcW w:w="291" w:type="pct"/>
            <w:tcBorders>
              <w:top w:val="single" w:sz="2" w:space="0" w:color="auto"/>
              <w:left w:val="single" w:sz="2" w:space="0" w:color="auto"/>
              <w:bottom w:val="single" w:sz="2" w:space="0" w:color="auto"/>
              <w:right w:val="single" w:sz="2" w:space="0" w:color="auto"/>
            </w:tcBorders>
            <w:vAlign w:val="center"/>
          </w:tcPr>
          <w:p w14:paraId="3D0FEB2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39.18%</w:t>
            </w:r>
          </w:p>
        </w:tc>
        <w:tc>
          <w:tcPr>
            <w:tcW w:w="187" w:type="pct"/>
            <w:tcBorders>
              <w:top w:val="single" w:sz="2" w:space="0" w:color="auto"/>
              <w:left w:val="single" w:sz="2" w:space="0" w:color="auto"/>
              <w:bottom w:val="single" w:sz="2" w:space="0" w:color="auto"/>
              <w:right w:val="single" w:sz="2" w:space="0" w:color="auto"/>
            </w:tcBorders>
            <w:vAlign w:val="center"/>
          </w:tcPr>
          <w:p w14:paraId="26BDF71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0.8</w:t>
            </w:r>
          </w:p>
        </w:tc>
        <w:tc>
          <w:tcPr>
            <w:tcW w:w="422" w:type="pct"/>
            <w:tcBorders>
              <w:top w:val="single" w:sz="2" w:space="0" w:color="auto"/>
              <w:left w:val="single" w:sz="2" w:space="0" w:color="auto"/>
              <w:bottom w:val="single" w:sz="2" w:space="0" w:color="auto"/>
              <w:right w:val="single" w:sz="2" w:space="0" w:color="auto"/>
            </w:tcBorders>
            <w:vAlign w:val="center"/>
          </w:tcPr>
          <w:p w14:paraId="60BDDE3D"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6F03A7AB"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7A443F55"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273E959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14A6E3D7"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6C5BB58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苟格庄猪场</w:t>
            </w:r>
          </w:p>
        </w:tc>
        <w:tc>
          <w:tcPr>
            <w:tcW w:w="498" w:type="pct"/>
            <w:tcBorders>
              <w:top w:val="single" w:sz="2" w:space="0" w:color="auto"/>
              <w:left w:val="single" w:sz="2" w:space="0" w:color="auto"/>
              <w:bottom w:val="single" w:sz="2" w:space="0" w:color="auto"/>
              <w:right w:val="single" w:sz="2" w:space="0" w:color="auto"/>
            </w:tcBorders>
            <w:vAlign w:val="center"/>
          </w:tcPr>
          <w:p w14:paraId="1550518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185,831,700.00</w:t>
            </w:r>
          </w:p>
        </w:tc>
        <w:tc>
          <w:tcPr>
            <w:tcW w:w="453" w:type="pct"/>
            <w:tcBorders>
              <w:top w:val="single" w:sz="2" w:space="0" w:color="auto"/>
              <w:left w:val="single" w:sz="2" w:space="0" w:color="auto"/>
              <w:bottom w:val="single" w:sz="2" w:space="0" w:color="auto"/>
              <w:right w:val="single" w:sz="2" w:space="0" w:color="auto"/>
            </w:tcBorders>
            <w:vAlign w:val="center"/>
          </w:tcPr>
          <w:p w14:paraId="4553FB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141,406,665.38</w:t>
            </w:r>
          </w:p>
        </w:tc>
        <w:tc>
          <w:tcPr>
            <w:tcW w:w="453" w:type="pct"/>
            <w:tcBorders>
              <w:top w:val="single" w:sz="2" w:space="0" w:color="auto"/>
              <w:left w:val="single" w:sz="2" w:space="0" w:color="auto"/>
              <w:bottom w:val="single" w:sz="2" w:space="0" w:color="auto"/>
              <w:right w:val="single" w:sz="2" w:space="0" w:color="auto"/>
            </w:tcBorders>
            <w:vAlign w:val="center"/>
          </w:tcPr>
          <w:p w14:paraId="41E2B4C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5,759,398.70</w:t>
            </w:r>
          </w:p>
        </w:tc>
        <w:tc>
          <w:tcPr>
            <w:tcW w:w="422" w:type="pct"/>
            <w:tcBorders>
              <w:top w:val="single" w:sz="2" w:space="0" w:color="auto"/>
              <w:left w:val="single" w:sz="2" w:space="0" w:color="auto"/>
              <w:bottom w:val="single" w:sz="2" w:space="0" w:color="auto"/>
              <w:right w:val="single" w:sz="2" w:space="0" w:color="auto"/>
            </w:tcBorders>
            <w:vAlign w:val="center"/>
          </w:tcPr>
          <w:p w14:paraId="313E5178"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3EC84940"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24AF023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147,166,064.08</w:t>
            </w:r>
          </w:p>
        </w:tc>
        <w:tc>
          <w:tcPr>
            <w:tcW w:w="291" w:type="pct"/>
            <w:tcBorders>
              <w:top w:val="single" w:sz="2" w:space="0" w:color="auto"/>
              <w:left w:val="single" w:sz="2" w:space="0" w:color="auto"/>
              <w:bottom w:val="single" w:sz="2" w:space="0" w:color="auto"/>
              <w:right w:val="single" w:sz="2" w:space="0" w:color="auto"/>
            </w:tcBorders>
            <w:vAlign w:val="center"/>
          </w:tcPr>
          <w:p w14:paraId="68F54D1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79.19%</w:t>
            </w:r>
          </w:p>
        </w:tc>
        <w:tc>
          <w:tcPr>
            <w:tcW w:w="187" w:type="pct"/>
            <w:tcBorders>
              <w:top w:val="single" w:sz="2" w:space="0" w:color="auto"/>
              <w:left w:val="single" w:sz="2" w:space="0" w:color="auto"/>
              <w:bottom w:val="single" w:sz="2" w:space="0" w:color="auto"/>
              <w:right w:val="single" w:sz="2" w:space="0" w:color="auto"/>
            </w:tcBorders>
            <w:vAlign w:val="center"/>
          </w:tcPr>
          <w:p w14:paraId="259AC23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w:t>
            </w:r>
          </w:p>
        </w:tc>
        <w:tc>
          <w:tcPr>
            <w:tcW w:w="422" w:type="pct"/>
            <w:tcBorders>
              <w:top w:val="single" w:sz="2" w:space="0" w:color="auto"/>
              <w:left w:val="single" w:sz="2" w:space="0" w:color="auto"/>
              <w:bottom w:val="single" w:sz="2" w:space="0" w:color="auto"/>
              <w:right w:val="single" w:sz="2" w:space="0" w:color="auto"/>
            </w:tcBorders>
            <w:vAlign w:val="center"/>
          </w:tcPr>
          <w:p w14:paraId="3D19C2E6"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2056C241"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3B670324"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79F0598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募集资金</w:t>
            </w:r>
          </w:p>
        </w:tc>
      </w:tr>
      <w:tr w:rsidR="001D26E7" w:rsidRPr="00F614F9" w14:paraId="410BF228"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617F5C4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苟格庄猪场水井</w:t>
            </w:r>
          </w:p>
        </w:tc>
        <w:tc>
          <w:tcPr>
            <w:tcW w:w="498" w:type="pct"/>
            <w:tcBorders>
              <w:top w:val="single" w:sz="2" w:space="0" w:color="auto"/>
              <w:left w:val="single" w:sz="2" w:space="0" w:color="auto"/>
              <w:bottom w:val="single" w:sz="2" w:space="0" w:color="auto"/>
              <w:right w:val="single" w:sz="2" w:space="0" w:color="auto"/>
            </w:tcBorders>
            <w:vAlign w:val="center"/>
          </w:tcPr>
          <w:p w14:paraId="6E044AA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1,060,936.00</w:t>
            </w:r>
          </w:p>
        </w:tc>
        <w:tc>
          <w:tcPr>
            <w:tcW w:w="453" w:type="pct"/>
            <w:tcBorders>
              <w:top w:val="single" w:sz="2" w:space="0" w:color="auto"/>
              <w:left w:val="single" w:sz="2" w:space="0" w:color="auto"/>
              <w:bottom w:val="single" w:sz="2" w:space="0" w:color="auto"/>
              <w:right w:val="single" w:sz="2" w:space="0" w:color="auto"/>
            </w:tcBorders>
            <w:vAlign w:val="center"/>
          </w:tcPr>
          <w:p w14:paraId="35B1360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960,936.00</w:t>
            </w:r>
          </w:p>
        </w:tc>
        <w:tc>
          <w:tcPr>
            <w:tcW w:w="453" w:type="pct"/>
            <w:tcBorders>
              <w:top w:val="single" w:sz="2" w:space="0" w:color="auto"/>
              <w:left w:val="single" w:sz="2" w:space="0" w:color="auto"/>
              <w:bottom w:val="single" w:sz="2" w:space="0" w:color="auto"/>
              <w:right w:val="single" w:sz="2" w:space="0" w:color="auto"/>
            </w:tcBorders>
            <w:vAlign w:val="center"/>
          </w:tcPr>
          <w:p w14:paraId="6A733F8D"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6259F237"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2FAE1AB2"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4542FC0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960,936.00</w:t>
            </w:r>
          </w:p>
        </w:tc>
        <w:tc>
          <w:tcPr>
            <w:tcW w:w="291" w:type="pct"/>
            <w:tcBorders>
              <w:top w:val="single" w:sz="2" w:space="0" w:color="auto"/>
              <w:left w:val="single" w:sz="2" w:space="0" w:color="auto"/>
              <w:bottom w:val="single" w:sz="2" w:space="0" w:color="auto"/>
              <w:right w:val="single" w:sz="2" w:space="0" w:color="auto"/>
            </w:tcBorders>
            <w:vAlign w:val="center"/>
          </w:tcPr>
          <w:p w14:paraId="35CB587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90.57%</w:t>
            </w:r>
          </w:p>
        </w:tc>
        <w:tc>
          <w:tcPr>
            <w:tcW w:w="187" w:type="pct"/>
            <w:tcBorders>
              <w:top w:val="single" w:sz="2" w:space="0" w:color="auto"/>
              <w:left w:val="single" w:sz="2" w:space="0" w:color="auto"/>
              <w:bottom w:val="single" w:sz="2" w:space="0" w:color="auto"/>
              <w:right w:val="single" w:sz="2" w:space="0" w:color="auto"/>
            </w:tcBorders>
            <w:vAlign w:val="center"/>
          </w:tcPr>
          <w:p w14:paraId="550D580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0.93</w:t>
            </w:r>
          </w:p>
        </w:tc>
        <w:tc>
          <w:tcPr>
            <w:tcW w:w="422" w:type="pct"/>
            <w:tcBorders>
              <w:top w:val="single" w:sz="2" w:space="0" w:color="auto"/>
              <w:left w:val="single" w:sz="2" w:space="0" w:color="auto"/>
              <w:bottom w:val="single" w:sz="2" w:space="0" w:color="auto"/>
              <w:right w:val="single" w:sz="2" w:space="0" w:color="auto"/>
            </w:tcBorders>
            <w:vAlign w:val="center"/>
          </w:tcPr>
          <w:p w14:paraId="7BF697A5"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3E24A15C"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E4F092F"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592023D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募集资金</w:t>
            </w:r>
          </w:p>
        </w:tc>
      </w:tr>
      <w:tr w:rsidR="001D26E7" w:rsidRPr="00F614F9" w14:paraId="089B2365"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0255B67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苟格庄猪场道路</w:t>
            </w:r>
          </w:p>
        </w:tc>
        <w:tc>
          <w:tcPr>
            <w:tcW w:w="498" w:type="pct"/>
            <w:tcBorders>
              <w:top w:val="single" w:sz="2" w:space="0" w:color="auto"/>
              <w:left w:val="single" w:sz="2" w:space="0" w:color="auto"/>
              <w:bottom w:val="single" w:sz="2" w:space="0" w:color="auto"/>
              <w:right w:val="single" w:sz="2" w:space="0" w:color="auto"/>
            </w:tcBorders>
            <w:vAlign w:val="center"/>
          </w:tcPr>
          <w:p w14:paraId="2D457CB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1,038,088.42</w:t>
            </w:r>
          </w:p>
        </w:tc>
        <w:tc>
          <w:tcPr>
            <w:tcW w:w="453" w:type="pct"/>
            <w:tcBorders>
              <w:top w:val="single" w:sz="2" w:space="0" w:color="auto"/>
              <w:left w:val="single" w:sz="2" w:space="0" w:color="auto"/>
              <w:bottom w:val="single" w:sz="2" w:space="0" w:color="auto"/>
              <w:right w:val="single" w:sz="2" w:space="0" w:color="auto"/>
            </w:tcBorders>
            <w:vAlign w:val="center"/>
          </w:tcPr>
          <w:p w14:paraId="5DCF87D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1,824,088.42</w:t>
            </w:r>
          </w:p>
        </w:tc>
        <w:tc>
          <w:tcPr>
            <w:tcW w:w="453" w:type="pct"/>
            <w:tcBorders>
              <w:top w:val="single" w:sz="2" w:space="0" w:color="auto"/>
              <w:left w:val="single" w:sz="2" w:space="0" w:color="auto"/>
              <w:bottom w:val="single" w:sz="2" w:space="0" w:color="auto"/>
              <w:right w:val="single" w:sz="2" w:space="0" w:color="auto"/>
            </w:tcBorders>
            <w:vAlign w:val="center"/>
          </w:tcPr>
          <w:p w14:paraId="7D9B8637"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5278EBE2"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03FE1958"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461EE91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1,824,088.42</w:t>
            </w:r>
          </w:p>
        </w:tc>
        <w:tc>
          <w:tcPr>
            <w:tcW w:w="291" w:type="pct"/>
            <w:tcBorders>
              <w:top w:val="single" w:sz="2" w:space="0" w:color="auto"/>
              <w:left w:val="single" w:sz="2" w:space="0" w:color="auto"/>
              <w:bottom w:val="single" w:sz="2" w:space="0" w:color="auto"/>
              <w:right w:val="single" w:sz="2" w:space="0" w:color="auto"/>
            </w:tcBorders>
            <w:vAlign w:val="center"/>
          </w:tcPr>
          <w:p w14:paraId="2AE0B99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175.72%</w:t>
            </w:r>
          </w:p>
        </w:tc>
        <w:tc>
          <w:tcPr>
            <w:tcW w:w="187" w:type="pct"/>
            <w:tcBorders>
              <w:top w:val="single" w:sz="2" w:space="0" w:color="auto"/>
              <w:left w:val="single" w:sz="2" w:space="0" w:color="auto"/>
              <w:bottom w:val="single" w:sz="2" w:space="0" w:color="auto"/>
              <w:right w:val="single" w:sz="2" w:space="0" w:color="auto"/>
            </w:tcBorders>
            <w:vAlign w:val="center"/>
          </w:tcPr>
          <w:p w14:paraId="0A3CFCC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0.95</w:t>
            </w:r>
          </w:p>
        </w:tc>
        <w:tc>
          <w:tcPr>
            <w:tcW w:w="422" w:type="pct"/>
            <w:tcBorders>
              <w:top w:val="single" w:sz="2" w:space="0" w:color="auto"/>
              <w:left w:val="single" w:sz="2" w:space="0" w:color="auto"/>
              <w:bottom w:val="single" w:sz="2" w:space="0" w:color="auto"/>
              <w:right w:val="single" w:sz="2" w:space="0" w:color="auto"/>
            </w:tcBorders>
            <w:vAlign w:val="center"/>
          </w:tcPr>
          <w:p w14:paraId="60BAEC42"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7E068B1F"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5C141AB9"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0A520BC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募集资金</w:t>
            </w:r>
          </w:p>
        </w:tc>
      </w:tr>
      <w:tr w:rsidR="001D26E7" w:rsidRPr="00F614F9" w14:paraId="7EE251FA"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42A9997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苟格庄</w:t>
            </w:r>
            <w:r w:rsidRPr="00F614F9">
              <w:rPr>
                <w:rFonts w:ascii="Times New Roman" w:eastAsia="宋体" w:hAnsi="Times New Roman" w:cs="宋体"/>
                <w:sz w:val="18"/>
                <w:szCs w:val="18"/>
              </w:rPr>
              <w:t>10KV</w:t>
            </w:r>
            <w:r w:rsidRPr="00F614F9">
              <w:rPr>
                <w:rFonts w:ascii="Times New Roman" w:eastAsia="宋体" w:hAnsi="Times New Roman" w:cs="宋体"/>
                <w:sz w:val="18"/>
                <w:szCs w:val="18"/>
              </w:rPr>
              <w:t>线路工程</w:t>
            </w:r>
          </w:p>
        </w:tc>
        <w:tc>
          <w:tcPr>
            <w:tcW w:w="498" w:type="pct"/>
            <w:tcBorders>
              <w:top w:val="single" w:sz="2" w:space="0" w:color="auto"/>
              <w:left w:val="single" w:sz="2" w:space="0" w:color="auto"/>
              <w:bottom w:val="single" w:sz="2" w:space="0" w:color="auto"/>
              <w:right w:val="single" w:sz="2" w:space="0" w:color="auto"/>
            </w:tcBorders>
            <w:vAlign w:val="center"/>
          </w:tcPr>
          <w:p w14:paraId="7F70E71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502,000.00</w:t>
            </w:r>
          </w:p>
        </w:tc>
        <w:tc>
          <w:tcPr>
            <w:tcW w:w="453" w:type="pct"/>
            <w:tcBorders>
              <w:top w:val="single" w:sz="2" w:space="0" w:color="auto"/>
              <w:left w:val="single" w:sz="2" w:space="0" w:color="auto"/>
              <w:bottom w:val="single" w:sz="2" w:space="0" w:color="auto"/>
              <w:right w:val="single" w:sz="2" w:space="0" w:color="auto"/>
            </w:tcBorders>
            <w:vAlign w:val="center"/>
          </w:tcPr>
          <w:p w14:paraId="295DF8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502,000.00</w:t>
            </w:r>
          </w:p>
        </w:tc>
        <w:tc>
          <w:tcPr>
            <w:tcW w:w="453" w:type="pct"/>
            <w:tcBorders>
              <w:top w:val="single" w:sz="2" w:space="0" w:color="auto"/>
              <w:left w:val="single" w:sz="2" w:space="0" w:color="auto"/>
              <w:bottom w:val="single" w:sz="2" w:space="0" w:color="auto"/>
              <w:right w:val="single" w:sz="2" w:space="0" w:color="auto"/>
            </w:tcBorders>
            <w:vAlign w:val="center"/>
          </w:tcPr>
          <w:p w14:paraId="151AF6C6"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4679B430"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4602805C"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69032AF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502,000.00</w:t>
            </w:r>
          </w:p>
        </w:tc>
        <w:tc>
          <w:tcPr>
            <w:tcW w:w="291" w:type="pct"/>
            <w:tcBorders>
              <w:top w:val="single" w:sz="2" w:space="0" w:color="auto"/>
              <w:left w:val="single" w:sz="2" w:space="0" w:color="auto"/>
              <w:bottom w:val="single" w:sz="2" w:space="0" w:color="auto"/>
              <w:right w:val="single" w:sz="2" w:space="0" w:color="auto"/>
            </w:tcBorders>
            <w:vAlign w:val="center"/>
          </w:tcPr>
          <w:p w14:paraId="3994A5B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87" w:type="pct"/>
            <w:tcBorders>
              <w:top w:val="single" w:sz="2" w:space="0" w:color="auto"/>
              <w:left w:val="single" w:sz="2" w:space="0" w:color="auto"/>
              <w:bottom w:val="single" w:sz="2" w:space="0" w:color="auto"/>
              <w:right w:val="single" w:sz="2" w:space="0" w:color="auto"/>
            </w:tcBorders>
            <w:vAlign w:val="center"/>
          </w:tcPr>
          <w:p w14:paraId="16A54E3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0.98</w:t>
            </w:r>
          </w:p>
        </w:tc>
        <w:tc>
          <w:tcPr>
            <w:tcW w:w="422" w:type="pct"/>
            <w:tcBorders>
              <w:top w:val="single" w:sz="2" w:space="0" w:color="auto"/>
              <w:left w:val="single" w:sz="2" w:space="0" w:color="auto"/>
              <w:bottom w:val="single" w:sz="2" w:space="0" w:color="auto"/>
              <w:right w:val="single" w:sz="2" w:space="0" w:color="auto"/>
            </w:tcBorders>
            <w:vAlign w:val="center"/>
          </w:tcPr>
          <w:p w14:paraId="5EB688CB"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1BAAB468"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7ED7B964"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34F039B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募集资金</w:t>
            </w:r>
          </w:p>
        </w:tc>
      </w:tr>
      <w:tr w:rsidR="001D26E7" w:rsidRPr="00F614F9" w14:paraId="5ACC546C"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4B6FEEB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苟格庄</w:t>
            </w:r>
            <w:r w:rsidRPr="00F614F9">
              <w:rPr>
                <w:rFonts w:ascii="Times New Roman" w:eastAsia="宋体" w:hAnsi="Times New Roman" w:cs="宋体"/>
                <w:sz w:val="18"/>
                <w:szCs w:val="18"/>
              </w:rPr>
              <w:t>10KV</w:t>
            </w:r>
            <w:r w:rsidRPr="00F614F9">
              <w:rPr>
                <w:rFonts w:ascii="Times New Roman" w:eastAsia="宋体" w:hAnsi="Times New Roman" w:cs="宋体"/>
                <w:sz w:val="18"/>
                <w:szCs w:val="18"/>
              </w:rPr>
              <w:t>配电室</w:t>
            </w:r>
          </w:p>
        </w:tc>
        <w:tc>
          <w:tcPr>
            <w:tcW w:w="498" w:type="pct"/>
            <w:tcBorders>
              <w:top w:val="single" w:sz="2" w:space="0" w:color="auto"/>
              <w:left w:val="single" w:sz="2" w:space="0" w:color="auto"/>
              <w:bottom w:val="single" w:sz="2" w:space="0" w:color="auto"/>
              <w:right w:val="single" w:sz="2" w:space="0" w:color="auto"/>
            </w:tcBorders>
            <w:vAlign w:val="center"/>
          </w:tcPr>
          <w:p w14:paraId="2026998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1,726,250.29</w:t>
            </w:r>
          </w:p>
        </w:tc>
        <w:tc>
          <w:tcPr>
            <w:tcW w:w="453" w:type="pct"/>
            <w:tcBorders>
              <w:top w:val="single" w:sz="2" w:space="0" w:color="auto"/>
              <w:left w:val="single" w:sz="2" w:space="0" w:color="auto"/>
              <w:bottom w:val="single" w:sz="2" w:space="0" w:color="auto"/>
              <w:right w:val="single" w:sz="2" w:space="0" w:color="auto"/>
            </w:tcBorders>
            <w:vAlign w:val="center"/>
          </w:tcPr>
          <w:p w14:paraId="03DBE9B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1,726,250.29</w:t>
            </w:r>
          </w:p>
        </w:tc>
        <w:tc>
          <w:tcPr>
            <w:tcW w:w="453" w:type="pct"/>
            <w:tcBorders>
              <w:top w:val="single" w:sz="2" w:space="0" w:color="auto"/>
              <w:left w:val="single" w:sz="2" w:space="0" w:color="auto"/>
              <w:bottom w:val="single" w:sz="2" w:space="0" w:color="auto"/>
              <w:right w:val="single" w:sz="2" w:space="0" w:color="auto"/>
            </w:tcBorders>
            <w:vAlign w:val="center"/>
          </w:tcPr>
          <w:p w14:paraId="26A1007F"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099CCFC6"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5FDB84EB"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038708B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1,726,250.29</w:t>
            </w:r>
          </w:p>
        </w:tc>
        <w:tc>
          <w:tcPr>
            <w:tcW w:w="291" w:type="pct"/>
            <w:tcBorders>
              <w:top w:val="single" w:sz="2" w:space="0" w:color="auto"/>
              <w:left w:val="single" w:sz="2" w:space="0" w:color="auto"/>
              <w:bottom w:val="single" w:sz="2" w:space="0" w:color="auto"/>
              <w:right w:val="single" w:sz="2" w:space="0" w:color="auto"/>
            </w:tcBorders>
            <w:vAlign w:val="center"/>
          </w:tcPr>
          <w:p w14:paraId="6E66D43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87" w:type="pct"/>
            <w:tcBorders>
              <w:top w:val="single" w:sz="2" w:space="0" w:color="auto"/>
              <w:left w:val="single" w:sz="2" w:space="0" w:color="auto"/>
              <w:bottom w:val="single" w:sz="2" w:space="0" w:color="auto"/>
              <w:right w:val="single" w:sz="2" w:space="0" w:color="auto"/>
            </w:tcBorders>
            <w:vAlign w:val="center"/>
          </w:tcPr>
          <w:p w14:paraId="79E7F32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0.96</w:t>
            </w:r>
          </w:p>
        </w:tc>
        <w:tc>
          <w:tcPr>
            <w:tcW w:w="422" w:type="pct"/>
            <w:tcBorders>
              <w:top w:val="single" w:sz="2" w:space="0" w:color="auto"/>
              <w:left w:val="single" w:sz="2" w:space="0" w:color="auto"/>
              <w:bottom w:val="single" w:sz="2" w:space="0" w:color="auto"/>
              <w:right w:val="single" w:sz="2" w:space="0" w:color="auto"/>
            </w:tcBorders>
            <w:vAlign w:val="center"/>
          </w:tcPr>
          <w:p w14:paraId="52673F2F"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5DEFD433"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54AC9878"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7C621BA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募集资金</w:t>
            </w:r>
          </w:p>
        </w:tc>
      </w:tr>
      <w:tr w:rsidR="001D26E7" w:rsidRPr="00F614F9" w14:paraId="7F5D5BFF"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6BCFA34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苟格庄猪场污水站</w:t>
            </w:r>
          </w:p>
        </w:tc>
        <w:tc>
          <w:tcPr>
            <w:tcW w:w="498" w:type="pct"/>
            <w:tcBorders>
              <w:top w:val="single" w:sz="2" w:space="0" w:color="auto"/>
              <w:left w:val="single" w:sz="2" w:space="0" w:color="auto"/>
              <w:bottom w:val="single" w:sz="2" w:space="0" w:color="auto"/>
              <w:right w:val="single" w:sz="2" w:space="0" w:color="auto"/>
            </w:tcBorders>
            <w:vAlign w:val="center"/>
          </w:tcPr>
          <w:p w14:paraId="17B6BD4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11,230,000.00</w:t>
            </w:r>
          </w:p>
        </w:tc>
        <w:tc>
          <w:tcPr>
            <w:tcW w:w="453" w:type="pct"/>
            <w:tcBorders>
              <w:top w:val="single" w:sz="2" w:space="0" w:color="auto"/>
              <w:left w:val="single" w:sz="2" w:space="0" w:color="auto"/>
              <w:bottom w:val="single" w:sz="2" w:space="0" w:color="auto"/>
              <w:right w:val="single" w:sz="2" w:space="0" w:color="auto"/>
            </w:tcBorders>
            <w:vAlign w:val="center"/>
          </w:tcPr>
          <w:p w14:paraId="5888C79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10,204,000.00</w:t>
            </w:r>
          </w:p>
        </w:tc>
        <w:tc>
          <w:tcPr>
            <w:tcW w:w="453" w:type="pct"/>
            <w:tcBorders>
              <w:top w:val="single" w:sz="2" w:space="0" w:color="auto"/>
              <w:left w:val="single" w:sz="2" w:space="0" w:color="auto"/>
              <w:bottom w:val="single" w:sz="2" w:space="0" w:color="auto"/>
              <w:right w:val="single" w:sz="2" w:space="0" w:color="auto"/>
            </w:tcBorders>
            <w:vAlign w:val="center"/>
          </w:tcPr>
          <w:p w14:paraId="125D50BC"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20EEF937"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0ADB804F"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21D61B8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10,204,000.00</w:t>
            </w:r>
          </w:p>
        </w:tc>
        <w:tc>
          <w:tcPr>
            <w:tcW w:w="291" w:type="pct"/>
            <w:tcBorders>
              <w:top w:val="single" w:sz="2" w:space="0" w:color="auto"/>
              <w:left w:val="single" w:sz="2" w:space="0" w:color="auto"/>
              <w:bottom w:val="single" w:sz="2" w:space="0" w:color="auto"/>
              <w:right w:val="single" w:sz="2" w:space="0" w:color="auto"/>
            </w:tcBorders>
            <w:vAlign w:val="center"/>
          </w:tcPr>
          <w:p w14:paraId="2DEC140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90.86%</w:t>
            </w:r>
          </w:p>
        </w:tc>
        <w:tc>
          <w:tcPr>
            <w:tcW w:w="187" w:type="pct"/>
            <w:tcBorders>
              <w:top w:val="single" w:sz="2" w:space="0" w:color="auto"/>
              <w:left w:val="single" w:sz="2" w:space="0" w:color="auto"/>
              <w:bottom w:val="single" w:sz="2" w:space="0" w:color="auto"/>
              <w:right w:val="single" w:sz="2" w:space="0" w:color="auto"/>
            </w:tcBorders>
            <w:vAlign w:val="center"/>
          </w:tcPr>
          <w:p w14:paraId="54C8B9D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0.8</w:t>
            </w:r>
          </w:p>
        </w:tc>
        <w:tc>
          <w:tcPr>
            <w:tcW w:w="422" w:type="pct"/>
            <w:tcBorders>
              <w:top w:val="single" w:sz="2" w:space="0" w:color="auto"/>
              <w:left w:val="single" w:sz="2" w:space="0" w:color="auto"/>
              <w:bottom w:val="single" w:sz="2" w:space="0" w:color="auto"/>
              <w:right w:val="single" w:sz="2" w:space="0" w:color="auto"/>
            </w:tcBorders>
            <w:vAlign w:val="center"/>
          </w:tcPr>
          <w:p w14:paraId="338E4586"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740DE60A"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543F0EF5"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22DBAA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募集资金</w:t>
            </w:r>
          </w:p>
        </w:tc>
      </w:tr>
      <w:tr w:rsidR="001D26E7" w:rsidRPr="00F614F9" w14:paraId="6687794E"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3B9F379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苟格庄猪场土石方</w:t>
            </w:r>
          </w:p>
        </w:tc>
        <w:tc>
          <w:tcPr>
            <w:tcW w:w="498" w:type="pct"/>
            <w:tcBorders>
              <w:top w:val="single" w:sz="2" w:space="0" w:color="auto"/>
              <w:left w:val="single" w:sz="2" w:space="0" w:color="auto"/>
              <w:bottom w:val="single" w:sz="2" w:space="0" w:color="auto"/>
              <w:right w:val="single" w:sz="2" w:space="0" w:color="auto"/>
            </w:tcBorders>
            <w:vAlign w:val="center"/>
          </w:tcPr>
          <w:p w14:paraId="6624F36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5,200,000.00</w:t>
            </w:r>
          </w:p>
        </w:tc>
        <w:tc>
          <w:tcPr>
            <w:tcW w:w="453" w:type="pct"/>
            <w:tcBorders>
              <w:top w:val="single" w:sz="2" w:space="0" w:color="auto"/>
              <w:left w:val="single" w:sz="2" w:space="0" w:color="auto"/>
              <w:bottom w:val="single" w:sz="2" w:space="0" w:color="auto"/>
              <w:right w:val="single" w:sz="2" w:space="0" w:color="auto"/>
            </w:tcBorders>
            <w:vAlign w:val="center"/>
          </w:tcPr>
          <w:p w14:paraId="329B665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5,200,000.00</w:t>
            </w:r>
          </w:p>
        </w:tc>
        <w:tc>
          <w:tcPr>
            <w:tcW w:w="453" w:type="pct"/>
            <w:tcBorders>
              <w:top w:val="single" w:sz="2" w:space="0" w:color="auto"/>
              <w:left w:val="single" w:sz="2" w:space="0" w:color="auto"/>
              <w:bottom w:val="single" w:sz="2" w:space="0" w:color="auto"/>
              <w:right w:val="single" w:sz="2" w:space="0" w:color="auto"/>
            </w:tcBorders>
            <w:vAlign w:val="center"/>
          </w:tcPr>
          <w:p w14:paraId="0EB1742B"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48C24C52"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60F6B031"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72D22FC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5,200,000.00</w:t>
            </w:r>
          </w:p>
        </w:tc>
        <w:tc>
          <w:tcPr>
            <w:tcW w:w="291" w:type="pct"/>
            <w:tcBorders>
              <w:top w:val="single" w:sz="2" w:space="0" w:color="auto"/>
              <w:left w:val="single" w:sz="2" w:space="0" w:color="auto"/>
              <w:bottom w:val="single" w:sz="2" w:space="0" w:color="auto"/>
              <w:right w:val="single" w:sz="2" w:space="0" w:color="auto"/>
            </w:tcBorders>
            <w:vAlign w:val="center"/>
          </w:tcPr>
          <w:p w14:paraId="0480A9D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87" w:type="pct"/>
            <w:tcBorders>
              <w:top w:val="single" w:sz="2" w:space="0" w:color="auto"/>
              <w:left w:val="single" w:sz="2" w:space="0" w:color="auto"/>
              <w:bottom w:val="single" w:sz="2" w:space="0" w:color="auto"/>
              <w:right w:val="single" w:sz="2" w:space="0" w:color="auto"/>
            </w:tcBorders>
            <w:vAlign w:val="center"/>
          </w:tcPr>
          <w:p w14:paraId="56FF380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0.98</w:t>
            </w:r>
          </w:p>
        </w:tc>
        <w:tc>
          <w:tcPr>
            <w:tcW w:w="422" w:type="pct"/>
            <w:tcBorders>
              <w:top w:val="single" w:sz="2" w:space="0" w:color="auto"/>
              <w:left w:val="single" w:sz="2" w:space="0" w:color="auto"/>
              <w:bottom w:val="single" w:sz="2" w:space="0" w:color="auto"/>
              <w:right w:val="single" w:sz="2" w:space="0" w:color="auto"/>
            </w:tcBorders>
            <w:vAlign w:val="center"/>
          </w:tcPr>
          <w:p w14:paraId="18161A00"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22F02C39"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72DD3F5A"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2CD445D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募集资金</w:t>
            </w:r>
          </w:p>
        </w:tc>
      </w:tr>
      <w:tr w:rsidR="001D26E7" w:rsidRPr="00F614F9" w14:paraId="3E70BF3B"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7645946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东院西</w:t>
            </w:r>
            <w:proofErr w:type="gramStart"/>
            <w:r w:rsidRPr="00F614F9">
              <w:rPr>
                <w:rFonts w:ascii="Times New Roman" w:eastAsia="宋体" w:hAnsi="Times New Roman" w:cs="宋体"/>
                <w:sz w:val="18"/>
                <w:szCs w:val="18"/>
              </w:rPr>
              <w:t>夼</w:t>
            </w:r>
            <w:proofErr w:type="gramEnd"/>
            <w:r w:rsidRPr="00F614F9">
              <w:rPr>
                <w:rFonts w:ascii="Times New Roman" w:eastAsia="宋体" w:hAnsi="Times New Roman" w:cs="宋体"/>
                <w:sz w:val="18"/>
                <w:szCs w:val="18"/>
              </w:rPr>
              <w:t>猪场</w:t>
            </w:r>
          </w:p>
        </w:tc>
        <w:tc>
          <w:tcPr>
            <w:tcW w:w="498" w:type="pct"/>
            <w:tcBorders>
              <w:top w:val="single" w:sz="2" w:space="0" w:color="auto"/>
              <w:left w:val="single" w:sz="2" w:space="0" w:color="auto"/>
              <w:bottom w:val="single" w:sz="2" w:space="0" w:color="auto"/>
              <w:right w:val="single" w:sz="2" w:space="0" w:color="auto"/>
            </w:tcBorders>
            <w:vAlign w:val="center"/>
          </w:tcPr>
          <w:p w14:paraId="665A2E6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40,000,000.00</w:t>
            </w:r>
          </w:p>
        </w:tc>
        <w:tc>
          <w:tcPr>
            <w:tcW w:w="453" w:type="pct"/>
            <w:tcBorders>
              <w:top w:val="single" w:sz="2" w:space="0" w:color="auto"/>
              <w:left w:val="single" w:sz="2" w:space="0" w:color="auto"/>
              <w:bottom w:val="single" w:sz="2" w:space="0" w:color="auto"/>
              <w:right w:val="single" w:sz="2" w:space="0" w:color="auto"/>
            </w:tcBorders>
            <w:vAlign w:val="center"/>
          </w:tcPr>
          <w:p w14:paraId="2CB3AF5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92,940.20</w:t>
            </w:r>
          </w:p>
        </w:tc>
        <w:tc>
          <w:tcPr>
            <w:tcW w:w="453" w:type="pct"/>
            <w:tcBorders>
              <w:top w:val="single" w:sz="2" w:space="0" w:color="auto"/>
              <w:left w:val="single" w:sz="2" w:space="0" w:color="auto"/>
              <w:bottom w:val="single" w:sz="2" w:space="0" w:color="auto"/>
              <w:right w:val="single" w:sz="2" w:space="0" w:color="auto"/>
            </w:tcBorders>
            <w:vAlign w:val="center"/>
          </w:tcPr>
          <w:p w14:paraId="045A68B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211,455.00</w:t>
            </w:r>
          </w:p>
        </w:tc>
        <w:tc>
          <w:tcPr>
            <w:tcW w:w="422" w:type="pct"/>
            <w:tcBorders>
              <w:top w:val="single" w:sz="2" w:space="0" w:color="auto"/>
              <w:left w:val="single" w:sz="2" w:space="0" w:color="auto"/>
              <w:bottom w:val="single" w:sz="2" w:space="0" w:color="auto"/>
              <w:right w:val="single" w:sz="2" w:space="0" w:color="auto"/>
            </w:tcBorders>
            <w:vAlign w:val="center"/>
          </w:tcPr>
          <w:p w14:paraId="1B70BCC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184,900.00</w:t>
            </w:r>
          </w:p>
        </w:tc>
        <w:tc>
          <w:tcPr>
            <w:tcW w:w="392" w:type="pct"/>
            <w:tcBorders>
              <w:top w:val="single" w:sz="2" w:space="0" w:color="auto"/>
              <w:left w:val="single" w:sz="2" w:space="0" w:color="auto"/>
              <w:bottom w:val="single" w:sz="2" w:space="0" w:color="auto"/>
              <w:right w:val="single" w:sz="2" w:space="0" w:color="auto"/>
            </w:tcBorders>
            <w:vAlign w:val="center"/>
          </w:tcPr>
          <w:p w14:paraId="4F060464"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34E346B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119,495.20</w:t>
            </w:r>
          </w:p>
        </w:tc>
        <w:tc>
          <w:tcPr>
            <w:tcW w:w="291" w:type="pct"/>
            <w:tcBorders>
              <w:top w:val="single" w:sz="2" w:space="0" w:color="auto"/>
              <w:left w:val="single" w:sz="2" w:space="0" w:color="auto"/>
              <w:bottom w:val="single" w:sz="2" w:space="0" w:color="auto"/>
              <w:right w:val="single" w:sz="2" w:space="0" w:color="auto"/>
            </w:tcBorders>
            <w:vAlign w:val="center"/>
          </w:tcPr>
          <w:p w14:paraId="0E1CEB3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65.35%</w:t>
            </w:r>
          </w:p>
        </w:tc>
        <w:tc>
          <w:tcPr>
            <w:tcW w:w="187" w:type="pct"/>
            <w:tcBorders>
              <w:top w:val="single" w:sz="2" w:space="0" w:color="auto"/>
              <w:left w:val="single" w:sz="2" w:space="0" w:color="auto"/>
              <w:bottom w:val="single" w:sz="2" w:space="0" w:color="auto"/>
              <w:right w:val="single" w:sz="2" w:space="0" w:color="auto"/>
            </w:tcBorders>
            <w:vAlign w:val="center"/>
          </w:tcPr>
          <w:p w14:paraId="067980A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0.96</w:t>
            </w:r>
          </w:p>
        </w:tc>
        <w:tc>
          <w:tcPr>
            <w:tcW w:w="422" w:type="pct"/>
            <w:tcBorders>
              <w:top w:val="single" w:sz="2" w:space="0" w:color="auto"/>
              <w:left w:val="single" w:sz="2" w:space="0" w:color="auto"/>
              <w:bottom w:val="single" w:sz="2" w:space="0" w:color="auto"/>
              <w:right w:val="single" w:sz="2" w:space="0" w:color="auto"/>
            </w:tcBorders>
            <w:vAlign w:val="center"/>
          </w:tcPr>
          <w:p w14:paraId="7E49DD1C"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72B475D4"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0192D32"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30E78F4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68D0D47C"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066520D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东院西</w:t>
            </w:r>
            <w:proofErr w:type="gramStart"/>
            <w:r w:rsidRPr="00F614F9">
              <w:rPr>
                <w:rFonts w:ascii="Times New Roman" w:eastAsia="宋体" w:hAnsi="Times New Roman" w:cs="宋体"/>
                <w:sz w:val="18"/>
                <w:szCs w:val="18"/>
              </w:rPr>
              <w:t>夼</w:t>
            </w:r>
            <w:proofErr w:type="gramEnd"/>
            <w:r w:rsidRPr="00F614F9">
              <w:rPr>
                <w:rFonts w:ascii="Times New Roman" w:eastAsia="宋体" w:hAnsi="Times New Roman" w:cs="宋体"/>
                <w:sz w:val="18"/>
                <w:szCs w:val="18"/>
              </w:rPr>
              <w:t>燃气管道工程</w:t>
            </w:r>
          </w:p>
        </w:tc>
        <w:tc>
          <w:tcPr>
            <w:tcW w:w="498" w:type="pct"/>
            <w:tcBorders>
              <w:top w:val="single" w:sz="2" w:space="0" w:color="auto"/>
              <w:left w:val="single" w:sz="2" w:space="0" w:color="auto"/>
              <w:bottom w:val="single" w:sz="2" w:space="0" w:color="auto"/>
              <w:right w:val="single" w:sz="2" w:space="0" w:color="auto"/>
            </w:tcBorders>
            <w:vAlign w:val="center"/>
          </w:tcPr>
          <w:p w14:paraId="70AA7D5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35,000.00</w:t>
            </w:r>
          </w:p>
        </w:tc>
        <w:tc>
          <w:tcPr>
            <w:tcW w:w="453" w:type="pct"/>
            <w:tcBorders>
              <w:top w:val="single" w:sz="2" w:space="0" w:color="auto"/>
              <w:left w:val="single" w:sz="2" w:space="0" w:color="auto"/>
              <w:bottom w:val="single" w:sz="2" w:space="0" w:color="auto"/>
              <w:right w:val="single" w:sz="2" w:space="0" w:color="auto"/>
            </w:tcBorders>
            <w:vAlign w:val="center"/>
          </w:tcPr>
          <w:p w14:paraId="5798A377"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15C3F31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35,000.00</w:t>
            </w:r>
          </w:p>
        </w:tc>
        <w:tc>
          <w:tcPr>
            <w:tcW w:w="422" w:type="pct"/>
            <w:tcBorders>
              <w:top w:val="single" w:sz="2" w:space="0" w:color="auto"/>
              <w:left w:val="single" w:sz="2" w:space="0" w:color="auto"/>
              <w:bottom w:val="single" w:sz="2" w:space="0" w:color="auto"/>
              <w:right w:val="single" w:sz="2" w:space="0" w:color="auto"/>
            </w:tcBorders>
            <w:vAlign w:val="center"/>
          </w:tcPr>
          <w:p w14:paraId="19523B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35,000.00</w:t>
            </w:r>
          </w:p>
        </w:tc>
        <w:tc>
          <w:tcPr>
            <w:tcW w:w="392" w:type="pct"/>
            <w:tcBorders>
              <w:top w:val="single" w:sz="2" w:space="0" w:color="auto"/>
              <w:left w:val="single" w:sz="2" w:space="0" w:color="auto"/>
              <w:bottom w:val="single" w:sz="2" w:space="0" w:color="auto"/>
              <w:right w:val="single" w:sz="2" w:space="0" w:color="auto"/>
            </w:tcBorders>
            <w:vAlign w:val="center"/>
          </w:tcPr>
          <w:p w14:paraId="02C973FC"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05734D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291" w:type="pct"/>
            <w:tcBorders>
              <w:top w:val="single" w:sz="2" w:space="0" w:color="auto"/>
              <w:left w:val="single" w:sz="2" w:space="0" w:color="auto"/>
              <w:bottom w:val="single" w:sz="2" w:space="0" w:color="auto"/>
              <w:right w:val="single" w:sz="2" w:space="0" w:color="auto"/>
            </w:tcBorders>
            <w:vAlign w:val="center"/>
          </w:tcPr>
          <w:p w14:paraId="3366C39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87" w:type="pct"/>
            <w:tcBorders>
              <w:top w:val="single" w:sz="2" w:space="0" w:color="auto"/>
              <w:left w:val="single" w:sz="2" w:space="0" w:color="auto"/>
              <w:bottom w:val="single" w:sz="2" w:space="0" w:color="auto"/>
              <w:right w:val="single" w:sz="2" w:space="0" w:color="auto"/>
            </w:tcBorders>
            <w:vAlign w:val="center"/>
          </w:tcPr>
          <w:p w14:paraId="086ABC6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422" w:type="pct"/>
            <w:tcBorders>
              <w:top w:val="single" w:sz="2" w:space="0" w:color="auto"/>
              <w:left w:val="single" w:sz="2" w:space="0" w:color="auto"/>
              <w:bottom w:val="single" w:sz="2" w:space="0" w:color="auto"/>
              <w:right w:val="single" w:sz="2" w:space="0" w:color="auto"/>
            </w:tcBorders>
            <w:vAlign w:val="center"/>
          </w:tcPr>
          <w:p w14:paraId="01C9D735"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3751AEAF"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53A74807"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5383228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0995BD32"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2E74766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莱阳养殖场</w:t>
            </w:r>
          </w:p>
        </w:tc>
        <w:tc>
          <w:tcPr>
            <w:tcW w:w="498" w:type="pct"/>
            <w:tcBorders>
              <w:top w:val="single" w:sz="2" w:space="0" w:color="auto"/>
              <w:left w:val="single" w:sz="2" w:space="0" w:color="auto"/>
              <w:bottom w:val="single" w:sz="2" w:space="0" w:color="auto"/>
              <w:right w:val="single" w:sz="2" w:space="0" w:color="auto"/>
            </w:tcBorders>
            <w:vAlign w:val="center"/>
          </w:tcPr>
          <w:p w14:paraId="44EF5A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30,000,000.00</w:t>
            </w:r>
          </w:p>
        </w:tc>
        <w:tc>
          <w:tcPr>
            <w:tcW w:w="453" w:type="pct"/>
            <w:tcBorders>
              <w:top w:val="single" w:sz="2" w:space="0" w:color="auto"/>
              <w:left w:val="single" w:sz="2" w:space="0" w:color="auto"/>
              <w:bottom w:val="single" w:sz="2" w:space="0" w:color="auto"/>
              <w:right w:val="single" w:sz="2" w:space="0" w:color="auto"/>
            </w:tcBorders>
            <w:vAlign w:val="center"/>
          </w:tcPr>
          <w:p w14:paraId="2D5EC8F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742,959.15</w:t>
            </w:r>
          </w:p>
        </w:tc>
        <w:tc>
          <w:tcPr>
            <w:tcW w:w="453" w:type="pct"/>
            <w:tcBorders>
              <w:top w:val="single" w:sz="2" w:space="0" w:color="auto"/>
              <w:left w:val="single" w:sz="2" w:space="0" w:color="auto"/>
              <w:bottom w:val="single" w:sz="2" w:space="0" w:color="auto"/>
              <w:right w:val="single" w:sz="2" w:space="0" w:color="auto"/>
            </w:tcBorders>
            <w:vAlign w:val="center"/>
          </w:tcPr>
          <w:p w14:paraId="28508B9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233,088.36</w:t>
            </w:r>
          </w:p>
        </w:tc>
        <w:tc>
          <w:tcPr>
            <w:tcW w:w="422" w:type="pct"/>
            <w:tcBorders>
              <w:top w:val="single" w:sz="2" w:space="0" w:color="auto"/>
              <w:left w:val="single" w:sz="2" w:space="0" w:color="auto"/>
              <w:bottom w:val="single" w:sz="2" w:space="0" w:color="auto"/>
              <w:right w:val="single" w:sz="2" w:space="0" w:color="auto"/>
            </w:tcBorders>
            <w:vAlign w:val="center"/>
          </w:tcPr>
          <w:p w14:paraId="3506F95E"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67994DC2"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7F48F7A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976,047.51</w:t>
            </w:r>
          </w:p>
        </w:tc>
        <w:tc>
          <w:tcPr>
            <w:tcW w:w="291" w:type="pct"/>
            <w:tcBorders>
              <w:top w:val="single" w:sz="2" w:space="0" w:color="auto"/>
              <w:left w:val="single" w:sz="2" w:space="0" w:color="auto"/>
              <w:bottom w:val="single" w:sz="2" w:space="0" w:color="auto"/>
              <w:right w:val="single" w:sz="2" w:space="0" w:color="auto"/>
            </w:tcBorders>
            <w:vAlign w:val="center"/>
          </w:tcPr>
          <w:p w14:paraId="2D52666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3.25%</w:t>
            </w:r>
          </w:p>
        </w:tc>
        <w:tc>
          <w:tcPr>
            <w:tcW w:w="187" w:type="pct"/>
            <w:tcBorders>
              <w:top w:val="single" w:sz="2" w:space="0" w:color="auto"/>
              <w:left w:val="single" w:sz="2" w:space="0" w:color="auto"/>
              <w:bottom w:val="single" w:sz="2" w:space="0" w:color="auto"/>
              <w:right w:val="single" w:sz="2" w:space="0" w:color="auto"/>
            </w:tcBorders>
            <w:vAlign w:val="center"/>
          </w:tcPr>
          <w:p w14:paraId="4D2FBDC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0.2</w:t>
            </w:r>
          </w:p>
        </w:tc>
        <w:tc>
          <w:tcPr>
            <w:tcW w:w="422" w:type="pct"/>
            <w:tcBorders>
              <w:top w:val="single" w:sz="2" w:space="0" w:color="auto"/>
              <w:left w:val="single" w:sz="2" w:space="0" w:color="auto"/>
              <w:bottom w:val="single" w:sz="2" w:space="0" w:color="auto"/>
              <w:right w:val="single" w:sz="2" w:space="0" w:color="auto"/>
            </w:tcBorders>
            <w:vAlign w:val="center"/>
          </w:tcPr>
          <w:p w14:paraId="3B8F9FBB"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0FEFA420"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77781545"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54D4FA5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7A012F4B"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5087E0D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马台石猪场</w:t>
            </w:r>
          </w:p>
        </w:tc>
        <w:tc>
          <w:tcPr>
            <w:tcW w:w="498" w:type="pct"/>
            <w:tcBorders>
              <w:top w:val="single" w:sz="2" w:space="0" w:color="auto"/>
              <w:left w:val="single" w:sz="2" w:space="0" w:color="auto"/>
              <w:bottom w:val="single" w:sz="2" w:space="0" w:color="auto"/>
              <w:right w:val="single" w:sz="2" w:space="0" w:color="auto"/>
            </w:tcBorders>
            <w:vAlign w:val="center"/>
          </w:tcPr>
          <w:p w14:paraId="07CA2C8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138,837,400.00</w:t>
            </w:r>
          </w:p>
        </w:tc>
        <w:tc>
          <w:tcPr>
            <w:tcW w:w="453" w:type="pct"/>
            <w:tcBorders>
              <w:top w:val="single" w:sz="2" w:space="0" w:color="auto"/>
              <w:left w:val="single" w:sz="2" w:space="0" w:color="auto"/>
              <w:bottom w:val="single" w:sz="2" w:space="0" w:color="auto"/>
              <w:right w:val="single" w:sz="2" w:space="0" w:color="auto"/>
            </w:tcBorders>
            <w:vAlign w:val="center"/>
          </w:tcPr>
          <w:p w14:paraId="721AA09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41,379,443.28</w:t>
            </w:r>
          </w:p>
        </w:tc>
        <w:tc>
          <w:tcPr>
            <w:tcW w:w="453" w:type="pct"/>
            <w:tcBorders>
              <w:top w:val="single" w:sz="2" w:space="0" w:color="auto"/>
              <w:left w:val="single" w:sz="2" w:space="0" w:color="auto"/>
              <w:bottom w:val="single" w:sz="2" w:space="0" w:color="auto"/>
              <w:right w:val="single" w:sz="2" w:space="0" w:color="auto"/>
            </w:tcBorders>
            <w:vAlign w:val="center"/>
          </w:tcPr>
          <w:p w14:paraId="028EA1A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12,549,536.06</w:t>
            </w:r>
          </w:p>
        </w:tc>
        <w:tc>
          <w:tcPr>
            <w:tcW w:w="422" w:type="pct"/>
            <w:tcBorders>
              <w:top w:val="single" w:sz="2" w:space="0" w:color="auto"/>
              <w:left w:val="single" w:sz="2" w:space="0" w:color="auto"/>
              <w:bottom w:val="single" w:sz="2" w:space="0" w:color="auto"/>
              <w:right w:val="single" w:sz="2" w:space="0" w:color="auto"/>
            </w:tcBorders>
            <w:vAlign w:val="center"/>
          </w:tcPr>
          <w:p w14:paraId="34DB9E4B"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68545FF0"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07F16FF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53,928,979.34</w:t>
            </w:r>
          </w:p>
        </w:tc>
        <w:tc>
          <w:tcPr>
            <w:tcW w:w="291" w:type="pct"/>
            <w:tcBorders>
              <w:top w:val="single" w:sz="2" w:space="0" w:color="auto"/>
              <w:left w:val="single" w:sz="2" w:space="0" w:color="auto"/>
              <w:bottom w:val="single" w:sz="2" w:space="0" w:color="auto"/>
              <w:right w:val="single" w:sz="2" w:space="0" w:color="auto"/>
            </w:tcBorders>
            <w:vAlign w:val="center"/>
          </w:tcPr>
          <w:p w14:paraId="546191F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111.39%</w:t>
            </w:r>
          </w:p>
        </w:tc>
        <w:tc>
          <w:tcPr>
            <w:tcW w:w="187" w:type="pct"/>
            <w:tcBorders>
              <w:top w:val="single" w:sz="2" w:space="0" w:color="auto"/>
              <w:left w:val="single" w:sz="2" w:space="0" w:color="auto"/>
              <w:bottom w:val="single" w:sz="2" w:space="0" w:color="auto"/>
              <w:right w:val="single" w:sz="2" w:space="0" w:color="auto"/>
            </w:tcBorders>
            <w:vAlign w:val="center"/>
          </w:tcPr>
          <w:p w14:paraId="3E29FA9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0.98</w:t>
            </w:r>
          </w:p>
        </w:tc>
        <w:tc>
          <w:tcPr>
            <w:tcW w:w="422" w:type="pct"/>
            <w:tcBorders>
              <w:top w:val="single" w:sz="2" w:space="0" w:color="auto"/>
              <w:left w:val="single" w:sz="2" w:space="0" w:color="auto"/>
              <w:bottom w:val="single" w:sz="2" w:space="0" w:color="auto"/>
              <w:right w:val="single" w:sz="2" w:space="0" w:color="auto"/>
            </w:tcBorders>
            <w:vAlign w:val="center"/>
          </w:tcPr>
          <w:p w14:paraId="6B7F335E"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09E2860D"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523D5F96"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1788E68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募集资金</w:t>
            </w:r>
          </w:p>
        </w:tc>
      </w:tr>
      <w:tr w:rsidR="001D26E7" w:rsidRPr="00F614F9" w14:paraId="2D1AABC8"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1A80576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马台石猪场污水站</w:t>
            </w:r>
          </w:p>
        </w:tc>
        <w:tc>
          <w:tcPr>
            <w:tcW w:w="498" w:type="pct"/>
            <w:tcBorders>
              <w:top w:val="single" w:sz="2" w:space="0" w:color="auto"/>
              <w:left w:val="single" w:sz="2" w:space="0" w:color="auto"/>
              <w:bottom w:val="single" w:sz="2" w:space="0" w:color="auto"/>
              <w:right w:val="single" w:sz="2" w:space="0" w:color="auto"/>
            </w:tcBorders>
            <w:vAlign w:val="center"/>
          </w:tcPr>
          <w:p w14:paraId="48A6716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11,600,000.00</w:t>
            </w:r>
          </w:p>
        </w:tc>
        <w:tc>
          <w:tcPr>
            <w:tcW w:w="453" w:type="pct"/>
            <w:tcBorders>
              <w:top w:val="single" w:sz="2" w:space="0" w:color="auto"/>
              <w:left w:val="single" w:sz="2" w:space="0" w:color="auto"/>
              <w:bottom w:val="single" w:sz="2" w:space="0" w:color="auto"/>
              <w:right w:val="single" w:sz="2" w:space="0" w:color="auto"/>
            </w:tcBorders>
            <w:vAlign w:val="center"/>
          </w:tcPr>
          <w:p w14:paraId="345A160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10,280,000.00</w:t>
            </w:r>
          </w:p>
        </w:tc>
        <w:tc>
          <w:tcPr>
            <w:tcW w:w="453" w:type="pct"/>
            <w:tcBorders>
              <w:top w:val="single" w:sz="2" w:space="0" w:color="auto"/>
              <w:left w:val="single" w:sz="2" w:space="0" w:color="auto"/>
              <w:bottom w:val="single" w:sz="2" w:space="0" w:color="auto"/>
              <w:right w:val="single" w:sz="2" w:space="0" w:color="auto"/>
            </w:tcBorders>
            <w:vAlign w:val="center"/>
          </w:tcPr>
          <w:p w14:paraId="7F0AC8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3,405,830.43</w:t>
            </w:r>
          </w:p>
        </w:tc>
        <w:tc>
          <w:tcPr>
            <w:tcW w:w="422" w:type="pct"/>
            <w:tcBorders>
              <w:top w:val="single" w:sz="2" w:space="0" w:color="auto"/>
              <w:left w:val="single" w:sz="2" w:space="0" w:color="auto"/>
              <w:bottom w:val="single" w:sz="2" w:space="0" w:color="auto"/>
              <w:right w:val="single" w:sz="2" w:space="0" w:color="auto"/>
            </w:tcBorders>
            <w:vAlign w:val="center"/>
          </w:tcPr>
          <w:p w14:paraId="5BC27EE6"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4F8B31C5"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2A0121D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13,685,830.43</w:t>
            </w:r>
          </w:p>
        </w:tc>
        <w:tc>
          <w:tcPr>
            <w:tcW w:w="291" w:type="pct"/>
            <w:tcBorders>
              <w:top w:val="single" w:sz="2" w:space="0" w:color="auto"/>
              <w:left w:val="single" w:sz="2" w:space="0" w:color="auto"/>
              <w:bottom w:val="single" w:sz="2" w:space="0" w:color="auto"/>
              <w:right w:val="single" w:sz="2" w:space="0" w:color="auto"/>
            </w:tcBorders>
            <w:vAlign w:val="center"/>
          </w:tcPr>
          <w:p w14:paraId="087C15B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117.98%</w:t>
            </w:r>
          </w:p>
        </w:tc>
        <w:tc>
          <w:tcPr>
            <w:tcW w:w="187" w:type="pct"/>
            <w:tcBorders>
              <w:top w:val="single" w:sz="2" w:space="0" w:color="auto"/>
              <w:left w:val="single" w:sz="2" w:space="0" w:color="auto"/>
              <w:bottom w:val="single" w:sz="2" w:space="0" w:color="auto"/>
              <w:right w:val="single" w:sz="2" w:space="0" w:color="auto"/>
            </w:tcBorders>
            <w:vAlign w:val="center"/>
          </w:tcPr>
          <w:p w14:paraId="1B58DFF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0.98</w:t>
            </w:r>
          </w:p>
        </w:tc>
        <w:tc>
          <w:tcPr>
            <w:tcW w:w="422" w:type="pct"/>
            <w:tcBorders>
              <w:top w:val="single" w:sz="2" w:space="0" w:color="auto"/>
              <w:left w:val="single" w:sz="2" w:space="0" w:color="auto"/>
              <w:bottom w:val="single" w:sz="2" w:space="0" w:color="auto"/>
              <w:right w:val="single" w:sz="2" w:space="0" w:color="auto"/>
            </w:tcBorders>
            <w:vAlign w:val="center"/>
          </w:tcPr>
          <w:p w14:paraId="3B942D0B"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3E90C893"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536B977A"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619F089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募集资金</w:t>
            </w:r>
          </w:p>
        </w:tc>
      </w:tr>
      <w:tr w:rsidR="001D26E7" w:rsidRPr="00F614F9" w14:paraId="2FABA5DE"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733CE05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马台石猪场挡土墙工程</w:t>
            </w:r>
          </w:p>
        </w:tc>
        <w:tc>
          <w:tcPr>
            <w:tcW w:w="498" w:type="pct"/>
            <w:tcBorders>
              <w:top w:val="single" w:sz="2" w:space="0" w:color="auto"/>
              <w:left w:val="single" w:sz="2" w:space="0" w:color="auto"/>
              <w:bottom w:val="single" w:sz="2" w:space="0" w:color="auto"/>
              <w:right w:val="single" w:sz="2" w:space="0" w:color="auto"/>
            </w:tcBorders>
            <w:vAlign w:val="center"/>
          </w:tcPr>
          <w:p w14:paraId="0177246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6,260,000.00</w:t>
            </w:r>
          </w:p>
        </w:tc>
        <w:tc>
          <w:tcPr>
            <w:tcW w:w="453" w:type="pct"/>
            <w:tcBorders>
              <w:top w:val="single" w:sz="2" w:space="0" w:color="auto"/>
              <w:left w:val="single" w:sz="2" w:space="0" w:color="auto"/>
              <w:bottom w:val="single" w:sz="2" w:space="0" w:color="auto"/>
              <w:right w:val="single" w:sz="2" w:space="0" w:color="auto"/>
            </w:tcBorders>
            <w:vAlign w:val="center"/>
          </w:tcPr>
          <w:p w14:paraId="52BD33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4,978,000.00</w:t>
            </w:r>
          </w:p>
        </w:tc>
        <w:tc>
          <w:tcPr>
            <w:tcW w:w="453" w:type="pct"/>
            <w:tcBorders>
              <w:top w:val="single" w:sz="2" w:space="0" w:color="auto"/>
              <w:left w:val="single" w:sz="2" w:space="0" w:color="auto"/>
              <w:bottom w:val="single" w:sz="2" w:space="0" w:color="auto"/>
              <w:right w:val="single" w:sz="2" w:space="0" w:color="auto"/>
            </w:tcBorders>
            <w:vAlign w:val="center"/>
          </w:tcPr>
          <w:p w14:paraId="3F754C85"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12055E3D" w14:textId="77777777" w:rsidR="001D26E7" w:rsidRPr="00F614F9" w:rsidRDefault="001D26E7">
            <w:pPr>
              <w:spacing w:line="240" w:lineRule="exact"/>
              <w:jc w:val="right"/>
              <w:rPr>
                <w:rFonts w:ascii="Times New Roman" w:eastAsia="宋体" w:hAnsi="Times New Roman" w:cs="宋体"/>
                <w:sz w:val="18"/>
                <w:szCs w:val="18"/>
              </w:rPr>
            </w:pPr>
          </w:p>
        </w:tc>
        <w:tc>
          <w:tcPr>
            <w:tcW w:w="392" w:type="pct"/>
            <w:tcBorders>
              <w:top w:val="single" w:sz="2" w:space="0" w:color="auto"/>
              <w:left w:val="single" w:sz="2" w:space="0" w:color="auto"/>
              <w:bottom w:val="single" w:sz="2" w:space="0" w:color="auto"/>
              <w:right w:val="single" w:sz="2" w:space="0" w:color="auto"/>
            </w:tcBorders>
            <w:vAlign w:val="center"/>
          </w:tcPr>
          <w:p w14:paraId="72FD0E6B"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711F0AE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4,978,000.00</w:t>
            </w:r>
          </w:p>
        </w:tc>
        <w:tc>
          <w:tcPr>
            <w:tcW w:w="291" w:type="pct"/>
            <w:tcBorders>
              <w:top w:val="single" w:sz="2" w:space="0" w:color="auto"/>
              <w:left w:val="single" w:sz="2" w:space="0" w:color="auto"/>
              <w:bottom w:val="single" w:sz="2" w:space="0" w:color="auto"/>
              <w:right w:val="single" w:sz="2" w:space="0" w:color="auto"/>
            </w:tcBorders>
            <w:vAlign w:val="center"/>
          </w:tcPr>
          <w:p w14:paraId="4EF2B08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79.52%</w:t>
            </w:r>
          </w:p>
        </w:tc>
        <w:tc>
          <w:tcPr>
            <w:tcW w:w="187" w:type="pct"/>
            <w:tcBorders>
              <w:top w:val="single" w:sz="2" w:space="0" w:color="auto"/>
              <w:left w:val="single" w:sz="2" w:space="0" w:color="auto"/>
              <w:bottom w:val="single" w:sz="2" w:space="0" w:color="auto"/>
              <w:right w:val="single" w:sz="2" w:space="0" w:color="auto"/>
            </w:tcBorders>
            <w:vAlign w:val="center"/>
          </w:tcPr>
          <w:p w14:paraId="4F6A750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0.93</w:t>
            </w:r>
          </w:p>
        </w:tc>
        <w:tc>
          <w:tcPr>
            <w:tcW w:w="422" w:type="pct"/>
            <w:tcBorders>
              <w:top w:val="single" w:sz="2" w:space="0" w:color="auto"/>
              <w:left w:val="single" w:sz="2" w:space="0" w:color="auto"/>
              <w:bottom w:val="single" w:sz="2" w:space="0" w:color="auto"/>
              <w:right w:val="single" w:sz="2" w:space="0" w:color="auto"/>
            </w:tcBorders>
            <w:vAlign w:val="center"/>
          </w:tcPr>
          <w:p w14:paraId="42181C14"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31FA0E3F"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61015EB3"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0C9AF4B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募集资金</w:t>
            </w:r>
          </w:p>
        </w:tc>
      </w:tr>
      <w:tr w:rsidR="001D26E7" w:rsidRPr="00F614F9" w14:paraId="3A423639"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vAlign w:val="center"/>
          </w:tcPr>
          <w:p w14:paraId="6706F9C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高温车间</w:t>
            </w:r>
            <w:proofErr w:type="gramStart"/>
            <w:r w:rsidRPr="00F614F9">
              <w:rPr>
                <w:rFonts w:ascii="Times New Roman" w:eastAsia="宋体" w:hAnsi="Times New Roman" w:cs="宋体"/>
                <w:sz w:val="18"/>
                <w:szCs w:val="18"/>
              </w:rPr>
              <w:t>包装室改造</w:t>
            </w:r>
            <w:proofErr w:type="gramEnd"/>
          </w:p>
        </w:tc>
        <w:tc>
          <w:tcPr>
            <w:tcW w:w="498" w:type="pct"/>
            <w:tcBorders>
              <w:top w:val="single" w:sz="2" w:space="0" w:color="auto"/>
              <w:left w:val="single" w:sz="2" w:space="0" w:color="auto"/>
              <w:bottom w:val="single" w:sz="2" w:space="0" w:color="auto"/>
              <w:right w:val="single" w:sz="2" w:space="0" w:color="auto"/>
            </w:tcBorders>
            <w:vAlign w:val="center"/>
          </w:tcPr>
          <w:p w14:paraId="11A8659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500,000.00</w:t>
            </w:r>
          </w:p>
        </w:tc>
        <w:tc>
          <w:tcPr>
            <w:tcW w:w="453" w:type="pct"/>
            <w:tcBorders>
              <w:top w:val="single" w:sz="2" w:space="0" w:color="auto"/>
              <w:left w:val="single" w:sz="2" w:space="0" w:color="auto"/>
              <w:bottom w:val="single" w:sz="2" w:space="0" w:color="auto"/>
              <w:right w:val="single" w:sz="2" w:space="0" w:color="auto"/>
            </w:tcBorders>
            <w:vAlign w:val="center"/>
          </w:tcPr>
          <w:p w14:paraId="044E0AB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215,596.33</w:t>
            </w:r>
          </w:p>
        </w:tc>
        <w:tc>
          <w:tcPr>
            <w:tcW w:w="453" w:type="pct"/>
            <w:tcBorders>
              <w:top w:val="single" w:sz="2" w:space="0" w:color="auto"/>
              <w:left w:val="single" w:sz="2" w:space="0" w:color="auto"/>
              <w:bottom w:val="single" w:sz="2" w:space="0" w:color="auto"/>
              <w:right w:val="single" w:sz="2" w:space="0" w:color="auto"/>
            </w:tcBorders>
            <w:vAlign w:val="center"/>
          </w:tcPr>
          <w:p w14:paraId="40FE563D"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783F45B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215,596.33</w:t>
            </w:r>
          </w:p>
        </w:tc>
        <w:tc>
          <w:tcPr>
            <w:tcW w:w="392" w:type="pct"/>
            <w:tcBorders>
              <w:top w:val="single" w:sz="2" w:space="0" w:color="auto"/>
              <w:left w:val="single" w:sz="2" w:space="0" w:color="auto"/>
              <w:bottom w:val="single" w:sz="2" w:space="0" w:color="auto"/>
              <w:right w:val="single" w:sz="2" w:space="0" w:color="auto"/>
            </w:tcBorders>
            <w:vAlign w:val="center"/>
          </w:tcPr>
          <w:p w14:paraId="2E634CDC" w14:textId="77777777" w:rsidR="001D26E7" w:rsidRPr="00F614F9" w:rsidRDefault="001D26E7">
            <w:pPr>
              <w:spacing w:line="240" w:lineRule="exact"/>
              <w:jc w:val="right"/>
              <w:rPr>
                <w:rFonts w:ascii="Times New Roman" w:eastAsia="宋体" w:hAnsi="Times New Roman" w:cs="宋体"/>
                <w:sz w:val="18"/>
                <w:szCs w:val="18"/>
              </w:rPr>
            </w:pPr>
          </w:p>
        </w:tc>
        <w:tc>
          <w:tcPr>
            <w:tcW w:w="453" w:type="pct"/>
            <w:tcBorders>
              <w:top w:val="single" w:sz="2" w:space="0" w:color="auto"/>
              <w:left w:val="single" w:sz="2" w:space="0" w:color="auto"/>
              <w:bottom w:val="single" w:sz="2" w:space="0" w:color="auto"/>
              <w:right w:val="single" w:sz="2" w:space="0" w:color="auto"/>
            </w:tcBorders>
            <w:vAlign w:val="center"/>
          </w:tcPr>
          <w:p w14:paraId="32886EA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291" w:type="pct"/>
            <w:tcBorders>
              <w:top w:val="single" w:sz="2" w:space="0" w:color="auto"/>
              <w:left w:val="single" w:sz="2" w:space="0" w:color="auto"/>
              <w:bottom w:val="single" w:sz="2" w:space="0" w:color="auto"/>
              <w:right w:val="single" w:sz="2" w:space="0" w:color="auto"/>
            </w:tcBorders>
            <w:vAlign w:val="center"/>
          </w:tcPr>
          <w:p w14:paraId="370A21F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43.12%</w:t>
            </w:r>
          </w:p>
        </w:tc>
        <w:tc>
          <w:tcPr>
            <w:tcW w:w="187" w:type="pct"/>
            <w:tcBorders>
              <w:top w:val="single" w:sz="2" w:space="0" w:color="auto"/>
              <w:left w:val="single" w:sz="2" w:space="0" w:color="auto"/>
              <w:bottom w:val="single" w:sz="2" w:space="0" w:color="auto"/>
              <w:right w:val="single" w:sz="2" w:space="0" w:color="auto"/>
            </w:tcBorders>
            <w:vAlign w:val="center"/>
          </w:tcPr>
          <w:p w14:paraId="1AC5A8A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p>
        </w:tc>
        <w:tc>
          <w:tcPr>
            <w:tcW w:w="422" w:type="pct"/>
            <w:tcBorders>
              <w:top w:val="single" w:sz="2" w:space="0" w:color="auto"/>
              <w:left w:val="single" w:sz="2" w:space="0" w:color="auto"/>
              <w:bottom w:val="single" w:sz="2" w:space="0" w:color="auto"/>
              <w:right w:val="single" w:sz="2" w:space="0" w:color="auto"/>
            </w:tcBorders>
            <w:vAlign w:val="center"/>
          </w:tcPr>
          <w:p w14:paraId="2BE47AD8" w14:textId="77777777" w:rsidR="001D26E7" w:rsidRPr="00F614F9" w:rsidRDefault="001D26E7">
            <w:pPr>
              <w:spacing w:line="240" w:lineRule="exact"/>
              <w:jc w:val="right"/>
              <w:rPr>
                <w:rFonts w:ascii="Times New Roman" w:eastAsia="宋体" w:hAnsi="Times New Roman" w:cs="宋体"/>
                <w:sz w:val="18"/>
                <w:szCs w:val="18"/>
              </w:rPr>
            </w:pPr>
          </w:p>
        </w:tc>
        <w:tc>
          <w:tcPr>
            <w:tcW w:w="422" w:type="pct"/>
            <w:tcBorders>
              <w:top w:val="single" w:sz="2" w:space="0" w:color="auto"/>
              <w:left w:val="single" w:sz="2" w:space="0" w:color="auto"/>
              <w:bottom w:val="single" w:sz="2" w:space="0" w:color="auto"/>
              <w:right w:val="single" w:sz="2" w:space="0" w:color="auto"/>
            </w:tcBorders>
            <w:vAlign w:val="center"/>
          </w:tcPr>
          <w:p w14:paraId="77497852"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5899E968"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vAlign w:val="center"/>
          </w:tcPr>
          <w:p w14:paraId="239C324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r>
      <w:tr w:rsidR="001D26E7" w:rsidRPr="00F614F9" w14:paraId="4050247B" w14:textId="77777777" w:rsidTr="00640067">
        <w:trPr>
          <w:trHeight w:val="240"/>
          <w:jc w:val="center"/>
        </w:trPr>
        <w:tc>
          <w:tcPr>
            <w:tcW w:w="528" w:type="pct"/>
            <w:tcBorders>
              <w:top w:val="single" w:sz="2" w:space="0" w:color="auto"/>
              <w:left w:val="single" w:sz="2" w:space="0" w:color="auto"/>
              <w:bottom w:val="single" w:sz="2" w:space="0" w:color="auto"/>
              <w:right w:val="single" w:sz="2" w:space="0" w:color="auto"/>
            </w:tcBorders>
            <w:shd w:val="clear" w:color="auto" w:fill="D3D3D3"/>
            <w:vAlign w:val="center"/>
          </w:tcPr>
          <w:p w14:paraId="1926ED6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498" w:type="pct"/>
            <w:tcBorders>
              <w:top w:val="single" w:sz="2" w:space="0" w:color="auto"/>
              <w:left w:val="single" w:sz="2" w:space="0" w:color="auto"/>
              <w:bottom w:val="single" w:sz="2" w:space="0" w:color="auto"/>
              <w:right w:val="single" w:sz="2" w:space="0" w:color="auto"/>
            </w:tcBorders>
            <w:vAlign w:val="center"/>
          </w:tcPr>
          <w:p w14:paraId="056EEB0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2,162,487,445.07</w:t>
            </w:r>
          </w:p>
        </w:tc>
        <w:tc>
          <w:tcPr>
            <w:tcW w:w="453" w:type="pct"/>
            <w:tcBorders>
              <w:top w:val="single" w:sz="2" w:space="0" w:color="auto"/>
              <w:left w:val="single" w:sz="2" w:space="0" w:color="auto"/>
              <w:bottom w:val="single" w:sz="2" w:space="0" w:color="auto"/>
              <w:right w:val="single" w:sz="2" w:space="0" w:color="auto"/>
            </w:tcBorders>
            <w:vAlign w:val="center"/>
          </w:tcPr>
          <w:p w14:paraId="0B3A43A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627,981,907.00</w:t>
            </w:r>
          </w:p>
        </w:tc>
        <w:tc>
          <w:tcPr>
            <w:tcW w:w="453" w:type="pct"/>
            <w:tcBorders>
              <w:top w:val="single" w:sz="2" w:space="0" w:color="auto"/>
              <w:left w:val="single" w:sz="2" w:space="0" w:color="auto"/>
              <w:bottom w:val="single" w:sz="2" w:space="0" w:color="auto"/>
              <w:right w:val="single" w:sz="2" w:space="0" w:color="auto"/>
            </w:tcBorders>
            <w:vAlign w:val="center"/>
          </w:tcPr>
          <w:p w14:paraId="55414F2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327,036,241.93</w:t>
            </w:r>
          </w:p>
        </w:tc>
        <w:tc>
          <w:tcPr>
            <w:tcW w:w="422" w:type="pct"/>
            <w:tcBorders>
              <w:top w:val="single" w:sz="2" w:space="0" w:color="auto"/>
              <w:left w:val="single" w:sz="2" w:space="0" w:color="auto"/>
              <w:bottom w:val="single" w:sz="2" w:space="0" w:color="auto"/>
              <w:right w:val="single" w:sz="2" w:space="0" w:color="auto"/>
            </w:tcBorders>
            <w:vAlign w:val="center"/>
          </w:tcPr>
          <w:p w14:paraId="458678F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26,809,946.94</w:t>
            </w:r>
          </w:p>
        </w:tc>
        <w:tc>
          <w:tcPr>
            <w:tcW w:w="392" w:type="pct"/>
            <w:tcBorders>
              <w:top w:val="single" w:sz="2" w:space="0" w:color="auto"/>
              <w:left w:val="single" w:sz="2" w:space="0" w:color="auto"/>
              <w:bottom w:val="single" w:sz="2" w:space="0" w:color="auto"/>
              <w:right w:val="single" w:sz="2" w:space="0" w:color="auto"/>
            </w:tcBorders>
            <w:vAlign w:val="center"/>
          </w:tcPr>
          <w:p w14:paraId="52DA6CF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8,822,187.80</w:t>
            </w:r>
          </w:p>
        </w:tc>
        <w:tc>
          <w:tcPr>
            <w:tcW w:w="453" w:type="pct"/>
            <w:tcBorders>
              <w:top w:val="single" w:sz="2" w:space="0" w:color="auto"/>
              <w:left w:val="single" w:sz="2" w:space="0" w:color="auto"/>
              <w:bottom w:val="single" w:sz="2" w:space="0" w:color="auto"/>
              <w:right w:val="single" w:sz="2" w:space="0" w:color="auto"/>
            </w:tcBorders>
            <w:vAlign w:val="center"/>
          </w:tcPr>
          <w:p w14:paraId="20945C5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919,386,014.19</w:t>
            </w:r>
          </w:p>
        </w:tc>
        <w:tc>
          <w:tcPr>
            <w:tcW w:w="291" w:type="pct"/>
            <w:tcBorders>
              <w:top w:val="single" w:sz="2" w:space="0" w:color="auto"/>
              <w:left w:val="single" w:sz="2" w:space="0" w:color="auto"/>
              <w:bottom w:val="single" w:sz="2" w:space="0" w:color="auto"/>
              <w:right w:val="single" w:sz="2" w:space="0" w:color="auto"/>
            </w:tcBorders>
            <w:shd w:val="clear" w:color="auto" w:fill="D3D3D3"/>
            <w:vAlign w:val="center"/>
          </w:tcPr>
          <w:p w14:paraId="76A81A92" w14:textId="77777777" w:rsidR="001D26E7" w:rsidRPr="00F614F9" w:rsidRDefault="001D26E7">
            <w:pPr>
              <w:rPr>
                <w:rFonts w:ascii="Times New Roman" w:hAnsi="Times New Roman"/>
              </w:rPr>
            </w:pPr>
          </w:p>
        </w:tc>
        <w:tc>
          <w:tcPr>
            <w:tcW w:w="187" w:type="pct"/>
            <w:tcBorders>
              <w:top w:val="single" w:sz="2" w:space="0" w:color="auto"/>
              <w:left w:val="single" w:sz="2" w:space="0" w:color="auto"/>
              <w:bottom w:val="single" w:sz="2" w:space="0" w:color="auto"/>
              <w:right w:val="single" w:sz="2" w:space="0" w:color="auto"/>
            </w:tcBorders>
            <w:shd w:val="clear" w:color="auto" w:fill="D3D3D3"/>
            <w:vAlign w:val="center"/>
          </w:tcPr>
          <w:p w14:paraId="2A105B7C" w14:textId="77777777" w:rsidR="001D26E7" w:rsidRPr="00F614F9" w:rsidRDefault="001D26E7">
            <w:pPr>
              <w:rPr>
                <w:rFonts w:ascii="Times New Roman" w:hAnsi="Times New Roman"/>
              </w:rPr>
            </w:pPr>
          </w:p>
        </w:tc>
        <w:tc>
          <w:tcPr>
            <w:tcW w:w="422" w:type="pct"/>
            <w:tcBorders>
              <w:top w:val="single" w:sz="2" w:space="0" w:color="auto"/>
              <w:left w:val="single" w:sz="2" w:space="0" w:color="auto"/>
              <w:bottom w:val="single" w:sz="2" w:space="0" w:color="auto"/>
              <w:right w:val="single" w:sz="2" w:space="0" w:color="auto"/>
            </w:tcBorders>
            <w:vAlign w:val="center"/>
          </w:tcPr>
          <w:p w14:paraId="5092750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99,598,037.51</w:t>
            </w:r>
          </w:p>
        </w:tc>
        <w:tc>
          <w:tcPr>
            <w:tcW w:w="422" w:type="pct"/>
            <w:tcBorders>
              <w:top w:val="single" w:sz="2" w:space="0" w:color="auto"/>
              <w:left w:val="single" w:sz="2" w:space="0" w:color="auto"/>
              <w:bottom w:val="single" w:sz="2" w:space="0" w:color="auto"/>
              <w:right w:val="single" w:sz="2" w:space="0" w:color="auto"/>
            </w:tcBorders>
            <w:vAlign w:val="center"/>
          </w:tcPr>
          <w:p w14:paraId="1DA10E6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34,760,213.57</w:t>
            </w:r>
          </w:p>
        </w:tc>
        <w:tc>
          <w:tcPr>
            <w:tcW w:w="239" w:type="pct"/>
            <w:tcBorders>
              <w:top w:val="single" w:sz="2" w:space="0" w:color="auto"/>
              <w:left w:val="single" w:sz="2" w:space="0" w:color="auto"/>
              <w:bottom w:val="single" w:sz="2" w:space="0" w:color="auto"/>
              <w:right w:val="single" w:sz="2" w:space="0" w:color="auto"/>
            </w:tcBorders>
            <w:vAlign w:val="center"/>
          </w:tcPr>
          <w:p w14:paraId="46B22C02" w14:textId="77777777" w:rsidR="001D26E7" w:rsidRPr="00F614F9" w:rsidRDefault="001D26E7">
            <w:pPr>
              <w:spacing w:line="240" w:lineRule="exact"/>
              <w:jc w:val="right"/>
              <w:rPr>
                <w:rFonts w:ascii="Times New Roman" w:eastAsia="宋体" w:hAnsi="Times New Roman" w:cs="宋体"/>
                <w:sz w:val="18"/>
                <w:szCs w:val="18"/>
              </w:rPr>
            </w:pPr>
          </w:p>
        </w:tc>
        <w:tc>
          <w:tcPr>
            <w:tcW w:w="239" w:type="pct"/>
            <w:tcBorders>
              <w:top w:val="single" w:sz="2" w:space="0" w:color="auto"/>
              <w:left w:val="single" w:sz="2" w:space="0" w:color="auto"/>
              <w:bottom w:val="single" w:sz="2" w:space="0" w:color="auto"/>
              <w:right w:val="single" w:sz="2" w:space="0" w:color="auto"/>
            </w:tcBorders>
            <w:shd w:val="clear" w:color="auto" w:fill="D3D3D3"/>
            <w:vAlign w:val="center"/>
          </w:tcPr>
          <w:p w14:paraId="3C4F111C" w14:textId="77777777" w:rsidR="001D26E7" w:rsidRPr="00F614F9" w:rsidRDefault="001D26E7">
            <w:pPr>
              <w:rPr>
                <w:rFonts w:ascii="Times New Roman" w:hAnsi="Times New Roman"/>
              </w:rPr>
            </w:pPr>
          </w:p>
        </w:tc>
      </w:tr>
    </w:tbl>
    <w:p w14:paraId="5D945D32"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93" w:name="_Toc989227"/>
      <w:r w:rsidRPr="00F614F9">
        <w:rPr>
          <w:rFonts w:ascii="Times New Roman" w:eastAsia="宋体" w:hAnsi="Times New Roman" w:cs="宋体"/>
          <w:b/>
          <w:bCs/>
          <w:szCs w:val="21"/>
        </w:rPr>
        <w:t>（</w:t>
      </w:r>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本期计提在建工程减值准备情况</w:t>
      </w:r>
      <w:bookmarkEnd w:id="393"/>
    </w:p>
    <w:p w14:paraId="1FC83131" w14:textId="77777777" w:rsidR="00872599" w:rsidRPr="00F614F9" w:rsidRDefault="00000000" w:rsidP="00640067">
      <w:pPr>
        <w:pStyle w:val="a3"/>
        <w:divId w:val="357656738"/>
        <w:rPr>
          <w:rFonts w:ascii="Times New Roman" w:hAnsi="Times New Roman"/>
          <w:sz w:val="18"/>
          <w:szCs w:val="18"/>
        </w:rPr>
      </w:pPr>
      <w:r w:rsidRPr="00F614F9">
        <w:rPr>
          <w:rFonts w:ascii="Times New Roman" w:hAnsi="Times New Roman" w:hint="eastAsia"/>
          <w:sz w:val="18"/>
          <w:szCs w:val="18"/>
        </w:rPr>
        <w:t>无</w:t>
      </w:r>
    </w:p>
    <w:p w14:paraId="5E13D919" w14:textId="77777777" w:rsidR="00640067" w:rsidRPr="00F614F9" w:rsidRDefault="00640067" w:rsidP="00640067">
      <w:pPr>
        <w:pStyle w:val="a3"/>
        <w:divId w:val="357656738"/>
        <w:rPr>
          <w:rFonts w:ascii="Times New Roman" w:hAnsi="Times New Roman"/>
          <w:sz w:val="18"/>
          <w:szCs w:val="18"/>
        </w:rPr>
        <w:sectPr w:rsidR="00640067" w:rsidRPr="00F614F9" w:rsidSect="00732DE1">
          <w:pgSz w:w="16840" w:h="11905" w:orient="landscape"/>
          <w:pgMar w:top="1134" w:right="1440" w:bottom="1134" w:left="1440" w:header="850" w:footer="992" w:gutter="0"/>
          <w:cols w:space="720"/>
          <w:docGrid w:type="linesAndChars" w:linePitch="312"/>
        </w:sectPr>
      </w:pPr>
    </w:p>
    <w:p w14:paraId="3A7C8C0B" w14:textId="77777777" w:rsidR="00640067" w:rsidRPr="00F614F9" w:rsidRDefault="00640067" w:rsidP="00640067">
      <w:pPr>
        <w:pStyle w:val="a3"/>
        <w:divId w:val="357656738"/>
        <w:rPr>
          <w:rFonts w:ascii="Times New Roman" w:hAnsi="Times New Roman"/>
          <w:sz w:val="18"/>
          <w:szCs w:val="18"/>
        </w:rPr>
      </w:pPr>
    </w:p>
    <w:p w14:paraId="5715546B"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94" w:name="_Toc989228"/>
      <w:r w:rsidRPr="00F614F9">
        <w:rPr>
          <w:rFonts w:ascii="Times New Roman" w:eastAsia="宋体" w:hAnsi="Times New Roman" w:cs="宋体"/>
          <w:b/>
          <w:bCs/>
          <w:szCs w:val="21"/>
        </w:rPr>
        <w:t>（</w:t>
      </w:r>
      <w:r w:rsidRPr="00F614F9">
        <w:rPr>
          <w:rFonts w:ascii="Times New Roman" w:eastAsia="宋体" w:hAnsi="Times New Roman" w:cs="宋体"/>
          <w:b/>
          <w:bCs/>
          <w:szCs w:val="21"/>
        </w:rPr>
        <w:t>4</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在建工程的减值测试情况</w:t>
      </w:r>
      <w:bookmarkEnd w:id="394"/>
    </w:p>
    <w:p w14:paraId="68545F37"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07D5B2BA"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95" w:name="_Toc989229"/>
      <w:r w:rsidRPr="00F614F9">
        <w:rPr>
          <w:rFonts w:ascii="Times New Roman" w:eastAsia="宋体" w:hAnsi="Times New Roman" w:cs="宋体"/>
          <w:b/>
          <w:bCs/>
          <w:szCs w:val="21"/>
        </w:rPr>
        <w:t>（</w:t>
      </w:r>
      <w:r w:rsidRPr="00F614F9">
        <w:rPr>
          <w:rFonts w:ascii="Times New Roman" w:eastAsia="宋体" w:hAnsi="Times New Roman" w:cs="宋体"/>
          <w:b/>
          <w:bCs/>
          <w:szCs w:val="21"/>
        </w:rPr>
        <w:t>5</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工程物资</w:t>
      </w:r>
      <w:bookmarkEnd w:id="395"/>
    </w:p>
    <w:p w14:paraId="2C3632B5"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1D26E7" w:rsidRPr="00F614F9" w14:paraId="3FF7E0B9"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64418E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D7B426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CAE90D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44645F8C"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374F7C5" w14:textId="77777777" w:rsidR="001D26E7" w:rsidRPr="00F614F9" w:rsidRDefault="001D26E7">
            <w:pPr>
              <w:rPr>
                <w:rFonts w:ascii="Times New Roman" w:hAnsi="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951FCE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95F4C6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803179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9AD8FB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2703E3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70FCE2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r>
    </w:tbl>
    <w:p w14:paraId="59B24C3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2823737D" w14:textId="77777777" w:rsidR="00872599" w:rsidRPr="00F614F9" w:rsidRDefault="00000000">
      <w:pPr>
        <w:pStyle w:val="a3"/>
        <w:divId w:val="708457183"/>
        <w:rPr>
          <w:rFonts w:ascii="Times New Roman" w:hAnsi="Times New Roman"/>
          <w:sz w:val="18"/>
          <w:szCs w:val="18"/>
        </w:rPr>
      </w:pPr>
      <w:r w:rsidRPr="00F614F9">
        <w:rPr>
          <w:rFonts w:ascii="Times New Roman" w:hAnsi="Times New Roman" w:hint="eastAsia"/>
          <w:sz w:val="18"/>
          <w:szCs w:val="18"/>
        </w:rPr>
        <w:t>无</w:t>
      </w:r>
    </w:p>
    <w:p w14:paraId="73124624" w14:textId="77777777" w:rsidR="001D26E7" w:rsidRPr="00F614F9" w:rsidRDefault="00000000">
      <w:pPr>
        <w:pStyle w:val="3"/>
        <w:spacing w:line="280" w:lineRule="exact"/>
        <w:jc w:val="left"/>
        <w:rPr>
          <w:rFonts w:ascii="Times New Roman" w:hAnsi="Times New Roman" w:cs="宋体"/>
          <w:b/>
          <w:bCs/>
        </w:rPr>
      </w:pPr>
      <w:bookmarkStart w:id="396" w:name="_Toc989230"/>
      <w:r w:rsidRPr="00F614F9">
        <w:rPr>
          <w:rFonts w:ascii="Times New Roman" w:hAnsi="Times New Roman" w:cs="宋体"/>
          <w:b/>
          <w:bCs/>
        </w:rPr>
        <w:t>23</w:t>
      </w:r>
      <w:r w:rsidRPr="00F614F9">
        <w:rPr>
          <w:rFonts w:ascii="Times New Roman" w:hAnsi="Times New Roman" w:cs="宋体"/>
          <w:b/>
          <w:bCs/>
        </w:rPr>
        <w:t>、生产性生物资产</w:t>
      </w:r>
      <w:bookmarkEnd w:id="396"/>
    </w:p>
    <w:p w14:paraId="1F19DB13"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97" w:name="_Toc989231"/>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采用成本计量模式的生产性生物资产</w:t>
      </w:r>
      <w:bookmarkEnd w:id="397"/>
    </w:p>
    <w:p w14:paraId="3DF63574"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296D7CE8"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41"/>
        <w:gridCol w:w="850"/>
        <w:gridCol w:w="1701"/>
        <w:gridCol w:w="1560"/>
        <w:gridCol w:w="850"/>
        <w:gridCol w:w="860"/>
        <w:gridCol w:w="1377"/>
      </w:tblGrid>
      <w:tr w:rsidR="001D26E7" w:rsidRPr="00F614F9" w14:paraId="4B7A09DB"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685D9AFC" w14:textId="77777777" w:rsidR="001D26E7" w:rsidRPr="00F614F9" w:rsidRDefault="00000000" w:rsidP="00407C41">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6A0F930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种植业</w:t>
            </w:r>
          </w:p>
        </w:tc>
        <w:tc>
          <w:tcPr>
            <w:tcW w:w="326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289744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畜牧养殖业</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1E3F7D4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林业</w:t>
            </w:r>
          </w:p>
        </w:tc>
        <w:tc>
          <w:tcPr>
            <w:tcW w:w="860" w:type="dxa"/>
            <w:tcBorders>
              <w:top w:val="single" w:sz="2" w:space="0" w:color="auto"/>
              <w:left w:val="single" w:sz="2" w:space="0" w:color="auto"/>
              <w:bottom w:val="single" w:sz="2" w:space="0" w:color="auto"/>
              <w:right w:val="single" w:sz="2" w:space="0" w:color="auto"/>
            </w:tcBorders>
            <w:shd w:val="clear" w:color="auto" w:fill="D3D3D3"/>
            <w:vAlign w:val="center"/>
          </w:tcPr>
          <w:p w14:paraId="04B4BAA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水产业</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4682C5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合计</w:t>
            </w:r>
          </w:p>
        </w:tc>
      </w:tr>
      <w:tr w:rsidR="001D26E7" w:rsidRPr="00F614F9" w14:paraId="143E8CB2"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23D8E0E4" w14:textId="77777777" w:rsidR="001D26E7" w:rsidRPr="00F614F9" w:rsidRDefault="001D26E7" w:rsidP="00407C41">
            <w:pPr>
              <w:rPr>
                <w:rFonts w:ascii="Times New Roman" w:hAnsi="Times New Roman"/>
              </w:rPr>
            </w:pPr>
          </w:p>
        </w:tc>
        <w:tc>
          <w:tcPr>
            <w:tcW w:w="850" w:type="dxa"/>
            <w:tcBorders>
              <w:top w:val="single" w:sz="2" w:space="0" w:color="auto"/>
              <w:left w:val="single" w:sz="2" w:space="0" w:color="auto"/>
              <w:bottom w:val="single" w:sz="2" w:space="0" w:color="auto"/>
              <w:right w:val="single" w:sz="2" w:space="0" w:color="auto"/>
            </w:tcBorders>
            <w:vAlign w:val="center"/>
          </w:tcPr>
          <w:p w14:paraId="5238457F" w14:textId="77777777" w:rsidR="001D26E7" w:rsidRPr="00F614F9" w:rsidRDefault="001D26E7">
            <w:pPr>
              <w:spacing w:line="240" w:lineRule="exact"/>
              <w:jc w:val="center"/>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53CEFB97" w14:textId="77777777" w:rsidR="001D26E7" w:rsidRPr="00F614F9" w:rsidRDefault="00000000">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成熟</w:t>
            </w:r>
          </w:p>
        </w:tc>
        <w:tc>
          <w:tcPr>
            <w:tcW w:w="1560" w:type="dxa"/>
            <w:tcBorders>
              <w:top w:val="single" w:sz="2" w:space="0" w:color="auto"/>
              <w:left w:val="single" w:sz="2" w:space="0" w:color="auto"/>
              <w:bottom w:val="single" w:sz="2" w:space="0" w:color="auto"/>
              <w:right w:val="single" w:sz="2" w:space="0" w:color="auto"/>
            </w:tcBorders>
            <w:vAlign w:val="center"/>
          </w:tcPr>
          <w:p w14:paraId="4696C39F" w14:textId="77777777" w:rsidR="001D26E7" w:rsidRPr="00F614F9" w:rsidRDefault="00000000">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未成熟</w:t>
            </w:r>
          </w:p>
        </w:tc>
        <w:tc>
          <w:tcPr>
            <w:tcW w:w="850" w:type="dxa"/>
            <w:tcBorders>
              <w:top w:val="single" w:sz="2" w:space="0" w:color="auto"/>
              <w:left w:val="single" w:sz="2" w:space="0" w:color="auto"/>
              <w:bottom w:val="single" w:sz="2" w:space="0" w:color="auto"/>
              <w:right w:val="single" w:sz="2" w:space="0" w:color="auto"/>
            </w:tcBorders>
            <w:vAlign w:val="center"/>
          </w:tcPr>
          <w:p w14:paraId="20DB7697" w14:textId="77777777" w:rsidR="001D26E7" w:rsidRPr="00F614F9" w:rsidRDefault="001D26E7">
            <w:pPr>
              <w:spacing w:line="240" w:lineRule="exact"/>
              <w:jc w:val="center"/>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1E6151CE" w14:textId="77777777" w:rsidR="001D26E7" w:rsidRPr="00F614F9" w:rsidRDefault="001D26E7">
            <w:pPr>
              <w:spacing w:line="240" w:lineRule="exact"/>
              <w:jc w:val="center"/>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68C023D" w14:textId="77777777" w:rsidR="001D26E7" w:rsidRPr="00F614F9" w:rsidRDefault="001D26E7">
            <w:pPr>
              <w:rPr>
                <w:rFonts w:ascii="Times New Roman" w:hAnsi="Times New Roman"/>
              </w:rPr>
            </w:pPr>
          </w:p>
        </w:tc>
      </w:tr>
      <w:tr w:rsidR="001D26E7" w:rsidRPr="00F614F9" w14:paraId="7C905F5F"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3EA8346C" w14:textId="77777777" w:rsidR="001D26E7" w:rsidRPr="00F614F9" w:rsidRDefault="00000000" w:rsidP="00407C41">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一、账面原值：</w:t>
            </w:r>
          </w:p>
        </w:tc>
        <w:tc>
          <w:tcPr>
            <w:tcW w:w="850" w:type="dxa"/>
            <w:tcBorders>
              <w:top w:val="single" w:sz="2" w:space="0" w:color="auto"/>
              <w:left w:val="single" w:sz="2" w:space="0" w:color="auto"/>
              <w:bottom w:val="single" w:sz="2" w:space="0" w:color="auto"/>
              <w:right w:val="single" w:sz="2" w:space="0" w:color="auto"/>
            </w:tcBorders>
            <w:vAlign w:val="center"/>
          </w:tcPr>
          <w:p w14:paraId="55EFF012"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70D9BE66" w14:textId="77777777" w:rsidR="001D26E7" w:rsidRPr="00F614F9" w:rsidRDefault="001D26E7">
            <w:pPr>
              <w:spacing w:line="240" w:lineRule="exact"/>
              <w:jc w:val="right"/>
              <w:rPr>
                <w:rFonts w:ascii="Times New Roman" w:eastAsia="宋体" w:hAnsi="Times New Roman"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6C6A436A" w14:textId="77777777" w:rsidR="001D26E7" w:rsidRPr="00F614F9" w:rsidRDefault="001D26E7">
            <w:pPr>
              <w:spacing w:line="240" w:lineRule="exact"/>
              <w:jc w:val="righ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3A93D28"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4E9C06EA"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2C2219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4564291"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49A7A976" w14:textId="77777777" w:rsidR="001D26E7" w:rsidRPr="00F614F9" w:rsidRDefault="00000000" w:rsidP="00407C41">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期初余额</w:t>
            </w:r>
          </w:p>
        </w:tc>
        <w:tc>
          <w:tcPr>
            <w:tcW w:w="850" w:type="dxa"/>
            <w:tcBorders>
              <w:top w:val="single" w:sz="2" w:space="0" w:color="auto"/>
              <w:left w:val="single" w:sz="2" w:space="0" w:color="auto"/>
              <w:bottom w:val="single" w:sz="2" w:space="0" w:color="auto"/>
              <w:right w:val="single" w:sz="2" w:space="0" w:color="auto"/>
            </w:tcBorders>
            <w:vAlign w:val="center"/>
          </w:tcPr>
          <w:p w14:paraId="401CE7B6"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2FF214C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171,473,286.45</w:t>
            </w:r>
          </w:p>
        </w:tc>
        <w:tc>
          <w:tcPr>
            <w:tcW w:w="1560" w:type="dxa"/>
            <w:tcBorders>
              <w:top w:val="single" w:sz="2" w:space="0" w:color="auto"/>
              <w:left w:val="single" w:sz="2" w:space="0" w:color="auto"/>
              <w:bottom w:val="single" w:sz="2" w:space="0" w:color="auto"/>
              <w:right w:val="single" w:sz="2" w:space="0" w:color="auto"/>
            </w:tcBorders>
            <w:vAlign w:val="center"/>
          </w:tcPr>
          <w:p w14:paraId="7513B9B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77,421,932.20</w:t>
            </w:r>
          </w:p>
        </w:tc>
        <w:tc>
          <w:tcPr>
            <w:tcW w:w="850" w:type="dxa"/>
            <w:tcBorders>
              <w:top w:val="single" w:sz="2" w:space="0" w:color="auto"/>
              <w:left w:val="single" w:sz="2" w:space="0" w:color="auto"/>
              <w:bottom w:val="single" w:sz="2" w:space="0" w:color="auto"/>
              <w:right w:val="single" w:sz="2" w:space="0" w:color="auto"/>
            </w:tcBorders>
            <w:vAlign w:val="center"/>
          </w:tcPr>
          <w:p w14:paraId="10C937EB"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1272E4F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CC6090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248,895,218.65</w:t>
            </w:r>
          </w:p>
        </w:tc>
      </w:tr>
      <w:tr w:rsidR="001D26E7" w:rsidRPr="00F614F9" w14:paraId="07C6A2AD"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6C447E67" w14:textId="77777777" w:rsidR="001D26E7" w:rsidRPr="00F614F9" w:rsidRDefault="00000000" w:rsidP="00407C41">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本期增加金额</w:t>
            </w:r>
          </w:p>
        </w:tc>
        <w:tc>
          <w:tcPr>
            <w:tcW w:w="850" w:type="dxa"/>
            <w:tcBorders>
              <w:top w:val="single" w:sz="2" w:space="0" w:color="auto"/>
              <w:left w:val="single" w:sz="2" w:space="0" w:color="auto"/>
              <w:bottom w:val="single" w:sz="2" w:space="0" w:color="auto"/>
              <w:right w:val="single" w:sz="2" w:space="0" w:color="auto"/>
            </w:tcBorders>
            <w:vAlign w:val="center"/>
          </w:tcPr>
          <w:p w14:paraId="1AB22B6F"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4038F81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44,807,540.95</w:t>
            </w:r>
          </w:p>
        </w:tc>
        <w:tc>
          <w:tcPr>
            <w:tcW w:w="1560" w:type="dxa"/>
            <w:tcBorders>
              <w:top w:val="single" w:sz="2" w:space="0" w:color="auto"/>
              <w:left w:val="single" w:sz="2" w:space="0" w:color="auto"/>
              <w:bottom w:val="single" w:sz="2" w:space="0" w:color="auto"/>
              <w:right w:val="single" w:sz="2" w:space="0" w:color="auto"/>
            </w:tcBorders>
            <w:vAlign w:val="center"/>
          </w:tcPr>
          <w:p w14:paraId="6492A87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157,250,434.07</w:t>
            </w:r>
          </w:p>
        </w:tc>
        <w:tc>
          <w:tcPr>
            <w:tcW w:w="850" w:type="dxa"/>
            <w:tcBorders>
              <w:top w:val="single" w:sz="2" w:space="0" w:color="auto"/>
              <w:left w:val="single" w:sz="2" w:space="0" w:color="auto"/>
              <w:bottom w:val="single" w:sz="2" w:space="0" w:color="auto"/>
              <w:right w:val="single" w:sz="2" w:space="0" w:color="auto"/>
            </w:tcBorders>
            <w:vAlign w:val="center"/>
          </w:tcPr>
          <w:p w14:paraId="69554E05"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089EF488"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517A94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202,057,975.02</w:t>
            </w:r>
          </w:p>
        </w:tc>
      </w:tr>
      <w:tr w:rsidR="001D26E7" w:rsidRPr="00F614F9" w14:paraId="21B2488D"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6A5B870F" w14:textId="77777777" w:rsidR="001D26E7" w:rsidRPr="00F614F9" w:rsidRDefault="00000000" w:rsidP="00407C41">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）外购</w:t>
            </w:r>
          </w:p>
        </w:tc>
        <w:tc>
          <w:tcPr>
            <w:tcW w:w="850" w:type="dxa"/>
            <w:tcBorders>
              <w:top w:val="single" w:sz="2" w:space="0" w:color="auto"/>
              <w:left w:val="single" w:sz="2" w:space="0" w:color="auto"/>
              <w:bottom w:val="single" w:sz="2" w:space="0" w:color="auto"/>
              <w:right w:val="single" w:sz="2" w:space="0" w:color="auto"/>
            </w:tcBorders>
            <w:vAlign w:val="center"/>
          </w:tcPr>
          <w:p w14:paraId="54593DD6"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7EA6307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560" w:type="dxa"/>
            <w:tcBorders>
              <w:top w:val="single" w:sz="2" w:space="0" w:color="auto"/>
              <w:left w:val="single" w:sz="2" w:space="0" w:color="auto"/>
              <w:bottom w:val="single" w:sz="2" w:space="0" w:color="auto"/>
              <w:right w:val="single" w:sz="2" w:space="0" w:color="auto"/>
            </w:tcBorders>
            <w:vAlign w:val="center"/>
          </w:tcPr>
          <w:p w14:paraId="489DB9B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36,961,825.89</w:t>
            </w:r>
          </w:p>
        </w:tc>
        <w:tc>
          <w:tcPr>
            <w:tcW w:w="850" w:type="dxa"/>
            <w:tcBorders>
              <w:top w:val="single" w:sz="2" w:space="0" w:color="auto"/>
              <w:left w:val="single" w:sz="2" w:space="0" w:color="auto"/>
              <w:bottom w:val="single" w:sz="2" w:space="0" w:color="auto"/>
              <w:right w:val="single" w:sz="2" w:space="0" w:color="auto"/>
            </w:tcBorders>
            <w:vAlign w:val="center"/>
          </w:tcPr>
          <w:p w14:paraId="65E99656"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4D3955A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B98D86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36,961,825.89</w:t>
            </w:r>
          </w:p>
        </w:tc>
      </w:tr>
      <w:tr w:rsidR="001D26E7" w:rsidRPr="00F614F9" w14:paraId="4FDDE2A1"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4F9602FE" w14:textId="77777777" w:rsidR="001D26E7" w:rsidRPr="00F614F9" w:rsidRDefault="00000000" w:rsidP="00407C41">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）自行培育</w:t>
            </w:r>
          </w:p>
        </w:tc>
        <w:tc>
          <w:tcPr>
            <w:tcW w:w="850" w:type="dxa"/>
            <w:tcBorders>
              <w:top w:val="single" w:sz="2" w:space="0" w:color="auto"/>
              <w:left w:val="single" w:sz="2" w:space="0" w:color="auto"/>
              <w:bottom w:val="single" w:sz="2" w:space="0" w:color="auto"/>
              <w:right w:val="single" w:sz="2" w:space="0" w:color="auto"/>
            </w:tcBorders>
            <w:vAlign w:val="center"/>
          </w:tcPr>
          <w:p w14:paraId="48FDA5D6"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45CFDB3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44,807,540.95</w:t>
            </w:r>
          </w:p>
        </w:tc>
        <w:tc>
          <w:tcPr>
            <w:tcW w:w="1560" w:type="dxa"/>
            <w:tcBorders>
              <w:top w:val="single" w:sz="2" w:space="0" w:color="auto"/>
              <w:left w:val="single" w:sz="2" w:space="0" w:color="auto"/>
              <w:bottom w:val="single" w:sz="2" w:space="0" w:color="auto"/>
              <w:right w:val="single" w:sz="2" w:space="0" w:color="auto"/>
            </w:tcBorders>
            <w:vAlign w:val="center"/>
          </w:tcPr>
          <w:p w14:paraId="521A542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120,288,608.18</w:t>
            </w:r>
          </w:p>
        </w:tc>
        <w:tc>
          <w:tcPr>
            <w:tcW w:w="850" w:type="dxa"/>
            <w:tcBorders>
              <w:top w:val="single" w:sz="2" w:space="0" w:color="auto"/>
              <w:left w:val="single" w:sz="2" w:space="0" w:color="auto"/>
              <w:bottom w:val="single" w:sz="2" w:space="0" w:color="auto"/>
              <w:right w:val="single" w:sz="2" w:space="0" w:color="auto"/>
            </w:tcBorders>
            <w:vAlign w:val="center"/>
          </w:tcPr>
          <w:p w14:paraId="571A4CD4"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27024ED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9832B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165,096,149.13</w:t>
            </w:r>
          </w:p>
        </w:tc>
      </w:tr>
      <w:tr w:rsidR="001D26E7" w:rsidRPr="00F614F9" w14:paraId="5C01244D"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0E4C2005" w14:textId="77777777" w:rsidR="001D26E7" w:rsidRPr="00F614F9" w:rsidRDefault="001D26E7" w:rsidP="00407C41">
            <w:pPr>
              <w:spacing w:line="240" w:lineRule="exac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9751804"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3C270DC5" w14:textId="77777777" w:rsidR="001D26E7" w:rsidRPr="00F614F9" w:rsidRDefault="001D26E7">
            <w:pPr>
              <w:spacing w:line="240" w:lineRule="exact"/>
              <w:jc w:val="right"/>
              <w:rPr>
                <w:rFonts w:ascii="Times New Roman" w:eastAsia="宋体" w:hAnsi="Times New Roman"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414820DF" w14:textId="77777777" w:rsidR="001D26E7" w:rsidRPr="00F614F9" w:rsidRDefault="001D26E7">
            <w:pPr>
              <w:spacing w:line="240" w:lineRule="exact"/>
              <w:jc w:val="righ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721F0D8"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3C213C2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20E5C8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AEEC612"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32DA75B7" w14:textId="77777777" w:rsidR="001D26E7" w:rsidRPr="00F614F9" w:rsidRDefault="00000000" w:rsidP="00407C41">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本期减少金额</w:t>
            </w:r>
          </w:p>
        </w:tc>
        <w:tc>
          <w:tcPr>
            <w:tcW w:w="850" w:type="dxa"/>
            <w:tcBorders>
              <w:top w:val="single" w:sz="2" w:space="0" w:color="auto"/>
              <w:left w:val="single" w:sz="2" w:space="0" w:color="auto"/>
              <w:bottom w:val="single" w:sz="2" w:space="0" w:color="auto"/>
              <w:right w:val="single" w:sz="2" w:space="0" w:color="auto"/>
            </w:tcBorders>
            <w:vAlign w:val="center"/>
          </w:tcPr>
          <w:p w14:paraId="01E2BBDC"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724D9A3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198,836,857.08</w:t>
            </w:r>
          </w:p>
        </w:tc>
        <w:tc>
          <w:tcPr>
            <w:tcW w:w="1560" w:type="dxa"/>
            <w:tcBorders>
              <w:top w:val="single" w:sz="2" w:space="0" w:color="auto"/>
              <w:left w:val="single" w:sz="2" w:space="0" w:color="auto"/>
              <w:bottom w:val="single" w:sz="2" w:space="0" w:color="auto"/>
              <w:right w:val="single" w:sz="2" w:space="0" w:color="auto"/>
            </w:tcBorders>
            <w:vAlign w:val="center"/>
          </w:tcPr>
          <w:p w14:paraId="26234C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233,940,892.53</w:t>
            </w:r>
          </w:p>
        </w:tc>
        <w:tc>
          <w:tcPr>
            <w:tcW w:w="850" w:type="dxa"/>
            <w:tcBorders>
              <w:top w:val="single" w:sz="2" w:space="0" w:color="auto"/>
              <w:left w:val="single" w:sz="2" w:space="0" w:color="auto"/>
              <w:bottom w:val="single" w:sz="2" w:space="0" w:color="auto"/>
              <w:right w:val="single" w:sz="2" w:space="0" w:color="auto"/>
            </w:tcBorders>
            <w:vAlign w:val="center"/>
          </w:tcPr>
          <w:p w14:paraId="334D5842"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393FA75B"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A041D8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432,777,749.61</w:t>
            </w:r>
          </w:p>
        </w:tc>
      </w:tr>
      <w:tr w:rsidR="001D26E7" w:rsidRPr="00F614F9" w14:paraId="19D0FD89"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6531998C" w14:textId="77777777" w:rsidR="001D26E7" w:rsidRPr="00F614F9" w:rsidRDefault="00000000" w:rsidP="00407C41">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）处置</w:t>
            </w:r>
          </w:p>
        </w:tc>
        <w:tc>
          <w:tcPr>
            <w:tcW w:w="850" w:type="dxa"/>
            <w:tcBorders>
              <w:top w:val="single" w:sz="2" w:space="0" w:color="auto"/>
              <w:left w:val="single" w:sz="2" w:space="0" w:color="auto"/>
              <w:bottom w:val="single" w:sz="2" w:space="0" w:color="auto"/>
              <w:right w:val="single" w:sz="2" w:space="0" w:color="auto"/>
            </w:tcBorders>
            <w:vAlign w:val="center"/>
          </w:tcPr>
          <w:p w14:paraId="3ADC7730"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36D5326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198,836,857.08</w:t>
            </w:r>
          </w:p>
        </w:tc>
        <w:tc>
          <w:tcPr>
            <w:tcW w:w="1560" w:type="dxa"/>
            <w:tcBorders>
              <w:top w:val="single" w:sz="2" w:space="0" w:color="auto"/>
              <w:left w:val="single" w:sz="2" w:space="0" w:color="auto"/>
              <w:bottom w:val="single" w:sz="2" w:space="0" w:color="auto"/>
              <w:right w:val="single" w:sz="2" w:space="0" w:color="auto"/>
            </w:tcBorders>
            <w:vAlign w:val="center"/>
          </w:tcPr>
          <w:p w14:paraId="2BFC25B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189,133,351.58</w:t>
            </w:r>
          </w:p>
        </w:tc>
        <w:tc>
          <w:tcPr>
            <w:tcW w:w="850" w:type="dxa"/>
            <w:tcBorders>
              <w:top w:val="single" w:sz="2" w:space="0" w:color="auto"/>
              <w:left w:val="single" w:sz="2" w:space="0" w:color="auto"/>
              <w:bottom w:val="single" w:sz="2" w:space="0" w:color="auto"/>
              <w:right w:val="single" w:sz="2" w:space="0" w:color="auto"/>
            </w:tcBorders>
            <w:vAlign w:val="center"/>
          </w:tcPr>
          <w:p w14:paraId="03408899"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5DC50D4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B9A4EE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387,970,208.66</w:t>
            </w:r>
          </w:p>
        </w:tc>
      </w:tr>
      <w:tr w:rsidR="001D26E7" w:rsidRPr="00F614F9" w14:paraId="34B902E0"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019B248D" w14:textId="77777777" w:rsidR="001D26E7" w:rsidRPr="00F614F9" w:rsidRDefault="00000000" w:rsidP="00407C41">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）其他</w:t>
            </w:r>
          </w:p>
        </w:tc>
        <w:tc>
          <w:tcPr>
            <w:tcW w:w="850" w:type="dxa"/>
            <w:tcBorders>
              <w:top w:val="single" w:sz="2" w:space="0" w:color="auto"/>
              <w:left w:val="single" w:sz="2" w:space="0" w:color="auto"/>
              <w:bottom w:val="single" w:sz="2" w:space="0" w:color="auto"/>
              <w:right w:val="single" w:sz="2" w:space="0" w:color="auto"/>
            </w:tcBorders>
            <w:vAlign w:val="center"/>
          </w:tcPr>
          <w:p w14:paraId="37D5D60B"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21812CE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560" w:type="dxa"/>
            <w:tcBorders>
              <w:top w:val="single" w:sz="2" w:space="0" w:color="auto"/>
              <w:left w:val="single" w:sz="2" w:space="0" w:color="auto"/>
              <w:bottom w:val="single" w:sz="2" w:space="0" w:color="auto"/>
              <w:right w:val="single" w:sz="2" w:space="0" w:color="auto"/>
            </w:tcBorders>
            <w:vAlign w:val="center"/>
          </w:tcPr>
          <w:p w14:paraId="73A4751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44,807,540.95</w:t>
            </w:r>
          </w:p>
        </w:tc>
        <w:tc>
          <w:tcPr>
            <w:tcW w:w="850" w:type="dxa"/>
            <w:tcBorders>
              <w:top w:val="single" w:sz="2" w:space="0" w:color="auto"/>
              <w:left w:val="single" w:sz="2" w:space="0" w:color="auto"/>
              <w:bottom w:val="single" w:sz="2" w:space="0" w:color="auto"/>
              <w:right w:val="single" w:sz="2" w:space="0" w:color="auto"/>
            </w:tcBorders>
            <w:vAlign w:val="center"/>
          </w:tcPr>
          <w:p w14:paraId="072D68D3"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741B1C39"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F16B20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44,807,540.95</w:t>
            </w:r>
          </w:p>
        </w:tc>
      </w:tr>
      <w:tr w:rsidR="001D26E7" w:rsidRPr="00F614F9" w14:paraId="4A7DDD24"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38B00BAA" w14:textId="77777777" w:rsidR="001D26E7" w:rsidRPr="00F614F9" w:rsidRDefault="001D26E7" w:rsidP="00407C41">
            <w:pPr>
              <w:spacing w:line="240" w:lineRule="exac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4BC4CC0"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56D95357" w14:textId="77777777" w:rsidR="001D26E7" w:rsidRPr="00F614F9" w:rsidRDefault="001D26E7">
            <w:pPr>
              <w:spacing w:line="240" w:lineRule="exact"/>
              <w:jc w:val="right"/>
              <w:rPr>
                <w:rFonts w:ascii="Times New Roman" w:eastAsia="宋体" w:hAnsi="Times New Roman"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6A5F1887" w14:textId="77777777" w:rsidR="001D26E7" w:rsidRPr="00F614F9" w:rsidRDefault="001D26E7">
            <w:pPr>
              <w:spacing w:line="240" w:lineRule="exact"/>
              <w:jc w:val="righ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D3CF0C5"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05EDADD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A3265F3"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1D2F96C"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59997AF4" w14:textId="77777777" w:rsidR="001D26E7" w:rsidRPr="00F614F9" w:rsidRDefault="00000000" w:rsidP="00407C41">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期末余额</w:t>
            </w:r>
          </w:p>
        </w:tc>
        <w:tc>
          <w:tcPr>
            <w:tcW w:w="850" w:type="dxa"/>
            <w:tcBorders>
              <w:top w:val="single" w:sz="2" w:space="0" w:color="auto"/>
              <w:left w:val="single" w:sz="2" w:space="0" w:color="auto"/>
              <w:bottom w:val="single" w:sz="2" w:space="0" w:color="auto"/>
              <w:right w:val="single" w:sz="2" w:space="0" w:color="auto"/>
            </w:tcBorders>
            <w:vAlign w:val="center"/>
          </w:tcPr>
          <w:p w14:paraId="700ECA6A"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0278344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17,443,970.32</w:t>
            </w:r>
          </w:p>
        </w:tc>
        <w:tc>
          <w:tcPr>
            <w:tcW w:w="1560" w:type="dxa"/>
            <w:tcBorders>
              <w:top w:val="single" w:sz="2" w:space="0" w:color="auto"/>
              <w:left w:val="single" w:sz="2" w:space="0" w:color="auto"/>
              <w:bottom w:val="single" w:sz="2" w:space="0" w:color="auto"/>
              <w:right w:val="single" w:sz="2" w:space="0" w:color="auto"/>
            </w:tcBorders>
            <w:vAlign w:val="center"/>
          </w:tcPr>
          <w:p w14:paraId="587B481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731,473.74</w:t>
            </w:r>
          </w:p>
        </w:tc>
        <w:tc>
          <w:tcPr>
            <w:tcW w:w="850" w:type="dxa"/>
            <w:tcBorders>
              <w:top w:val="single" w:sz="2" w:space="0" w:color="auto"/>
              <w:left w:val="single" w:sz="2" w:space="0" w:color="auto"/>
              <w:bottom w:val="single" w:sz="2" w:space="0" w:color="auto"/>
              <w:right w:val="single" w:sz="2" w:space="0" w:color="auto"/>
            </w:tcBorders>
            <w:vAlign w:val="center"/>
          </w:tcPr>
          <w:p w14:paraId="0C8A47B9"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2FEE3DC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1C3DBC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18,175,444.06</w:t>
            </w:r>
          </w:p>
        </w:tc>
      </w:tr>
      <w:tr w:rsidR="001D26E7" w:rsidRPr="00F614F9" w14:paraId="345A681D"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05B76A72" w14:textId="77777777" w:rsidR="001D26E7" w:rsidRPr="00F614F9" w:rsidRDefault="00000000" w:rsidP="00407C41">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二、累计折旧</w:t>
            </w:r>
          </w:p>
        </w:tc>
        <w:tc>
          <w:tcPr>
            <w:tcW w:w="850" w:type="dxa"/>
            <w:tcBorders>
              <w:top w:val="single" w:sz="2" w:space="0" w:color="auto"/>
              <w:left w:val="single" w:sz="2" w:space="0" w:color="auto"/>
              <w:bottom w:val="single" w:sz="2" w:space="0" w:color="auto"/>
              <w:right w:val="single" w:sz="2" w:space="0" w:color="auto"/>
            </w:tcBorders>
            <w:vAlign w:val="center"/>
          </w:tcPr>
          <w:p w14:paraId="687B5275"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5E173170" w14:textId="77777777" w:rsidR="001D26E7" w:rsidRPr="00F614F9" w:rsidRDefault="001D26E7">
            <w:pPr>
              <w:spacing w:line="240" w:lineRule="exact"/>
              <w:jc w:val="right"/>
              <w:rPr>
                <w:rFonts w:ascii="Times New Roman" w:eastAsia="宋体" w:hAnsi="Times New Roman"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3AD074D9" w14:textId="77777777" w:rsidR="001D26E7" w:rsidRPr="00F614F9" w:rsidRDefault="001D26E7">
            <w:pPr>
              <w:spacing w:line="240" w:lineRule="exact"/>
              <w:jc w:val="righ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A1F7688"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5413271B"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DD01FA1"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0B2F62D"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0B58E77F" w14:textId="77777777" w:rsidR="001D26E7" w:rsidRPr="00F614F9" w:rsidRDefault="00000000" w:rsidP="00407C41">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期初余额</w:t>
            </w:r>
          </w:p>
        </w:tc>
        <w:tc>
          <w:tcPr>
            <w:tcW w:w="850" w:type="dxa"/>
            <w:tcBorders>
              <w:top w:val="single" w:sz="2" w:space="0" w:color="auto"/>
              <w:left w:val="single" w:sz="2" w:space="0" w:color="auto"/>
              <w:bottom w:val="single" w:sz="2" w:space="0" w:color="auto"/>
              <w:right w:val="single" w:sz="2" w:space="0" w:color="auto"/>
            </w:tcBorders>
            <w:vAlign w:val="center"/>
          </w:tcPr>
          <w:p w14:paraId="6CB5A722"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0FD9C5C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35,039,229.69</w:t>
            </w:r>
          </w:p>
        </w:tc>
        <w:tc>
          <w:tcPr>
            <w:tcW w:w="1560" w:type="dxa"/>
            <w:tcBorders>
              <w:top w:val="single" w:sz="2" w:space="0" w:color="auto"/>
              <w:left w:val="single" w:sz="2" w:space="0" w:color="auto"/>
              <w:bottom w:val="single" w:sz="2" w:space="0" w:color="auto"/>
              <w:right w:val="single" w:sz="2" w:space="0" w:color="auto"/>
            </w:tcBorders>
            <w:vAlign w:val="center"/>
          </w:tcPr>
          <w:p w14:paraId="30862C74" w14:textId="77777777" w:rsidR="001D26E7" w:rsidRPr="00F614F9" w:rsidRDefault="001D26E7">
            <w:pPr>
              <w:spacing w:line="240" w:lineRule="exact"/>
              <w:jc w:val="righ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66435F5"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6D76CD58"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1B0A4E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35,039,229.69</w:t>
            </w:r>
          </w:p>
        </w:tc>
      </w:tr>
      <w:tr w:rsidR="001D26E7" w:rsidRPr="00F614F9" w14:paraId="31074F36"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1C9B0866" w14:textId="77777777" w:rsidR="001D26E7" w:rsidRPr="00F614F9" w:rsidRDefault="00000000" w:rsidP="00407C41">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本期增加金额</w:t>
            </w:r>
          </w:p>
        </w:tc>
        <w:tc>
          <w:tcPr>
            <w:tcW w:w="850" w:type="dxa"/>
            <w:tcBorders>
              <w:top w:val="single" w:sz="2" w:space="0" w:color="auto"/>
              <w:left w:val="single" w:sz="2" w:space="0" w:color="auto"/>
              <w:bottom w:val="single" w:sz="2" w:space="0" w:color="auto"/>
              <w:right w:val="single" w:sz="2" w:space="0" w:color="auto"/>
            </w:tcBorders>
            <w:vAlign w:val="center"/>
          </w:tcPr>
          <w:p w14:paraId="029DF8C4"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015D242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30,503,890.02</w:t>
            </w:r>
          </w:p>
        </w:tc>
        <w:tc>
          <w:tcPr>
            <w:tcW w:w="1560" w:type="dxa"/>
            <w:tcBorders>
              <w:top w:val="single" w:sz="2" w:space="0" w:color="auto"/>
              <w:left w:val="single" w:sz="2" w:space="0" w:color="auto"/>
              <w:bottom w:val="single" w:sz="2" w:space="0" w:color="auto"/>
              <w:right w:val="single" w:sz="2" w:space="0" w:color="auto"/>
            </w:tcBorders>
            <w:vAlign w:val="center"/>
          </w:tcPr>
          <w:p w14:paraId="6D411222" w14:textId="77777777" w:rsidR="001D26E7" w:rsidRPr="00F614F9" w:rsidRDefault="001D26E7">
            <w:pPr>
              <w:spacing w:line="240" w:lineRule="exact"/>
              <w:jc w:val="righ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4619FFF"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6043FE2F"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B7B375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30,503,890.02</w:t>
            </w:r>
          </w:p>
        </w:tc>
      </w:tr>
      <w:tr w:rsidR="001D26E7" w:rsidRPr="00F614F9" w14:paraId="62F28775"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0076AA74" w14:textId="77777777" w:rsidR="001D26E7" w:rsidRPr="00F614F9" w:rsidRDefault="00000000" w:rsidP="00407C41">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）计提</w:t>
            </w:r>
          </w:p>
        </w:tc>
        <w:tc>
          <w:tcPr>
            <w:tcW w:w="850" w:type="dxa"/>
            <w:tcBorders>
              <w:top w:val="single" w:sz="2" w:space="0" w:color="auto"/>
              <w:left w:val="single" w:sz="2" w:space="0" w:color="auto"/>
              <w:bottom w:val="single" w:sz="2" w:space="0" w:color="auto"/>
              <w:right w:val="single" w:sz="2" w:space="0" w:color="auto"/>
            </w:tcBorders>
            <w:vAlign w:val="center"/>
          </w:tcPr>
          <w:p w14:paraId="6375E3D4"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3CB224F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30,503,890.02</w:t>
            </w:r>
          </w:p>
        </w:tc>
        <w:tc>
          <w:tcPr>
            <w:tcW w:w="1560" w:type="dxa"/>
            <w:tcBorders>
              <w:top w:val="single" w:sz="2" w:space="0" w:color="auto"/>
              <w:left w:val="single" w:sz="2" w:space="0" w:color="auto"/>
              <w:bottom w:val="single" w:sz="2" w:space="0" w:color="auto"/>
              <w:right w:val="single" w:sz="2" w:space="0" w:color="auto"/>
            </w:tcBorders>
            <w:vAlign w:val="center"/>
          </w:tcPr>
          <w:p w14:paraId="1941F593" w14:textId="77777777" w:rsidR="001D26E7" w:rsidRPr="00F614F9" w:rsidRDefault="001D26E7">
            <w:pPr>
              <w:spacing w:line="240" w:lineRule="exact"/>
              <w:jc w:val="righ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276BEF4"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7088531B"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8E9230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30,503,890.02</w:t>
            </w:r>
          </w:p>
        </w:tc>
      </w:tr>
      <w:tr w:rsidR="001D26E7" w:rsidRPr="00F614F9" w14:paraId="677FAF79"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0D437643" w14:textId="77777777" w:rsidR="001D26E7" w:rsidRPr="00F614F9" w:rsidRDefault="001D26E7" w:rsidP="00407C41">
            <w:pPr>
              <w:spacing w:line="240" w:lineRule="exac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01CAB40"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16E297F6" w14:textId="77777777" w:rsidR="001D26E7" w:rsidRPr="00F614F9" w:rsidRDefault="001D26E7">
            <w:pPr>
              <w:spacing w:line="240" w:lineRule="exact"/>
              <w:jc w:val="right"/>
              <w:rPr>
                <w:rFonts w:ascii="Times New Roman" w:eastAsia="宋体" w:hAnsi="Times New Roman"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0DEC6674" w14:textId="77777777" w:rsidR="001D26E7" w:rsidRPr="00F614F9" w:rsidRDefault="001D26E7">
            <w:pPr>
              <w:spacing w:line="240" w:lineRule="exact"/>
              <w:jc w:val="righ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1231874"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7A6DE95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59D8838"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A6D12B2"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287B9AB6" w14:textId="77777777" w:rsidR="001D26E7" w:rsidRPr="00F614F9" w:rsidRDefault="00000000" w:rsidP="00407C41">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本期减少金额</w:t>
            </w:r>
          </w:p>
        </w:tc>
        <w:tc>
          <w:tcPr>
            <w:tcW w:w="850" w:type="dxa"/>
            <w:tcBorders>
              <w:top w:val="single" w:sz="2" w:space="0" w:color="auto"/>
              <w:left w:val="single" w:sz="2" w:space="0" w:color="auto"/>
              <w:bottom w:val="single" w:sz="2" w:space="0" w:color="auto"/>
              <w:right w:val="single" w:sz="2" w:space="0" w:color="auto"/>
            </w:tcBorders>
            <w:vAlign w:val="center"/>
          </w:tcPr>
          <w:p w14:paraId="28EB0538"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5B340BA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57,483,897.48</w:t>
            </w:r>
          </w:p>
        </w:tc>
        <w:tc>
          <w:tcPr>
            <w:tcW w:w="1560" w:type="dxa"/>
            <w:tcBorders>
              <w:top w:val="single" w:sz="2" w:space="0" w:color="auto"/>
              <w:left w:val="single" w:sz="2" w:space="0" w:color="auto"/>
              <w:bottom w:val="single" w:sz="2" w:space="0" w:color="auto"/>
              <w:right w:val="single" w:sz="2" w:space="0" w:color="auto"/>
            </w:tcBorders>
            <w:vAlign w:val="center"/>
          </w:tcPr>
          <w:p w14:paraId="76B035D2" w14:textId="77777777" w:rsidR="001D26E7" w:rsidRPr="00F614F9" w:rsidRDefault="001D26E7">
            <w:pPr>
              <w:spacing w:line="240" w:lineRule="exact"/>
              <w:jc w:val="righ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10DBAEA"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66C8862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5CED27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57,483,897.48</w:t>
            </w:r>
          </w:p>
        </w:tc>
      </w:tr>
      <w:tr w:rsidR="001D26E7" w:rsidRPr="00F614F9" w14:paraId="11D0D3B7"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25730CFC" w14:textId="77777777" w:rsidR="001D26E7" w:rsidRPr="00F614F9" w:rsidRDefault="00000000" w:rsidP="00407C41">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）处置</w:t>
            </w:r>
          </w:p>
        </w:tc>
        <w:tc>
          <w:tcPr>
            <w:tcW w:w="850" w:type="dxa"/>
            <w:tcBorders>
              <w:top w:val="single" w:sz="2" w:space="0" w:color="auto"/>
              <w:left w:val="single" w:sz="2" w:space="0" w:color="auto"/>
              <w:bottom w:val="single" w:sz="2" w:space="0" w:color="auto"/>
              <w:right w:val="single" w:sz="2" w:space="0" w:color="auto"/>
            </w:tcBorders>
            <w:vAlign w:val="center"/>
          </w:tcPr>
          <w:p w14:paraId="49C5DC9D"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46AD4E4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57,483,897.48</w:t>
            </w:r>
          </w:p>
        </w:tc>
        <w:tc>
          <w:tcPr>
            <w:tcW w:w="1560" w:type="dxa"/>
            <w:tcBorders>
              <w:top w:val="single" w:sz="2" w:space="0" w:color="auto"/>
              <w:left w:val="single" w:sz="2" w:space="0" w:color="auto"/>
              <w:bottom w:val="single" w:sz="2" w:space="0" w:color="auto"/>
              <w:right w:val="single" w:sz="2" w:space="0" w:color="auto"/>
            </w:tcBorders>
            <w:vAlign w:val="center"/>
          </w:tcPr>
          <w:p w14:paraId="01A19C98" w14:textId="77777777" w:rsidR="001D26E7" w:rsidRPr="00F614F9" w:rsidRDefault="001D26E7">
            <w:pPr>
              <w:spacing w:line="240" w:lineRule="exact"/>
              <w:jc w:val="righ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00124AC"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36E8AFD4"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7AE391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57,483,897.48</w:t>
            </w:r>
          </w:p>
        </w:tc>
      </w:tr>
      <w:tr w:rsidR="001D26E7" w:rsidRPr="00F614F9" w14:paraId="1DE23F7B"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1356DB57" w14:textId="77777777" w:rsidR="001D26E7" w:rsidRPr="00F614F9" w:rsidRDefault="00000000" w:rsidP="00407C41">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）其他</w:t>
            </w:r>
          </w:p>
        </w:tc>
        <w:tc>
          <w:tcPr>
            <w:tcW w:w="850" w:type="dxa"/>
            <w:tcBorders>
              <w:top w:val="single" w:sz="2" w:space="0" w:color="auto"/>
              <w:left w:val="single" w:sz="2" w:space="0" w:color="auto"/>
              <w:bottom w:val="single" w:sz="2" w:space="0" w:color="auto"/>
              <w:right w:val="single" w:sz="2" w:space="0" w:color="auto"/>
            </w:tcBorders>
            <w:vAlign w:val="center"/>
          </w:tcPr>
          <w:p w14:paraId="06295381"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7A75267F" w14:textId="77777777" w:rsidR="001D26E7" w:rsidRPr="00F614F9" w:rsidRDefault="001D26E7">
            <w:pPr>
              <w:spacing w:line="240" w:lineRule="exact"/>
              <w:jc w:val="right"/>
              <w:rPr>
                <w:rFonts w:ascii="Times New Roman" w:eastAsia="宋体" w:hAnsi="Times New Roman"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7B52BD89" w14:textId="77777777" w:rsidR="001D26E7" w:rsidRPr="00F614F9" w:rsidRDefault="001D26E7">
            <w:pPr>
              <w:spacing w:line="240" w:lineRule="exact"/>
              <w:jc w:val="righ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03E2416"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5AFB2872"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04B900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1D89F96"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0BAA15CC" w14:textId="77777777" w:rsidR="001D26E7" w:rsidRPr="00F614F9" w:rsidRDefault="001D26E7" w:rsidP="00407C41">
            <w:pPr>
              <w:spacing w:line="240" w:lineRule="exac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712EADC"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4BC8B2CB" w14:textId="77777777" w:rsidR="001D26E7" w:rsidRPr="00F614F9" w:rsidRDefault="001D26E7">
            <w:pPr>
              <w:spacing w:line="240" w:lineRule="exact"/>
              <w:jc w:val="right"/>
              <w:rPr>
                <w:rFonts w:ascii="Times New Roman" w:eastAsia="宋体" w:hAnsi="Times New Roman"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6D7FEA6A" w14:textId="77777777" w:rsidR="001D26E7" w:rsidRPr="00F614F9" w:rsidRDefault="001D26E7">
            <w:pPr>
              <w:spacing w:line="240" w:lineRule="exact"/>
              <w:jc w:val="righ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F50C816"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3918DD44"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9ED5B6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E2405C6"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1E6F3288" w14:textId="77777777" w:rsidR="001D26E7" w:rsidRPr="00F614F9" w:rsidRDefault="00000000" w:rsidP="00407C41">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期末余额</w:t>
            </w:r>
          </w:p>
        </w:tc>
        <w:tc>
          <w:tcPr>
            <w:tcW w:w="850" w:type="dxa"/>
            <w:tcBorders>
              <w:top w:val="single" w:sz="2" w:space="0" w:color="auto"/>
              <w:left w:val="single" w:sz="2" w:space="0" w:color="auto"/>
              <w:bottom w:val="single" w:sz="2" w:space="0" w:color="auto"/>
              <w:right w:val="single" w:sz="2" w:space="0" w:color="auto"/>
            </w:tcBorders>
            <w:vAlign w:val="center"/>
          </w:tcPr>
          <w:p w14:paraId="2AF25AC2"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2E9085A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8,059,222.23</w:t>
            </w:r>
          </w:p>
        </w:tc>
        <w:tc>
          <w:tcPr>
            <w:tcW w:w="1560" w:type="dxa"/>
            <w:tcBorders>
              <w:top w:val="single" w:sz="2" w:space="0" w:color="auto"/>
              <w:left w:val="single" w:sz="2" w:space="0" w:color="auto"/>
              <w:bottom w:val="single" w:sz="2" w:space="0" w:color="auto"/>
              <w:right w:val="single" w:sz="2" w:space="0" w:color="auto"/>
            </w:tcBorders>
            <w:vAlign w:val="center"/>
          </w:tcPr>
          <w:p w14:paraId="7964A5A5" w14:textId="77777777" w:rsidR="001D26E7" w:rsidRPr="00F614F9" w:rsidRDefault="001D26E7">
            <w:pPr>
              <w:spacing w:line="240" w:lineRule="exact"/>
              <w:jc w:val="righ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5339172"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465F8879"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A035D6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8,059,222.23</w:t>
            </w:r>
          </w:p>
        </w:tc>
      </w:tr>
      <w:tr w:rsidR="001D26E7" w:rsidRPr="00F614F9" w14:paraId="5911F99D"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56FE5B57" w14:textId="77777777" w:rsidR="001D26E7" w:rsidRPr="00F614F9" w:rsidRDefault="00000000" w:rsidP="00407C41">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三、减值准备</w:t>
            </w:r>
          </w:p>
        </w:tc>
        <w:tc>
          <w:tcPr>
            <w:tcW w:w="850" w:type="dxa"/>
            <w:tcBorders>
              <w:top w:val="single" w:sz="2" w:space="0" w:color="auto"/>
              <w:left w:val="single" w:sz="2" w:space="0" w:color="auto"/>
              <w:bottom w:val="single" w:sz="2" w:space="0" w:color="auto"/>
              <w:right w:val="single" w:sz="2" w:space="0" w:color="auto"/>
            </w:tcBorders>
            <w:vAlign w:val="center"/>
          </w:tcPr>
          <w:p w14:paraId="7702ED59"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465859E1" w14:textId="77777777" w:rsidR="001D26E7" w:rsidRPr="00F614F9" w:rsidRDefault="001D26E7">
            <w:pPr>
              <w:spacing w:line="240" w:lineRule="exact"/>
              <w:jc w:val="right"/>
              <w:rPr>
                <w:rFonts w:ascii="Times New Roman" w:eastAsia="宋体" w:hAnsi="Times New Roman"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467CF1F7" w14:textId="77777777" w:rsidR="001D26E7" w:rsidRPr="00F614F9" w:rsidRDefault="001D26E7">
            <w:pPr>
              <w:spacing w:line="240" w:lineRule="exact"/>
              <w:jc w:val="righ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25B79C8"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4A5BBA7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C0CFB50"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2272BDC"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21A1D5CD" w14:textId="77777777" w:rsidR="001D26E7" w:rsidRPr="00F614F9" w:rsidRDefault="00000000" w:rsidP="00407C41">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lastRenderedPageBreak/>
              <w:t>1.</w:t>
            </w:r>
            <w:r w:rsidRPr="00F614F9">
              <w:rPr>
                <w:rFonts w:ascii="Times New Roman" w:eastAsia="宋体" w:hAnsi="Times New Roman" w:cs="宋体"/>
                <w:sz w:val="18"/>
                <w:szCs w:val="18"/>
              </w:rPr>
              <w:t>期初余额</w:t>
            </w:r>
          </w:p>
        </w:tc>
        <w:tc>
          <w:tcPr>
            <w:tcW w:w="850" w:type="dxa"/>
            <w:tcBorders>
              <w:top w:val="single" w:sz="2" w:space="0" w:color="auto"/>
              <w:left w:val="single" w:sz="2" w:space="0" w:color="auto"/>
              <w:bottom w:val="single" w:sz="2" w:space="0" w:color="auto"/>
              <w:right w:val="single" w:sz="2" w:space="0" w:color="auto"/>
            </w:tcBorders>
            <w:vAlign w:val="center"/>
          </w:tcPr>
          <w:p w14:paraId="5893E42D"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3CA56FDC" w14:textId="77777777" w:rsidR="001D26E7" w:rsidRPr="00F614F9" w:rsidRDefault="001D26E7">
            <w:pPr>
              <w:spacing w:line="240" w:lineRule="exact"/>
              <w:jc w:val="right"/>
              <w:rPr>
                <w:rFonts w:ascii="Times New Roman" w:eastAsia="宋体" w:hAnsi="Times New Roman"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31C118C6" w14:textId="77777777" w:rsidR="001D26E7" w:rsidRPr="00F614F9" w:rsidRDefault="001D26E7">
            <w:pPr>
              <w:spacing w:line="240" w:lineRule="exact"/>
              <w:jc w:val="righ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7E03334"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4F193279"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4B22AF8"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E8E0617"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03CA6081" w14:textId="77777777" w:rsidR="001D26E7" w:rsidRPr="00F614F9" w:rsidRDefault="00000000" w:rsidP="00407C41">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本期增加金额</w:t>
            </w:r>
          </w:p>
        </w:tc>
        <w:tc>
          <w:tcPr>
            <w:tcW w:w="850" w:type="dxa"/>
            <w:tcBorders>
              <w:top w:val="single" w:sz="2" w:space="0" w:color="auto"/>
              <w:left w:val="single" w:sz="2" w:space="0" w:color="auto"/>
              <w:bottom w:val="single" w:sz="2" w:space="0" w:color="auto"/>
              <w:right w:val="single" w:sz="2" w:space="0" w:color="auto"/>
            </w:tcBorders>
            <w:vAlign w:val="center"/>
          </w:tcPr>
          <w:p w14:paraId="05E4F694"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3BD44A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19,253,578.14</w:t>
            </w:r>
          </w:p>
        </w:tc>
        <w:tc>
          <w:tcPr>
            <w:tcW w:w="1560" w:type="dxa"/>
            <w:tcBorders>
              <w:top w:val="single" w:sz="2" w:space="0" w:color="auto"/>
              <w:left w:val="single" w:sz="2" w:space="0" w:color="auto"/>
              <w:bottom w:val="single" w:sz="2" w:space="0" w:color="auto"/>
              <w:right w:val="single" w:sz="2" w:space="0" w:color="auto"/>
            </w:tcBorders>
            <w:vAlign w:val="center"/>
          </w:tcPr>
          <w:p w14:paraId="5A42CB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15,696,576.53</w:t>
            </w:r>
          </w:p>
        </w:tc>
        <w:tc>
          <w:tcPr>
            <w:tcW w:w="850" w:type="dxa"/>
            <w:tcBorders>
              <w:top w:val="single" w:sz="2" w:space="0" w:color="auto"/>
              <w:left w:val="single" w:sz="2" w:space="0" w:color="auto"/>
              <w:bottom w:val="single" w:sz="2" w:space="0" w:color="auto"/>
              <w:right w:val="single" w:sz="2" w:space="0" w:color="auto"/>
            </w:tcBorders>
            <w:vAlign w:val="center"/>
          </w:tcPr>
          <w:p w14:paraId="4F8243D3"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5370D6D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AEE99C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34,950,154.67</w:t>
            </w:r>
          </w:p>
        </w:tc>
      </w:tr>
      <w:tr w:rsidR="001D26E7" w:rsidRPr="00F614F9" w14:paraId="7155121E"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498C6CEF" w14:textId="77777777" w:rsidR="001D26E7" w:rsidRPr="00F614F9" w:rsidRDefault="00000000" w:rsidP="00407C41">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）计提</w:t>
            </w:r>
          </w:p>
        </w:tc>
        <w:tc>
          <w:tcPr>
            <w:tcW w:w="850" w:type="dxa"/>
            <w:tcBorders>
              <w:top w:val="single" w:sz="2" w:space="0" w:color="auto"/>
              <w:left w:val="single" w:sz="2" w:space="0" w:color="auto"/>
              <w:bottom w:val="single" w:sz="2" w:space="0" w:color="auto"/>
              <w:right w:val="single" w:sz="2" w:space="0" w:color="auto"/>
            </w:tcBorders>
            <w:vAlign w:val="center"/>
          </w:tcPr>
          <w:p w14:paraId="2B3BD8BA"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31F6317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19,253,578.14</w:t>
            </w:r>
          </w:p>
        </w:tc>
        <w:tc>
          <w:tcPr>
            <w:tcW w:w="1560" w:type="dxa"/>
            <w:tcBorders>
              <w:top w:val="single" w:sz="2" w:space="0" w:color="auto"/>
              <w:left w:val="single" w:sz="2" w:space="0" w:color="auto"/>
              <w:bottom w:val="single" w:sz="2" w:space="0" w:color="auto"/>
              <w:right w:val="single" w:sz="2" w:space="0" w:color="auto"/>
            </w:tcBorders>
            <w:vAlign w:val="center"/>
          </w:tcPr>
          <w:p w14:paraId="4CD53AB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15,696,576.53</w:t>
            </w:r>
          </w:p>
        </w:tc>
        <w:tc>
          <w:tcPr>
            <w:tcW w:w="850" w:type="dxa"/>
            <w:tcBorders>
              <w:top w:val="single" w:sz="2" w:space="0" w:color="auto"/>
              <w:left w:val="single" w:sz="2" w:space="0" w:color="auto"/>
              <w:bottom w:val="single" w:sz="2" w:space="0" w:color="auto"/>
              <w:right w:val="single" w:sz="2" w:space="0" w:color="auto"/>
            </w:tcBorders>
            <w:vAlign w:val="center"/>
          </w:tcPr>
          <w:p w14:paraId="2B394735"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4F6D8ADA"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874BBC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34,950,154.67</w:t>
            </w:r>
          </w:p>
        </w:tc>
      </w:tr>
      <w:tr w:rsidR="001D26E7" w:rsidRPr="00F614F9" w14:paraId="3A61FC12"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67A4EBA7" w14:textId="77777777" w:rsidR="001D26E7" w:rsidRPr="00F614F9" w:rsidRDefault="001D26E7" w:rsidP="00407C41">
            <w:pPr>
              <w:spacing w:line="240" w:lineRule="exac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CF14F18"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10741500" w14:textId="77777777" w:rsidR="001D26E7" w:rsidRPr="00F614F9" w:rsidRDefault="001D26E7">
            <w:pPr>
              <w:spacing w:line="240" w:lineRule="exact"/>
              <w:jc w:val="right"/>
              <w:rPr>
                <w:rFonts w:ascii="Times New Roman" w:eastAsia="宋体" w:hAnsi="Times New Roman"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50566D34" w14:textId="77777777" w:rsidR="001D26E7" w:rsidRPr="00F614F9" w:rsidRDefault="001D26E7">
            <w:pPr>
              <w:spacing w:line="240" w:lineRule="exact"/>
              <w:jc w:val="righ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EA83351"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35C5729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2C994E5"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9ED8D92"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5C100126" w14:textId="77777777" w:rsidR="001D26E7" w:rsidRPr="00F614F9" w:rsidRDefault="00000000" w:rsidP="00407C41">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本期减少金额</w:t>
            </w:r>
          </w:p>
        </w:tc>
        <w:tc>
          <w:tcPr>
            <w:tcW w:w="850" w:type="dxa"/>
            <w:tcBorders>
              <w:top w:val="single" w:sz="2" w:space="0" w:color="auto"/>
              <w:left w:val="single" w:sz="2" w:space="0" w:color="auto"/>
              <w:bottom w:val="single" w:sz="2" w:space="0" w:color="auto"/>
              <w:right w:val="single" w:sz="2" w:space="0" w:color="auto"/>
            </w:tcBorders>
            <w:vAlign w:val="center"/>
          </w:tcPr>
          <w:p w14:paraId="6D08FB00"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0C9213E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14,175,534.56</w:t>
            </w:r>
          </w:p>
        </w:tc>
        <w:tc>
          <w:tcPr>
            <w:tcW w:w="1560" w:type="dxa"/>
            <w:tcBorders>
              <w:top w:val="single" w:sz="2" w:space="0" w:color="auto"/>
              <w:left w:val="single" w:sz="2" w:space="0" w:color="auto"/>
              <w:bottom w:val="single" w:sz="2" w:space="0" w:color="auto"/>
              <w:right w:val="single" w:sz="2" w:space="0" w:color="auto"/>
            </w:tcBorders>
            <w:vAlign w:val="center"/>
          </w:tcPr>
          <w:p w14:paraId="5B135E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15,620,535.92</w:t>
            </w:r>
          </w:p>
        </w:tc>
        <w:tc>
          <w:tcPr>
            <w:tcW w:w="850" w:type="dxa"/>
            <w:tcBorders>
              <w:top w:val="single" w:sz="2" w:space="0" w:color="auto"/>
              <w:left w:val="single" w:sz="2" w:space="0" w:color="auto"/>
              <w:bottom w:val="single" w:sz="2" w:space="0" w:color="auto"/>
              <w:right w:val="single" w:sz="2" w:space="0" w:color="auto"/>
            </w:tcBorders>
            <w:vAlign w:val="center"/>
          </w:tcPr>
          <w:p w14:paraId="11255060"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5F8927B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BC4DA0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29,796,070.48</w:t>
            </w:r>
          </w:p>
        </w:tc>
      </w:tr>
      <w:tr w:rsidR="001D26E7" w:rsidRPr="00F614F9" w14:paraId="1857B5DD"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695CEF01" w14:textId="77777777" w:rsidR="001D26E7" w:rsidRPr="00F614F9" w:rsidRDefault="00000000" w:rsidP="00407C41">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）处置</w:t>
            </w:r>
          </w:p>
        </w:tc>
        <w:tc>
          <w:tcPr>
            <w:tcW w:w="850" w:type="dxa"/>
            <w:tcBorders>
              <w:top w:val="single" w:sz="2" w:space="0" w:color="auto"/>
              <w:left w:val="single" w:sz="2" w:space="0" w:color="auto"/>
              <w:bottom w:val="single" w:sz="2" w:space="0" w:color="auto"/>
              <w:right w:val="single" w:sz="2" w:space="0" w:color="auto"/>
            </w:tcBorders>
            <w:vAlign w:val="center"/>
          </w:tcPr>
          <w:p w14:paraId="2D49F8D1"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09DB42A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14,175,534.56</w:t>
            </w:r>
          </w:p>
        </w:tc>
        <w:tc>
          <w:tcPr>
            <w:tcW w:w="1560" w:type="dxa"/>
            <w:tcBorders>
              <w:top w:val="single" w:sz="2" w:space="0" w:color="auto"/>
              <w:left w:val="single" w:sz="2" w:space="0" w:color="auto"/>
              <w:bottom w:val="single" w:sz="2" w:space="0" w:color="auto"/>
              <w:right w:val="single" w:sz="2" w:space="0" w:color="auto"/>
            </w:tcBorders>
            <w:vAlign w:val="center"/>
          </w:tcPr>
          <w:p w14:paraId="3B9869D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15,620,535.92</w:t>
            </w:r>
          </w:p>
        </w:tc>
        <w:tc>
          <w:tcPr>
            <w:tcW w:w="850" w:type="dxa"/>
            <w:tcBorders>
              <w:top w:val="single" w:sz="2" w:space="0" w:color="auto"/>
              <w:left w:val="single" w:sz="2" w:space="0" w:color="auto"/>
              <w:bottom w:val="single" w:sz="2" w:space="0" w:color="auto"/>
              <w:right w:val="single" w:sz="2" w:space="0" w:color="auto"/>
            </w:tcBorders>
            <w:vAlign w:val="center"/>
          </w:tcPr>
          <w:p w14:paraId="61204167"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2D79FB6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BADDF2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29,796,070.48</w:t>
            </w:r>
          </w:p>
        </w:tc>
      </w:tr>
      <w:tr w:rsidR="001D26E7" w:rsidRPr="00F614F9" w14:paraId="03A01A71"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77E8A411" w14:textId="77777777" w:rsidR="001D26E7" w:rsidRPr="00F614F9" w:rsidRDefault="00000000" w:rsidP="00407C41">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）其他</w:t>
            </w:r>
          </w:p>
        </w:tc>
        <w:tc>
          <w:tcPr>
            <w:tcW w:w="850" w:type="dxa"/>
            <w:tcBorders>
              <w:top w:val="single" w:sz="2" w:space="0" w:color="auto"/>
              <w:left w:val="single" w:sz="2" w:space="0" w:color="auto"/>
              <w:bottom w:val="single" w:sz="2" w:space="0" w:color="auto"/>
              <w:right w:val="single" w:sz="2" w:space="0" w:color="auto"/>
            </w:tcBorders>
            <w:vAlign w:val="center"/>
          </w:tcPr>
          <w:p w14:paraId="32EB16A3"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7FD04BCB" w14:textId="77777777" w:rsidR="001D26E7" w:rsidRPr="00F614F9" w:rsidRDefault="001D26E7">
            <w:pPr>
              <w:spacing w:line="240" w:lineRule="exact"/>
              <w:jc w:val="right"/>
              <w:rPr>
                <w:rFonts w:ascii="Times New Roman" w:eastAsia="宋体" w:hAnsi="Times New Roman"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74F8B01E" w14:textId="77777777" w:rsidR="001D26E7" w:rsidRPr="00F614F9" w:rsidRDefault="001D26E7">
            <w:pPr>
              <w:spacing w:line="240" w:lineRule="exact"/>
              <w:jc w:val="righ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3895508"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468FB73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273E83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4BAFEB5"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vAlign w:val="center"/>
          </w:tcPr>
          <w:p w14:paraId="302304B8" w14:textId="77777777" w:rsidR="001D26E7" w:rsidRPr="00F614F9" w:rsidRDefault="001D26E7" w:rsidP="00407C41">
            <w:pPr>
              <w:spacing w:line="240" w:lineRule="exac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A78CC01"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17370EF1" w14:textId="77777777" w:rsidR="001D26E7" w:rsidRPr="00F614F9" w:rsidRDefault="001D26E7">
            <w:pPr>
              <w:spacing w:line="240" w:lineRule="exact"/>
              <w:jc w:val="right"/>
              <w:rPr>
                <w:rFonts w:ascii="Times New Roman" w:eastAsia="宋体" w:hAnsi="Times New Roman"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3644FF74" w14:textId="77777777" w:rsidR="001D26E7" w:rsidRPr="00F614F9" w:rsidRDefault="001D26E7">
            <w:pPr>
              <w:spacing w:line="240" w:lineRule="exact"/>
              <w:jc w:val="righ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008DF0F"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3F61F4BA"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BF658D7"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4C3A6F3"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34CA2DFC" w14:textId="77777777" w:rsidR="001D26E7" w:rsidRPr="00F614F9" w:rsidRDefault="00000000" w:rsidP="00407C41">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期末余额</w:t>
            </w:r>
          </w:p>
        </w:tc>
        <w:tc>
          <w:tcPr>
            <w:tcW w:w="850" w:type="dxa"/>
            <w:tcBorders>
              <w:top w:val="single" w:sz="2" w:space="0" w:color="auto"/>
              <w:left w:val="single" w:sz="2" w:space="0" w:color="auto"/>
              <w:bottom w:val="single" w:sz="2" w:space="0" w:color="auto"/>
              <w:right w:val="single" w:sz="2" w:space="0" w:color="auto"/>
            </w:tcBorders>
            <w:vAlign w:val="center"/>
          </w:tcPr>
          <w:p w14:paraId="4B52FA48"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49587EE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5,078,043.58</w:t>
            </w:r>
          </w:p>
        </w:tc>
        <w:tc>
          <w:tcPr>
            <w:tcW w:w="1560" w:type="dxa"/>
            <w:tcBorders>
              <w:top w:val="single" w:sz="2" w:space="0" w:color="auto"/>
              <w:left w:val="single" w:sz="2" w:space="0" w:color="auto"/>
              <w:bottom w:val="single" w:sz="2" w:space="0" w:color="auto"/>
              <w:right w:val="single" w:sz="2" w:space="0" w:color="auto"/>
            </w:tcBorders>
            <w:vAlign w:val="center"/>
          </w:tcPr>
          <w:p w14:paraId="630999E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76,040.61</w:t>
            </w:r>
          </w:p>
        </w:tc>
        <w:tc>
          <w:tcPr>
            <w:tcW w:w="850" w:type="dxa"/>
            <w:tcBorders>
              <w:top w:val="single" w:sz="2" w:space="0" w:color="auto"/>
              <w:left w:val="single" w:sz="2" w:space="0" w:color="auto"/>
              <w:bottom w:val="single" w:sz="2" w:space="0" w:color="auto"/>
              <w:right w:val="single" w:sz="2" w:space="0" w:color="auto"/>
            </w:tcBorders>
            <w:vAlign w:val="center"/>
          </w:tcPr>
          <w:p w14:paraId="0262AE15"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1EBD09B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52A59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5,154,084.19</w:t>
            </w:r>
          </w:p>
        </w:tc>
      </w:tr>
      <w:tr w:rsidR="001D26E7" w:rsidRPr="00F614F9" w14:paraId="6296991B"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70E888D3" w14:textId="77777777" w:rsidR="001D26E7" w:rsidRPr="00F614F9" w:rsidRDefault="00000000" w:rsidP="00407C41">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四、账面价值</w:t>
            </w:r>
          </w:p>
        </w:tc>
        <w:tc>
          <w:tcPr>
            <w:tcW w:w="850" w:type="dxa"/>
            <w:tcBorders>
              <w:top w:val="single" w:sz="2" w:space="0" w:color="auto"/>
              <w:left w:val="single" w:sz="2" w:space="0" w:color="auto"/>
              <w:bottom w:val="single" w:sz="2" w:space="0" w:color="auto"/>
              <w:right w:val="single" w:sz="2" w:space="0" w:color="auto"/>
            </w:tcBorders>
            <w:vAlign w:val="center"/>
          </w:tcPr>
          <w:p w14:paraId="23D5EA9C"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60962222" w14:textId="77777777" w:rsidR="001D26E7" w:rsidRPr="00F614F9" w:rsidRDefault="001D26E7">
            <w:pPr>
              <w:spacing w:line="240" w:lineRule="exact"/>
              <w:jc w:val="right"/>
              <w:rPr>
                <w:rFonts w:ascii="Times New Roman" w:eastAsia="宋体" w:hAnsi="Times New Roman"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7AA86CC8" w14:textId="77777777" w:rsidR="001D26E7" w:rsidRPr="00F614F9" w:rsidRDefault="001D26E7">
            <w:pPr>
              <w:spacing w:line="240" w:lineRule="exact"/>
              <w:jc w:val="right"/>
              <w:rPr>
                <w:rFonts w:ascii="Times New Roman" w:eastAsia="宋体" w:hAnsi="Times New Roman"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A622D38"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136D7AD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A0F28A1"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62E7DCB"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467C7ADF" w14:textId="77777777" w:rsidR="001D26E7" w:rsidRPr="00F614F9" w:rsidRDefault="00000000" w:rsidP="00407C41">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期末账面价值</w:t>
            </w:r>
          </w:p>
        </w:tc>
        <w:tc>
          <w:tcPr>
            <w:tcW w:w="850" w:type="dxa"/>
            <w:tcBorders>
              <w:top w:val="single" w:sz="2" w:space="0" w:color="auto"/>
              <w:left w:val="single" w:sz="2" w:space="0" w:color="auto"/>
              <w:bottom w:val="single" w:sz="2" w:space="0" w:color="auto"/>
              <w:right w:val="single" w:sz="2" w:space="0" w:color="auto"/>
            </w:tcBorders>
            <w:vAlign w:val="center"/>
          </w:tcPr>
          <w:p w14:paraId="3082A397"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1ECAA4E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4,306,704.51</w:t>
            </w:r>
          </w:p>
        </w:tc>
        <w:tc>
          <w:tcPr>
            <w:tcW w:w="1560" w:type="dxa"/>
            <w:tcBorders>
              <w:top w:val="single" w:sz="2" w:space="0" w:color="auto"/>
              <w:left w:val="single" w:sz="2" w:space="0" w:color="auto"/>
              <w:bottom w:val="single" w:sz="2" w:space="0" w:color="auto"/>
              <w:right w:val="single" w:sz="2" w:space="0" w:color="auto"/>
            </w:tcBorders>
            <w:vAlign w:val="center"/>
          </w:tcPr>
          <w:p w14:paraId="5F24417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655,433.13</w:t>
            </w:r>
          </w:p>
        </w:tc>
        <w:tc>
          <w:tcPr>
            <w:tcW w:w="850" w:type="dxa"/>
            <w:tcBorders>
              <w:top w:val="single" w:sz="2" w:space="0" w:color="auto"/>
              <w:left w:val="single" w:sz="2" w:space="0" w:color="auto"/>
              <w:bottom w:val="single" w:sz="2" w:space="0" w:color="auto"/>
              <w:right w:val="single" w:sz="2" w:space="0" w:color="auto"/>
            </w:tcBorders>
            <w:vAlign w:val="center"/>
          </w:tcPr>
          <w:p w14:paraId="0CEFC055"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64B23167"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31E22E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4,962,137.64</w:t>
            </w:r>
          </w:p>
        </w:tc>
      </w:tr>
      <w:tr w:rsidR="001D26E7" w:rsidRPr="00F614F9" w14:paraId="35793F1E" w14:textId="77777777" w:rsidTr="00407C41">
        <w:trPr>
          <w:trHeight w:val="240"/>
        </w:trPr>
        <w:tc>
          <w:tcPr>
            <w:tcW w:w="2441" w:type="dxa"/>
            <w:tcBorders>
              <w:top w:val="single" w:sz="2" w:space="0" w:color="auto"/>
              <w:left w:val="single" w:sz="2" w:space="0" w:color="auto"/>
              <w:bottom w:val="single" w:sz="2" w:space="0" w:color="auto"/>
              <w:right w:val="single" w:sz="2" w:space="0" w:color="auto"/>
            </w:tcBorders>
            <w:shd w:val="clear" w:color="auto" w:fill="D3D3D3"/>
            <w:vAlign w:val="center"/>
          </w:tcPr>
          <w:p w14:paraId="509CA837" w14:textId="77777777" w:rsidR="001D26E7" w:rsidRPr="00F614F9" w:rsidRDefault="00000000" w:rsidP="00407C41">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期初账面价值</w:t>
            </w:r>
          </w:p>
        </w:tc>
        <w:tc>
          <w:tcPr>
            <w:tcW w:w="850" w:type="dxa"/>
            <w:tcBorders>
              <w:top w:val="single" w:sz="2" w:space="0" w:color="auto"/>
              <w:left w:val="single" w:sz="2" w:space="0" w:color="auto"/>
              <w:bottom w:val="single" w:sz="2" w:space="0" w:color="auto"/>
              <w:right w:val="single" w:sz="2" w:space="0" w:color="auto"/>
            </w:tcBorders>
            <w:vAlign w:val="center"/>
          </w:tcPr>
          <w:p w14:paraId="24EE2D29" w14:textId="77777777" w:rsidR="001D26E7" w:rsidRPr="00F614F9" w:rsidRDefault="001D26E7">
            <w:pPr>
              <w:spacing w:line="240" w:lineRule="exact"/>
              <w:jc w:val="right"/>
              <w:rPr>
                <w:rFonts w:ascii="Times New Roman" w:eastAsia="宋体" w:hAnsi="Times New Roman"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604735F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136,434,056.76</w:t>
            </w:r>
          </w:p>
        </w:tc>
        <w:tc>
          <w:tcPr>
            <w:tcW w:w="1560" w:type="dxa"/>
            <w:tcBorders>
              <w:top w:val="single" w:sz="2" w:space="0" w:color="auto"/>
              <w:left w:val="single" w:sz="2" w:space="0" w:color="auto"/>
              <w:bottom w:val="single" w:sz="2" w:space="0" w:color="auto"/>
              <w:right w:val="single" w:sz="2" w:space="0" w:color="auto"/>
            </w:tcBorders>
            <w:vAlign w:val="center"/>
          </w:tcPr>
          <w:p w14:paraId="26ED334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77,421,932.20</w:t>
            </w:r>
          </w:p>
        </w:tc>
        <w:tc>
          <w:tcPr>
            <w:tcW w:w="850" w:type="dxa"/>
            <w:tcBorders>
              <w:top w:val="single" w:sz="2" w:space="0" w:color="auto"/>
              <w:left w:val="single" w:sz="2" w:space="0" w:color="auto"/>
              <w:bottom w:val="single" w:sz="2" w:space="0" w:color="auto"/>
              <w:right w:val="single" w:sz="2" w:space="0" w:color="auto"/>
            </w:tcBorders>
            <w:vAlign w:val="center"/>
          </w:tcPr>
          <w:p w14:paraId="74D5AECB" w14:textId="77777777" w:rsidR="001D26E7" w:rsidRPr="00F614F9" w:rsidRDefault="001D26E7">
            <w:pPr>
              <w:spacing w:line="240" w:lineRule="exact"/>
              <w:jc w:val="right"/>
              <w:rPr>
                <w:rFonts w:ascii="Times New Roman" w:eastAsia="宋体" w:hAnsi="Times New Roman" w:cs="宋体"/>
                <w:sz w:val="18"/>
                <w:szCs w:val="18"/>
              </w:rPr>
            </w:pPr>
          </w:p>
        </w:tc>
        <w:tc>
          <w:tcPr>
            <w:tcW w:w="860" w:type="dxa"/>
            <w:tcBorders>
              <w:top w:val="single" w:sz="2" w:space="0" w:color="auto"/>
              <w:left w:val="single" w:sz="2" w:space="0" w:color="auto"/>
              <w:bottom w:val="single" w:sz="2" w:space="0" w:color="auto"/>
              <w:right w:val="single" w:sz="2" w:space="0" w:color="auto"/>
            </w:tcBorders>
            <w:vAlign w:val="center"/>
          </w:tcPr>
          <w:p w14:paraId="449F86D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70427D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213,855,988.96</w:t>
            </w:r>
          </w:p>
        </w:tc>
      </w:tr>
    </w:tbl>
    <w:p w14:paraId="07773DD7"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98" w:name="_Toc989232"/>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采用成本计量模式的生产性生物资产的减值测试情况</w:t>
      </w:r>
      <w:bookmarkEnd w:id="398"/>
    </w:p>
    <w:p w14:paraId="048C0FB7" w14:textId="77777777" w:rsidR="001D26E7" w:rsidRPr="00F614F9" w:rsidRDefault="00000000">
      <w:pPr>
        <w:spacing w:before="40" w:after="4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0C439236"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399" w:name="_Toc989233"/>
      <w:r w:rsidRPr="00F614F9">
        <w:rPr>
          <w:rFonts w:ascii="Times New Roman" w:eastAsia="宋体" w:hAnsi="Times New Roman" w:cs="宋体"/>
          <w:b/>
          <w:bCs/>
          <w:szCs w:val="21"/>
        </w:rPr>
        <w:t>（</w:t>
      </w:r>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采用公允价值计量模式的生产性生物资产</w:t>
      </w:r>
      <w:bookmarkEnd w:id="399"/>
    </w:p>
    <w:p w14:paraId="174CD3F9"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796CAD54" w14:textId="77777777" w:rsidR="001D26E7" w:rsidRPr="00F614F9" w:rsidRDefault="00000000">
      <w:pPr>
        <w:pStyle w:val="3"/>
        <w:spacing w:line="280" w:lineRule="exact"/>
        <w:jc w:val="left"/>
        <w:rPr>
          <w:rFonts w:ascii="Times New Roman" w:hAnsi="Times New Roman" w:cs="宋体"/>
          <w:b/>
          <w:bCs/>
        </w:rPr>
      </w:pPr>
      <w:bookmarkStart w:id="400" w:name="_Toc989234"/>
      <w:r w:rsidRPr="00F614F9">
        <w:rPr>
          <w:rFonts w:ascii="Times New Roman" w:hAnsi="Times New Roman" w:cs="宋体"/>
          <w:b/>
          <w:bCs/>
        </w:rPr>
        <w:t>24</w:t>
      </w:r>
      <w:r w:rsidRPr="00F614F9">
        <w:rPr>
          <w:rFonts w:ascii="Times New Roman" w:hAnsi="Times New Roman" w:cs="宋体"/>
          <w:b/>
          <w:bCs/>
        </w:rPr>
        <w:t>、油气资产</w:t>
      </w:r>
      <w:bookmarkEnd w:id="400"/>
    </w:p>
    <w:p w14:paraId="5942605B"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6277722D" w14:textId="77777777" w:rsidR="001D26E7" w:rsidRPr="00F614F9" w:rsidRDefault="00000000">
      <w:pPr>
        <w:pStyle w:val="3"/>
        <w:spacing w:line="280" w:lineRule="exact"/>
        <w:jc w:val="left"/>
        <w:rPr>
          <w:rFonts w:ascii="Times New Roman" w:hAnsi="Times New Roman" w:cs="宋体"/>
          <w:b/>
          <w:bCs/>
        </w:rPr>
      </w:pPr>
      <w:bookmarkStart w:id="401" w:name="_Toc989235"/>
      <w:r w:rsidRPr="00F614F9">
        <w:rPr>
          <w:rFonts w:ascii="Times New Roman" w:hAnsi="Times New Roman" w:cs="宋体"/>
          <w:b/>
          <w:bCs/>
        </w:rPr>
        <w:t>25</w:t>
      </w:r>
      <w:r w:rsidRPr="00F614F9">
        <w:rPr>
          <w:rFonts w:ascii="Times New Roman" w:hAnsi="Times New Roman" w:cs="宋体"/>
          <w:b/>
          <w:bCs/>
        </w:rPr>
        <w:t>、使用权资产</w:t>
      </w:r>
      <w:bookmarkEnd w:id="401"/>
    </w:p>
    <w:p w14:paraId="1B641080"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02" w:name="_Toc989236"/>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使用权资产情况</w:t>
      </w:r>
      <w:bookmarkEnd w:id="402"/>
    </w:p>
    <w:p w14:paraId="68D9C468"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1D26E7" w:rsidRPr="00F614F9" w14:paraId="51C99C6F"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550B5A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vAlign w:val="center"/>
          </w:tcPr>
          <w:p w14:paraId="04569D45" w14:textId="77777777" w:rsidR="001D26E7" w:rsidRPr="00F614F9" w:rsidRDefault="00000000">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房屋及建筑物</w:t>
            </w:r>
          </w:p>
        </w:tc>
        <w:tc>
          <w:tcPr>
            <w:tcW w:w="2410" w:type="dxa"/>
            <w:tcBorders>
              <w:top w:val="single" w:sz="2" w:space="0" w:color="auto"/>
              <w:left w:val="single" w:sz="2" w:space="0" w:color="auto"/>
              <w:bottom w:val="single" w:sz="2" w:space="0" w:color="auto"/>
              <w:right w:val="single" w:sz="2" w:space="0" w:color="auto"/>
            </w:tcBorders>
            <w:vAlign w:val="center"/>
          </w:tcPr>
          <w:p w14:paraId="09DC175E" w14:textId="77777777" w:rsidR="001D26E7" w:rsidRPr="00F614F9" w:rsidRDefault="00000000">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土地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B79269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合计</w:t>
            </w:r>
          </w:p>
        </w:tc>
      </w:tr>
      <w:tr w:rsidR="001D26E7" w:rsidRPr="00F614F9" w14:paraId="0FA51FE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E832FA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一、账面原值</w:t>
            </w:r>
          </w:p>
        </w:tc>
        <w:tc>
          <w:tcPr>
            <w:tcW w:w="2410" w:type="dxa"/>
            <w:tcBorders>
              <w:top w:val="single" w:sz="2" w:space="0" w:color="auto"/>
              <w:left w:val="single" w:sz="2" w:space="0" w:color="auto"/>
              <w:bottom w:val="single" w:sz="2" w:space="0" w:color="auto"/>
              <w:right w:val="single" w:sz="2" w:space="0" w:color="auto"/>
            </w:tcBorders>
            <w:vAlign w:val="center"/>
          </w:tcPr>
          <w:p w14:paraId="49C817FF"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C4D74EB"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28B28B2"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92BC0B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CC51E88"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期初余额</w:t>
            </w:r>
          </w:p>
        </w:tc>
        <w:tc>
          <w:tcPr>
            <w:tcW w:w="2410" w:type="dxa"/>
            <w:tcBorders>
              <w:top w:val="single" w:sz="2" w:space="0" w:color="auto"/>
              <w:left w:val="single" w:sz="2" w:space="0" w:color="auto"/>
              <w:bottom w:val="single" w:sz="2" w:space="0" w:color="auto"/>
              <w:right w:val="single" w:sz="2" w:space="0" w:color="auto"/>
            </w:tcBorders>
            <w:vAlign w:val="center"/>
          </w:tcPr>
          <w:p w14:paraId="413123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81,219,423.24</w:t>
            </w:r>
          </w:p>
        </w:tc>
        <w:tc>
          <w:tcPr>
            <w:tcW w:w="2410" w:type="dxa"/>
            <w:tcBorders>
              <w:top w:val="single" w:sz="2" w:space="0" w:color="auto"/>
              <w:left w:val="single" w:sz="2" w:space="0" w:color="auto"/>
              <w:bottom w:val="single" w:sz="2" w:space="0" w:color="auto"/>
              <w:right w:val="single" w:sz="2" w:space="0" w:color="auto"/>
            </w:tcBorders>
            <w:vAlign w:val="center"/>
          </w:tcPr>
          <w:p w14:paraId="1536FB2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23,239,147.99</w:t>
            </w:r>
          </w:p>
        </w:tc>
        <w:tc>
          <w:tcPr>
            <w:tcW w:w="2410" w:type="dxa"/>
            <w:tcBorders>
              <w:top w:val="single" w:sz="2" w:space="0" w:color="auto"/>
              <w:left w:val="single" w:sz="2" w:space="0" w:color="auto"/>
              <w:bottom w:val="single" w:sz="2" w:space="0" w:color="auto"/>
              <w:right w:val="single" w:sz="2" w:space="0" w:color="auto"/>
            </w:tcBorders>
            <w:vAlign w:val="center"/>
          </w:tcPr>
          <w:p w14:paraId="794E3A9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104,458,571.23</w:t>
            </w:r>
          </w:p>
        </w:tc>
      </w:tr>
      <w:tr w:rsidR="001D26E7" w:rsidRPr="00F614F9" w14:paraId="5B7D1FE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E8D66D4"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本期增加金额</w:t>
            </w:r>
          </w:p>
        </w:tc>
        <w:tc>
          <w:tcPr>
            <w:tcW w:w="2410" w:type="dxa"/>
            <w:tcBorders>
              <w:top w:val="single" w:sz="2" w:space="0" w:color="auto"/>
              <w:left w:val="single" w:sz="2" w:space="0" w:color="auto"/>
              <w:bottom w:val="single" w:sz="2" w:space="0" w:color="auto"/>
              <w:right w:val="single" w:sz="2" w:space="0" w:color="auto"/>
            </w:tcBorders>
            <w:vAlign w:val="center"/>
          </w:tcPr>
          <w:p w14:paraId="01AEA2E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1,440,788.54</w:t>
            </w:r>
          </w:p>
        </w:tc>
        <w:tc>
          <w:tcPr>
            <w:tcW w:w="2410" w:type="dxa"/>
            <w:tcBorders>
              <w:top w:val="single" w:sz="2" w:space="0" w:color="auto"/>
              <w:left w:val="single" w:sz="2" w:space="0" w:color="auto"/>
              <w:bottom w:val="single" w:sz="2" w:space="0" w:color="auto"/>
              <w:right w:val="single" w:sz="2" w:space="0" w:color="auto"/>
            </w:tcBorders>
            <w:vAlign w:val="center"/>
          </w:tcPr>
          <w:p w14:paraId="23ABD0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574,844.43</w:t>
            </w:r>
          </w:p>
        </w:tc>
        <w:tc>
          <w:tcPr>
            <w:tcW w:w="2410" w:type="dxa"/>
            <w:tcBorders>
              <w:top w:val="single" w:sz="2" w:space="0" w:color="auto"/>
              <w:left w:val="single" w:sz="2" w:space="0" w:color="auto"/>
              <w:bottom w:val="single" w:sz="2" w:space="0" w:color="auto"/>
              <w:right w:val="single" w:sz="2" w:space="0" w:color="auto"/>
            </w:tcBorders>
            <w:vAlign w:val="center"/>
          </w:tcPr>
          <w:p w14:paraId="1167F05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2,015,632.97</w:t>
            </w:r>
          </w:p>
        </w:tc>
      </w:tr>
      <w:tr w:rsidR="001D26E7" w:rsidRPr="00F614F9" w14:paraId="2642FB32"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A3E1EB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）新增租赁</w:t>
            </w:r>
          </w:p>
        </w:tc>
        <w:tc>
          <w:tcPr>
            <w:tcW w:w="2410" w:type="dxa"/>
            <w:tcBorders>
              <w:top w:val="single" w:sz="2" w:space="0" w:color="auto"/>
              <w:left w:val="single" w:sz="2" w:space="0" w:color="auto"/>
              <w:bottom w:val="single" w:sz="2" w:space="0" w:color="auto"/>
              <w:right w:val="single" w:sz="2" w:space="0" w:color="auto"/>
            </w:tcBorders>
            <w:vAlign w:val="center"/>
          </w:tcPr>
          <w:p w14:paraId="6C2D09A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1,440,788.54</w:t>
            </w:r>
          </w:p>
        </w:tc>
        <w:tc>
          <w:tcPr>
            <w:tcW w:w="2410" w:type="dxa"/>
            <w:tcBorders>
              <w:top w:val="single" w:sz="2" w:space="0" w:color="auto"/>
              <w:left w:val="single" w:sz="2" w:space="0" w:color="auto"/>
              <w:bottom w:val="single" w:sz="2" w:space="0" w:color="auto"/>
              <w:right w:val="single" w:sz="2" w:space="0" w:color="auto"/>
            </w:tcBorders>
            <w:vAlign w:val="center"/>
          </w:tcPr>
          <w:p w14:paraId="16D7335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574,844.43</w:t>
            </w:r>
          </w:p>
        </w:tc>
        <w:tc>
          <w:tcPr>
            <w:tcW w:w="2410" w:type="dxa"/>
            <w:tcBorders>
              <w:top w:val="single" w:sz="2" w:space="0" w:color="auto"/>
              <w:left w:val="single" w:sz="2" w:space="0" w:color="auto"/>
              <w:bottom w:val="single" w:sz="2" w:space="0" w:color="auto"/>
              <w:right w:val="single" w:sz="2" w:space="0" w:color="auto"/>
            </w:tcBorders>
            <w:vAlign w:val="center"/>
          </w:tcPr>
          <w:p w14:paraId="58D95FF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2,015,632.97</w:t>
            </w:r>
          </w:p>
        </w:tc>
      </w:tr>
      <w:tr w:rsidR="001D26E7" w:rsidRPr="00F614F9" w14:paraId="556BF7C1"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2AB61B0"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本期减少金额</w:t>
            </w:r>
          </w:p>
        </w:tc>
        <w:tc>
          <w:tcPr>
            <w:tcW w:w="2410" w:type="dxa"/>
            <w:tcBorders>
              <w:top w:val="single" w:sz="2" w:space="0" w:color="auto"/>
              <w:left w:val="single" w:sz="2" w:space="0" w:color="auto"/>
              <w:bottom w:val="single" w:sz="2" w:space="0" w:color="auto"/>
              <w:right w:val="single" w:sz="2" w:space="0" w:color="auto"/>
            </w:tcBorders>
            <w:vAlign w:val="center"/>
          </w:tcPr>
          <w:p w14:paraId="33CF837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29,648,261.14</w:t>
            </w:r>
          </w:p>
        </w:tc>
        <w:tc>
          <w:tcPr>
            <w:tcW w:w="2410" w:type="dxa"/>
            <w:tcBorders>
              <w:top w:val="single" w:sz="2" w:space="0" w:color="auto"/>
              <w:left w:val="single" w:sz="2" w:space="0" w:color="auto"/>
              <w:bottom w:val="single" w:sz="2" w:space="0" w:color="auto"/>
              <w:right w:val="single" w:sz="2" w:space="0" w:color="auto"/>
            </w:tcBorders>
            <w:vAlign w:val="center"/>
          </w:tcPr>
          <w:p w14:paraId="3AF24C1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180,720.42</w:t>
            </w:r>
          </w:p>
        </w:tc>
        <w:tc>
          <w:tcPr>
            <w:tcW w:w="2410" w:type="dxa"/>
            <w:tcBorders>
              <w:top w:val="single" w:sz="2" w:space="0" w:color="auto"/>
              <w:left w:val="single" w:sz="2" w:space="0" w:color="auto"/>
              <w:bottom w:val="single" w:sz="2" w:space="0" w:color="auto"/>
              <w:right w:val="single" w:sz="2" w:space="0" w:color="auto"/>
            </w:tcBorders>
            <w:vAlign w:val="center"/>
          </w:tcPr>
          <w:p w14:paraId="7C5EA1A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29,828,981.56</w:t>
            </w:r>
          </w:p>
        </w:tc>
      </w:tr>
      <w:tr w:rsidR="001D26E7" w:rsidRPr="00F614F9" w14:paraId="0FDFEAC8"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A0C859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）处置或报废</w:t>
            </w:r>
          </w:p>
        </w:tc>
        <w:tc>
          <w:tcPr>
            <w:tcW w:w="2410" w:type="dxa"/>
            <w:tcBorders>
              <w:top w:val="single" w:sz="2" w:space="0" w:color="auto"/>
              <w:left w:val="single" w:sz="2" w:space="0" w:color="auto"/>
              <w:bottom w:val="single" w:sz="2" w:space="0" w:color="auto"/>
              <w:right w:val="single" w:sz="2" w:space="0" w:color="auto"/>
            </w:tcBorders>
            <w:vAlign w:val="center"/>
          </w:tcPr>
          <w:p w14:paraId="3D6E1A4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29,648,261.14</w:t>
            </w:r>
          </w:p>
        </w:tc>
        <w:tc>
          <w:tcPr>
            <w:tcW w:w="2410" w:type="dxa"/>
            <w:tcBorders>
              <w:top w:val="single" w:sz="2" w:space="0" w:color="auto"/>
              <w:left w:val="single" w:sz="2" w:space="0" w:color="auto"/>
              <w:bottom w:val="single" w:sz="2" w:space="0" w:color="auto"/>
              <w:right w:val="single" w:sz="2" w:space="0" w:color="auto"/>
            </w:tcBorders>
            <w:vAlign w:val="center"/>
          </w:tcPr>
          <w:p w14:paraId="43F395A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180,720.42</w:t>
            </w:r>
          </w:p>
        </w:tc>
        <w:tc>
          <w:tcPr>
            <w:tcW w:w="2410" w:type="dxa"/>
            <w:tcBorders>
              <w:top w:val="single" w:sz="2" w:space="0" w:color="auto"/>
              <w:left w:val="single" w:sz="2" w:space="0" w:color="auto"/>
              <w:bottom w:val="single" w:sz="2" w:space="0" w:color="auto"/>
              <w:right w:val="single" w:sz="2" w:space="0" w:color="auto"/>
            </w:tcBorders>
            <w:vAlign w:val="center"/>
          </w:tcPr>
          <w:p w14:paraId="72C1CCE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29,828,981.56</w:t>
            </w:r>
          </w:p>
        </w:tc>
      </w:tr>
      <w:tr w:rsidR="001D26E7" w:rsidRPr="00F614F9" w14:paraId="6E2288A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C3EBB2C"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期末余额</w:t>
            </w:r>
          </w:p>
        </w:tc>
        <w:tc>
          <w:tcPr>
            <w:tcW w:w="2410" w:type="dxa"/>
            <w:tcBorders>
              <w:top w:val="single" w:sz="2" w:space="0" w:color="auto"/>
              <w:left w:val="single" w:sz="2" w:space="0" w:color="auto"/>
              <w:bottom w:val="single" w:sz="2" w:space="0" w:color="auto"/>
              <w:right w:val="single" w:sz="2" w:space="0" w:color="auto"/>
            </w:tcBorders>
            <w:vAlign w:val="center"/>
          </w:tcPr>
          <w:p w14:paraId="2D9F498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53,011,950.64</w:t>
            </w:r>
          </w:p>
        </w:tc>
        <w:tc>
          <w:tcPr>
            <w:tcW w:w="2410" w:type="dxa"/>
            <w:tcBorders>
              <w:top w:val="single" w:sz="2" w:space="0" w:color="auto"/>
              <w:left w:val="single" w:sz="2" w:space="0" w:color="auto"/>
              <w:bottom w:val="single" w:sz="2" w:space="0" w:color="auto"/>
              <w:right w:val="single" w:sz="2" w:space="0" w:color="auto"/>
            </w:tcBorders>
            <w:vAlign w:val="center"/>
          </w:tcPr>
          <w:p w14:paraId="52D4588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23,633,272.00</w:t>
            </w:r>
          </w:p>
        </w:tc>
        <w:tc>
          <w:tcPr>
            <w:tcW w:w="2410" w:type="dxa"/>
            <w:tcBorders>
              <w:top w:val="single" w:sz="2" w:space="0" w:color="auto"/>
              <w:left w:val="single" w:sz="2" w:space="0" w:color="auto"/>
              <w:bottom w:val="single" w:sz="2" w:space="0" w:color="auto"/>
              <w:right w:val="single" w:sz="2" w:space="0" w:color="auto"/>
            </w:tcBorders>
            <w:vAlign w:val="center"/>
          </w:tcPr>
          <w:p w14:paraId="3755B58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76,645,222.64</w:t>
            </w:r>
          </w:p>
        </w:tc>
      </w:tr>
      <w:tr w:rsidR="001D26E7" w:rsidRPr="00F614F9" w14:paraId="3678860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DE19C3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二、累计折旧</w:t>
            </w:r>
          </w:p>
        </w:tc>
        <w:tc>
          <w:tcPr>
            <w:tcW w:w="2410" w:type="dxa"/>
            <w:tcBorders>
              <w:top w:val="single" w:sz="2" w:space="0" w:color="auto"/>
              <w:left w:val="single" w:sz="2" w:space="0" w:color="auto"/>
              <w:bottom w:val="single" w:sz="2" w:space="0" w:color="auto"/>
              <w:right w:val="single" w:sz="2" w:space="0" w:color="auto"/>
            </w:tcBorders>
            <w:vAlign w:val="center"/>
          </w:tcPr>
          <w:p w14:paraId="13324472"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A787CD2"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B5928A1"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F4D1B3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8B97BDA"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期初余额</w:t>
            </w:r>
          </w:p>
        </w:tc>
        <w:tc>
          <w:tcPr>
            <w:tcW w:w="2410" w:type="dxa"/>
            <w:tcBorders>
              <w:top w:val="single" w:sz="2" w:space="0" w:color="auto"/>
              <w:left w:val="single" w:sz="2" w:space="0" w:color="auto"/>
              <w:bottom w:val="single" w:sz="2" w:space="0" w:color="auto"/>
              <w:right w:val="single" w:sz="2" w:space="0" w:color="auto"/>
            </w:tcBorders>
            <w:vAlign w:val="center"/>
          </w:tcPr>
          <w:p w14:paraId="0ED1297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23,176,790.12</w:t>
            </w:r>
          </w:p>
        </w:tc>
        <w:tc>
          <w:tcPr>
            <w:tcW w:w="2410" w:type="dxa"/>
            <w:tcBorders>
              <w:top w:val="single" w:sz="2" w:space="0" w:color="auto"/>
              <w:left w:val="single" w:sz="2" w:space="0" w:color="auto"/>
              <w:bottom w:val="single" w:sz="2" w:space="0" w:color="auto"/>
              <w:right w:val="single" w:sz="2" w:space="0" w:color="auto"/>
            </w:tcBorders>
            <w:vAlign w:val="center"/>
          </w:tcPr>
          <w:p w14:paraId="0930C12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2,922,432.51</w:t>
            </w:r>
          </w:p>
        </w:tc>
        <w:tc>
          <w:tcPr>
            <w:tcW w:w="2410" w:type="dxa"/>
            <w:tcBorders>
              <w:top w:val="single" w:sz="2" w:space="0" w:color="auto"/>
              <w:left w:val="single" w:sz="2" w:space="0" w:color="auto"/>
              <w:bottom w:val="single" w:sz="2" w:space="0" w:color="auto"/>
              <w:right w:val="single" w:sz="2" w:space="0" w:color="auto"/>
            </w:tcBorders>
            <w:vAlign w:val="center"/>
          </w:tcPr>
          <w:p w14:paraId="2E6FBA5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26,099,222.63</w:t>
            </w:r>
          </w:p>
        </w:tc>
      </w:tr>
      <w:tr w:rsidR="001D26E7" w:rsidRPr="00F614F9" w14:paraId="067A849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C18CA05"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本期增加金额</w:t>
            </w:r>
          </w:p>
        </w:tc>
        <w:tc>
          <w:tcPr>
            <w:tcW w:w="2410" w:type="dxa"/>
            <w:tcBorders>
              <w:top w:val="single" w:sz="2" w:space="0" w:color="auto"/>
              <w:left w:val="single" w:sz="2" w:space="0" w:color="auto"/>
              <w:bottom w:val="single" w:sz="2" w:space="0" w:color="auto"/>
              <w:right w:val="single" w:sz="2" w:space="0" w:color="auto"/>
            </w:tcBorders>
            <w:vAlign w:val="center"/>
          </w:tcPr>
          <w:p w14:paraId="7E0AE38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10,918,380.83</w:t>
            </w:r>
          </w:p>
        </w:tc>
        <w:tc>
          <w:tcPr>
            <w:tcW w:w="2410" w:type="dxa"/>
            <w:tcBorders>
              <w:top w:val="single" w:sz="2" w:space="0" w:color="auto"/>
              <w:left w:val="single" w:sz="2" w:space="0" w:color="auto"/>
              <w:bottom w:val="single" w:sz="2" w:space="0" w:color="auto"/>
              <w:right w:val="single" w:sz="2" w:space="0" w:color="auto"/>
            </w:tcBorders>
            <w:vAlign w:val="center"/>
          </w:tcPr>
          <w:p w14:paraId="02C7975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1,486,514.04</w:t>
            </w:r>
          </w:p>
        </w:tc>
        <w:tc>
          <w:tcPr>
            <w:tcW w:w="2410" w:type="dxa"/>
            <w:tcBorders>
              <w:top w:val="single" w:sz="2" w:space="0" w:color="auto"/>
              <w:left w:val="single" w:sz="2" w:space="0" w:color="auto"/>
              <w:bottom w:val="single" w:sz="2" w:space="0" w:color="auto"/>
              <w:right w:val="single" w:sz="2" w:space="0" w:color="auto"/>
            </w:tcBorders>
            <w:vAlign w:val="center"/>
          </w:tcPr>
          <w:p w14:paraId="3E05FA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12,404,894.87</w:t>
            </w:r>
          </w:p>
        </w:tc>
      </w:tr>
      <w:tr w:rsidR="001D26E7" w:rsidRPr="00F614F9" w14:paraId="1ABA048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53D8D0B"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）计提</w:t>
            </w:r>
          </w:p>
        </w:tc>
        <w:tc>
          <w:tcPr>
            <w:tcW w:w="2410" w:type="dxa"/>
            <w:tcBorders>
              <w:top w:val="single" w:sz="2" w:space="0" w:color="auto"/>
              <w:left w:val="single" w:sz="2" w:space="0" w:color="auto"/>
              <w:bottom w:val="single" w:sz="2" w:space="0" w:color="auto"/>
              <w:right w:val="single" w:sz="2" w:space="0" w:color="auto"/>
            </w:tcBorders>
            <w:vAlign w:val="center"/>
          </w:tcPr>
          <w:p w14:paraId="45589FF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10,918,380.83</w:t>
            </w:r>
          </w:p>
        </w:tc>
        <w:tc>
          <w:tcPr>
            <w:tcW w:w="2410" w:type="dxa"/>
            <w:tcBorders>
              <w:top w:val="single" w:sz="2" w:space="0" w:color="auto"/>
              <w:left w:val="single" w:sz="2" w:space="0" w:color="auto"/>
              <w:bottom w:val="single" w:sz="2" w:space="0" w:color="auto"/>
              <w:right w:val="single" w:sz="2" w:space="0" w:color="auto"/>
            </w:tcBorders>
            <w:vAlign w:val="center"/>
          </w:tcPr>
          <w:p w14:paraId="73FD665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1,486,514.04</w:t>
            </w:r>
          </w:p>
        </w:tc>
        <w:tc>
          <w:tcPr>
            <w:tcW w:w="2410" w:type="dxa"/>
            <w:tcBorders>
              <w:top w:val="single" w:sz="2" w:space="0" w:color="auto"/>
              <w:left w:val="single" w:sz="2" w:space="0" w:color="auto"/>
              <w:bottom w:val="single" w:sz="2" w:space="0" w:color="auto"/>
              <w:right w:val="single" w:sz="2" w:space="0" w:color="auto"/>
            </w:tcBorders>
            <w:vAlign w:val="center"/>
          </w:tcPr>
          <w:p w14:paraId="5B4C573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12,404,894.87</w:t>
            </w:r>
          </w:p>
        </w:tc>
      </w:tr>
      <w:tr w:rsidR="001D26E7" w:rsidRPr="00F614F9" w14:paraId="31643B14"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D4CE0C5" w14:textId="77777777" w:rsidR="001D26E7" w:rsidRPr="00F614F9" w:rsidRDefault="001D26E7">
            <w:pPr>
              <w:spacing w:line="240" w:lineRule="exac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957E013"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B3C1223"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A90D5B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33BE14F"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D3B476E"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本期减少金额</w:t>
            </w:r>
          </w:p>
        </w:tc>
        <w:tc>
          <w:tcPr>
            <w:tcW w:w="2410" w:type="dxa"/>
            <w:tcBorders>
              <w:top w:val="single" w:sz="2" w:space="0" w:color="auto"/>
              <w:left w:val="single" w:sz="2" w:space="0" w:color="auto"/>
              <w:bottom w:val="single" w:sz="2" w:space="0" w:color="auto"/>
              <w:right w:val="single" w:sz="2" w:space="0" w:color="auto"/>
            </w:tcBorders>
            <w:vAlign w:val="center"/>
          </w:tcPr>
          <w:p w14:paraId="163026A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18,513,416.90</w:t>
            </w:r>
          </w:p>
        </w:tc>
        <w:tc>
          <w:tcPr>
            <w:tcW w:w="2410" w:type="dxa"/>
            <w:tcBorders>
              <w:top w:val="single" w:sz="2" w:space="0" w:color="auto"/>
              <w:left w:val="single" w:sz="2" w:space="0" w:color="auto"/>
              <w:bottom w:val="single" w:sz="2" w:space="0" w:color="auto"/>
              <w:right w:val="single" w:sz="2" w:space="0" w:color="auto"/>
            </w:tcBorders>
            <w:vAlign w:val="center"/>
          </w:tcPr>
          <w:p w14:paraId="5047602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26,773.44</w:t>
            </w:r>
          </w:p>
        </w:tc>
        <w:tc>
          <w:tcPr>
            <w:tcW w:w="2410" w:type="dxa"/>
            <w:tcBorders>
              <w:top w:val="single" w:sz="2" w:space="0" w:color="auto"/>
              <w:left w:val="single" w:sz="2" w:space="0" w:color="auto"/>
              <w:bottom w:val="single" w:sz="2" w:space="0" w:color="auto"/>
              <w:right w:val="single" w:sz="2" w:space="0" w:color="auto"/>
            </w:tcBorders>
            <w:vAlign w:val="center"/>
          </w:tcPr>
          <w:p w14:paraId="5D3FCA2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18,540,190.34</w:t>
            </w:r>
          </w:p>
        </w:tc>
      </w:tr>
      <w:tr w:rsidR="001D26E7" w:rsidRPr="00F614F9" w14:paraId="7637AEE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B3F800B"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）处置</w:t>
            </w:r>
          </w:p>
        </w:tc>
        <w:tc>
          <w:tcPr>
            <w:tcW w:w="2410" w:type="dxa"/>
            <w:tcBorders>
              <w:top w:val="single" w:sz="2" w:space="0" w:color="auto"/>
              <w:left w:val="single" w:sz="2" w:space="0" w:color="auto"/>
              <w:bottom w:val="single" w:sz="2" w:space="0" w:color="auto"/>
              <w:right w:val="single" w:sz="2" w:space="0" w:color="auto"/>
            </w:tcBorders>
            <w:vAlign w:val="center"/>
          </w:tcPr>
          <w:p w14:paraId="2E20190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18,513,416.90</w:t>
            </w:r>
          </w:p>
        </w:tc>
        <w:tc>
          <w:tcPr>
            <w:tcW w:w="2410" w:type="dxa"/>
            <w:tcBorders>
              <w:top w:val="single" w:sz="2" w:space="0" w:color="auto"/>
              <w:left w:val="single" w:sz="2" w:space="0" w:color="auto"/>
              <w:bottom w:val="single" w:sz="2" w:space="0" w:color="auto"/>
              <w:right w:val="single" w:sz="2" w:space="0" w:color="auto"/>
            </w:tcBorders>
            <w:vAlign w:val="center"/>
          </w:tcPr>
          <w:p w14:paraId="206C5AF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26,773.44</w:t>
            </w:r>
          </w:p>
        </w:tc>
        <w:tc>
          <w:tcPr>
            <w:tcW w:w="2410" w:type="dxa"/>
            <w:tcBorders>
              <w:top w:val="single" w:sz="2" w:space="0" w:color="auto"/>
              <w:left w:val="single" w:sz="2" w:space="0" w:color="auto"/>
              <w:bottom w:val="single" w:sz="2" w:space="0" w:color="auto"/>
              <w:right w:val="single" w:sz="2" w:space="0" w:color="auto"/>
            </w:tcBorders>
            <w:vAlign w:val="center"/>
          </w:tcPr>
          <w:p w14:paraId="77EA652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18,540,190.34</w:t>
            </w:r>
          </w:p>
        </w:tc>
      </w:tr>
      <w:tr w:rsidR="001D26E7" w:rsidRPr="00F614F9" w14:paraId="48A72649"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13DF264" w14:textId="77777777" w:rsidR="001D26E7" w:rsidRPr="00F614F9" w:rsidRDefault="001D26E7">
            <w:pPr>
              <w:spacing w:line="240" w:lineRule="exac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088C6C3"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A3DF7EA"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65C940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A11E5A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F748746"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lastRenderedPageBreak/>
              <w:t>4.</w:t>
            </w:r>
            <w:r w:rsidRPr="00F614F9">
              <w:rPr>
                <w:rFonts w:ascii="Times New Roman" w:eastAsia="宋体" w:hAnsi="Times New Roman" w:cs="宋体"/>
                <w:sz w:val="18"/>
                <w:szCs w:val="18"/>
              </w:rPr>
              <w:t>期末余额</w:t>
            </w:r>
          </w:p>
        </w:tc>
        <w:tc>
          <w:tcPr>
            <w:tcW w:w="2410" w:type="dxa"/>
            <w:tcBorders>
              <w:top w:val="single" w:sz="2" w:space="0" w:color="auto"/>
              <w:left w:val="single" w:sz="2" w:space="0" w:color="auto"/>
              <w:bottom w:val="single" w:sz="2" w:space="0" w:color="auto"/>
              <w:right w:val="single" w:sz="2" w:space="0" w:color="auto"/>
            </w:tcBorders>
            <w:vAlign w:val="center"/>
          </w:tcPr>
          <w:p w14:paraId="4476709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15,581,754.05</w:t>
            </w:r>
          </w:p>
        </w:tc>
        <w:tc>
          <w:tcPr>
            <w:tcW w:w="2410" w:type="dxa"/>
            <w:tcBorders>
              <w:top w:val="single" w:sz="2" w:space="0" w:color="auto"/>
              <w:left w:val="single" w:sz="2" w:space="0" w:color="auto"/>
              <w:bottom w:val="single" w:sz="2" w:space="0" w:color="auto"/>
              <w:right w:val="single" w:sz="2" w:space="0" w:color="auto"/>
            </w:tcBorders>
            <w:vAlign w:val="center"/>
          </w:tcPr>
          <w:p w14:paraId="0EC9CA0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4,382,173.11</w:t>
            </w:r>
          </w:p>
        </w:tc>
        <w:tc>
          <w:tcPr>
            <w:tcW w:w="2410" w:type="dxa"/>
            <w:tcBorders>
              <w:top w:val="single" w:sz="2" w:space="0" w:color="auto"/>
              <w:left w:val="single" w:sz="2" w:space="0" w:color="auto"/>
              <w:bottom w:val="single" w:sz="2" w:space="0" w:color="auto"/>
              <w:right w:val="single" w:sz="2" w:space="0" w:color="auto"/>
            </w:tcBorders>
            <w:vAlign w:val="center"/>
          </w:tcPr>
          <w:p w14:paraId="6E58A72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19,963,927.16</w:t>
            </w:r>
          </w:p>
        </w:tc>
      </w:tr>
      <w:tr w:rsidR="001D26E7" w:rsidRPr="00F614F9" w14:paraId="74E2FF5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BA4FB9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三、减值准备</w:t>
            </w:r>
          </w:p>
        </w:tc>
        <w:tc>
          <w:tcPr>
            <w:tcW w:w="2410" w:type="dxa"/>
            <w:tcBorders>
              <w:top w:val="single" w:sz="2" w:space="0" w:color="auto"/>
              <w:left w:val="single" w:sz="2" w:space="0" w:color="auto"/>
              <w:bottom w:val="single" w:sz="2" w:space="0" w:color="auto"/>
              <w:right w:val="single" w:sz="2" w:space="0" w:color="auto"/>
            </w:tcBorders>
            <w:vAlign w:val="center"/>
          </w:tcPr>
          <w:p w14:paraId="035465E3"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7D57886"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37D9C5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DFF4BA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36B32C8"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期初余额</w:t>
            </w:r>
          </w:p>
        </w:tc>
        <w:tc>
          <w:tcPr>
            <w:tcW w:w="2410" w:type="dxa"/>
            <w:tcBorders>
              <w:top w:val="single" w:sz="2" w:space="0" w:color="auto"/>
              <w:left w:val="single" w:sz="2" w:space="0" w:color="auto"/>
              <w:bottom w:val="single" w:sz="2" w:space="0" w:color="auto"/>
              <w:right w:val="single" w:sz="2" w:space="0" w:color="auto"/>
            </w:tcBorders>
            <w:vAlign w:val="center"/>
          </w:tcPr>
          <w:p w14:paraId="0287EBB7"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36A82C7"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827E81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D1BE1D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6069106"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本期增加金额</w:t>
            </w:r>
          </w:p>
        </w:tc>
        <w:tc>
          <w:tcPr>
            <w:tcW w:w="2410" w:type="dxa"/>
            <w:tcBorders>
              <w:top w:val="single" w:sz="2" w:space="0" w:color="auto"/>
              <w:left w:val="single" w:sz="2" w:space="0" w:color="auto"/>
              <w:bottom w:val="single" w:sz="2" w:space="0" w:color="auto"/>
              <w:right w:val="single" w:sz="2" w:space="0" w:color="auto"/>
            </w:tcBorders>
            <w:vAlign w:val="center"/>
          </w:tcPr>
          <w:p w14:paraId="54F66BF8"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C98EC4D"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1AE0C5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8F64B9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1B48B9D"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）计提</w:t>
            </w:r>
          </w:p>
        </w:tc>
        <w:tc>
          <w:tcPr>
            <w:tcW w:w="2410" w:type="dxa"/>
            <w:tcBorders>
              <w:top w:val="single" w:sz="2" w:space="0" w:color="auto"/>
              <w:left w:val="single" w:sz="2" w:space="0" w:color="auto"/>
              <w:bottom w:val="single" w:sz="2" w:space="0" w:color="auto"/>
              <w:right w:val="single" w:sz="2" w:space="0" w:color="auto"/>
            </w:tcBorders>
            <w:vAlign w:val="center"/>
          </w:tcPr>
          <w:p w14:paraId="665CE604"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4F11B72"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0B69EC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D2EBB26"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BBF30D6" w14:textId="77777777" w:rsidR="001D26E7" w:rsidRPr="00F614F9" w:rsidRDefault="001D26E7">
            <w:pPr>
              <w:spacing w:line="240" w:lineRule="exac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0C13153"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E8DFDBD"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84C2B88"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55FDF1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4CE8A3B"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本期减少金额</w:t>
            </w:r>
          </w:p>
        </w:tc>
        <w:tc>
          <w:tcPr>
            <w:tcW w:w="2410" w:type="dxa"/>
            <w:tcBorders>
              <w:top w:val="single" w:sz="2" w:space="0" w:color="auto"/>
              <w:left w:val="single" w:sz="2" w:space="0" w:color="auto"/>
              <w:bottom w:val="single" w:sz="2" w:space="0" w:color="auto"/>
              <w:right w:val="single" w:sz="2" w:space="0" w:color="auto"/>
            </w:tcBorders>
            <w:vAlign w:val="center"/>
          </w:tcPr>
          <w:p w14:paraId="7299C2C9"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FD2928E"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C4D1D0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EB5B83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9FEB373"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）处置</w:t>
            </w:r>
          </w:p>
        </w:tc>
        <w:tc>
          <w:tcPr>
            <w:tcW w:w="2410" w:type="dxa"/>
            <w:tcBorders>
              <w:top w:val="single" w:sz="2" w:space="0" w:color="auto"/>
              <w:left w:val="single" w:sz="2" w:space="0" w:color="auto"/>
              <w:bottom w:val="single" w:sz="2" w:space="0" w:color="auto"/>
              <w:right w:val="single" w:sz="2" w:space="0" w:color="auto"/>
            </w:tcBorders>
            <w:vAlign w:val="center"/>
          </w:tcPr>
          <w:p w14:paraId="1B3715CD"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B4C16D7"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11506E1"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7C16430"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C69AF1C" w14:textId="77777777" w:rsidR="001D26E7" w:rsidRPr="00F614F9" w:rsidRDefault="001D26E7">
            <w:pPr>
              <w:spacing w:line="240" w:lineRule="exac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D6FB2CA"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12AE59F"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5B7D05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78C983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12D6E90"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期末余额</w:t>
            </w:r>
          </w:p>
        </w:tc>
        <w:tc>
          <w:tcPr>
            <w:tcW w:w="2410" w:type="dxa"/>
            <w:tcBorders>
              <w:top w:val="single" w:sz="2" w:space="0" w:color="auto"/>
              <w:left w:val="single" w:sz="2" w:space="0" w:color="auto"/>
              <w:bottom w:val="single" w:sz="2" w:space="0" w:color="auto"/>
              <w:right w:val="single" w:sz="2" w:space="0" w:color="auto"/>
            </w:tcBorders>
            <w:vAlign w:val="center"/>
          </w:tcPr>
          <w:p w14:paraId="56F75E28"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AE4082F"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91AE33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20F1C0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7B855E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四、账面价值</w:t>
            </w:r>
          </w:p>
        </w:tc>
        <w:tc>
          <w:tcPr>
            <w:tcW w:w="2410" w:type="dxa"/>
            <w:tcBorders>
              <w:top w:val="single" w:sz="2" w:space="0" w:color="auto"/>
              <w:left w:val="single" w:sz="2" w:space="0" w:color="auto"/>
              <w:bottom w:val="single" w:sz="2" w:space="0" w:color="auto"/>
              <w:right w:val="single" w:sz="2" w:space="0" w:color="auto"/>
            </w:tcBorders>
            <w:vAlign w:val="center"/>
          </w:tcPr>
          <w:p w14:paraId="55C3D27C"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46EC3E6"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85E3B20"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893B0B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8B33DD7"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期末账面价值</w:t>
            </w:r>
          </w:p>
        </w:tc>
        <w:tc>
          <w:tcPr>
            <w:tcW w:w="2410" w:type="dxa"/>
            <w:tcBorders>
              <w:top w:val="single" w:sz="2" w:space="0" w:color="auto"/>
              <w:left w:val="single" w:sz="2" w:space="0" w:color="auto"/>
              <w:bottom w:val="single" w:sz="2" w:space="0" w:color="auto"/>
              <w:right w:val="single" w:sz="2" w:space="0" w:color="auto"/>
            </w:tcBorders>
            <w:vAlign w:val="center"/>
          </w:tcPr>
          <w:p w14:paraId="3F58404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37,430,196.59</w:t>
            </w:r>
          </w:p>
        </w:tc>
        <w:tc>
          <w:tcPr>
            <w:tcW w:w="2410" w:type="dxa"/>
            <w:tcBorders>
              <w:top w:val="single" w:sz="2" w:space="0" w:color="auto"/>
              <w:left w:val="single" w:sz="2" w:space="0" w:color="auto"/>
              <w:bottom w:val="single" w:sz="2" w:space="0" w:color="auto"/>
              <w:right w:val="single" w:sz="2" w:space="0" w:color="auto"/>
            </w:tcBorders>
            <w:vAlign w:val="center"/>
          </w:tcPr>
          <w:p w14:paraId="37A63E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19,251,098.89</w:t>
            </w:r>
          </w:p>
        </w:tc>
        <w:tc>
          <w:tcPr>
            <w:tcW w:w="2410" w:type="dxa"/>
            <w:tcBorders>
              <w:top w:val="single" w:sz="2" w:space="0" w:color="auto"/>
              <w:left w:val="single" w:sz="2" w:space="0" w:color="auto"/>
              <w:bottom w:val="single" w:sz="2" w:space="0" w:color="auto"/>
              <w:right w:val="single" w:sz="2" w:space="0" w:color="auto"/>
            </w:tcBorders>
            <w:vAlign w:val="center"/>
          </w:tcPr>
          <w:p w14:paraId="7FB4DD1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56,681,295.48</w:t>
            </w:r>
          </w:p>
        </w:tc>
      </w:tr>
      <w:tr w:rsidR="001D26E7" w:rsidRPr="00F614F9" w14:paraId="4ACA99A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4EF878B"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期初账面价值</w:t>
            </w:r>
          </w:p>
        </w:tc>
        <w:tc>
          <w:tcPr>
            <w:tcW w:w="2410" w:type="dxa"/>
            <w:tcBorders>
              <w:top w:val="single" w:sz="2" w:space="0" w:color="auto"/>
              <w:left w:val="single" w:sz="2" w:space="0" w:color="auto"/>
              <w:bottom w:val="single" w:sz="2" w:space="0" w:color="auto"/>
              <w:right w:val="single" w:sz="2" w:space="0" w:color="auto"/>
            </w:tcBorders>
            <w:vAlign w:val="center"/>
          </w:tcPr>
          <w:p w14:paraId="642FAD4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58,042,633.12</w:t>
            </w:r>
          </w:p>
        </w:tc>
        <w:tc>
          <w:tcPr>
            <w:tcW w:w="2410" w:type="dxa"/>
            <w:tcBorders>
              <w:top w:val="single" w:sz="2" w:space="0" w:color="auto"/>
              <w:left w:val="single" w:sz="2" w:space="0" w:color="auto"/>
              <w:bottom w:val="single" w:sz="2" w:space="0" w:color="auto"/>
              <w:right w:val="single" w:sz="2" w:space="0" w:color="auto"/>
            </w:tcBorders>
            <w:vAlign w:val="center"/>
          </w:tcPr>
          <w:p w14:paraId="14171EB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20,316,715.48</w:t>
            </w:r>
          </w:p>
        </w:tc>
        <w:tc>
          <w:tcPr>
            <w:tcW w:w="2410" w:type="dxa"/>
            <w:tcBorders>
              <w:top w:val="single" w:sz="2" w:space="0" w:color="auto"/>
              <w:left w:val="single" w:sz="2" w:space="0" w:color="auto"/>
              <w:bottom w:val="single" w:sz="2" w:space="0" w:color="auto"/>
              <w:right w:val="single" w:sz="2" w:space="0" w:color="auto"/>
            </w:tcBorders>
            <w:vAlign w:val="center"/>
          </w:tcPr>
          <w:p w14:paraId="5602F70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78,359,348.60</w:t>
            </w:r>
          </w:p>
        </w:tc>
      </w:tr>
    </w:tbl>
    <w:p w14:paraId="5974C580"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03" w:name="_Toc989237"/>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使用权资产的减值测试情况</w:t>
      </w:r>
      <w:bookmarkEnd w:id="403"/>
    </w:p>
    <w:p w14:paraId="6FC99DAF"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24B328C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08302AD8" w14:textId="77777777" w:rsidR="00872599" w:rsidRPr="00F614F9" w:rsidRDefault="00000000">
      <w:pPr>
        <w:pStyle w:val="a3"/>
        <w:divId w:val="2005935890"/>
        <w:rPr>
          <w:rFonts w:ascii="Times New Roman" w:hAnsi="Times New Roman"/>
          <w:sz w:val="18"/>
          <w:szCs w:val="18"/>
        </w:rPr>
      </w:pPr>
      <w:r w:rsidRPr="00F614F9">
        <w:rPr>
          <w:rFonts w:ascii="Times New Roman" w:hAnsi="Times New Roman" w:hint="eastAsia"/>
          <w:sz w:val="18"/>
          <w:szCs w:val="18"/>
        </w:rPr>
        <w:t>无</w:t>
      </w:r>
    </w:p>
    <w:p w14:paraId="3AE85E0F" w14:textId="77777777" w:rsidR="001D26E7" w:rsidRPr="00F614F9" w:rsidRDefault="00000000">
      <w:pPr>
        <w:pStyle w:val="3"/>
        <w:spacing w:line="280" w:lineRule="exact"/>
        <w:jc w:val="left"/>
        <w:rPr>
          <w:rFonts w:ascii="Times New Roman" w:hAnsi="Times New Roman" w:cs="宋体"/>
          <w:b/>
          <w:bCs/>
        </w:rPr>
      </w:pPr>
      <w:bookmarkStart w:id="404" w:name="_Toc989238"/>
      <w:r w:rsidRPr="00F614F9">
        <w:rPr>
          <w:rFonts w:ascii="Times New Roman" w:hAnsi="Times New Roman" w:cs="宋体"/>
          <w:b/>
          <w:bCs/>
        </w:rPr>
        <w:t>26</w:t>
      </w:r>
      <w:r w:rsidRPr="00F614F9">
        <w:rPr>
          <w:rFonts w:ascii="Times New Roman" w:hAnsi="Times New Roman" w:cs="宋体"/>
          <w:b/>
          <w:bCs/>
        </w:rPr>
        <w:t>、无形资产</w:t>
      </w:r>
      <w:bookmarkEnd w:id="404"/>
    </w:p>
    <w:p w14:paraId="7F6D4B20"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05" w:name="_Toc989239"/>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无形资产情况</w:t>
      </w:r>
      <w:bookmarkEnd w:id="405"/>
    </w:p>
    <w:p w14:paraId="1EE7F720"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1D26E7" w:rsidRPr="00F614F9" w14:paraId="0F605EE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4003AB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7D8C81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土地使用权</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280AC6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专利权</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D632FB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非专利技术</w:t>
            </w:r>
          </w:p>
        </w:tc>
        <w:tc>
          <w:tcPr>
            <w:tcW w:w="1377" w:type="dxa"/>
            <w:tcBorders>
              <w:top w:val="single" w:sz="2" w:space="0" w:color="auto"/>
              <w:left w:val="single" w:sz="2" w:space="0" w:color="auto"/>
              <w:bottom w:val="single" w:sz="2" w:space="0" w:color="auto"/>
              <w:right w:val="single" w:sz="2" w:space="0" w:color="auto"/>
            </w:tcBorders>
            <w:vAlign w:val="center"/>
          </w:tcPr>
          <w:p w14:paraId="312AEEE1" w14:textId="77777777" w:rsidR="001D26E7" w:rsidRPr="00F614F9" w:rsidRDefault="00000000" w:rsidP="00407C41">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软件使用权</w:t>
            </w:r>
          </w:p>
        </w:tc>
        <w:tc>
          <w:tcPr>
            <w:tcW w:w="1377" w:type="dxa"/>
            <w:tcBorders>
              <w:top w:val="single" w:sz="2" w:space="0" w:color="auto"/>
              <w:left w:val="single" w:sz="2" w:space="0" w:color="auto"/>
              <w:bottom w:val="single" w:sz="2" w:space="0" w:color="auto"/>
              <w:right w:val="single" w:sz="2" w:space="0" w:color="auto"/>
            </w:tcBorders>
            <w:vAlign w:val="center"/>
          </w:tcPr>
          <w:p w14:paraId="571AEE53" w14:textId="77777777" w:rsidR="001D26E7" w:rsidRPr="00F614F9" w:rsidRDefault="00000000" w:rsidP="00407C41">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商标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F35D60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合计</w:t>
            </w:r>
          </w:p>
        </w:tc>
      </w:tr>
      <w:tr w:rsidR="001D26E7" w:rsidRPr="00F614F9" w14:paraId="6881CE1A"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F266D2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一、账面原值</w:t>
            </w:r>
          </w:p>
        </w:tc>
        <w:tc>
          <w:tcPr>
            <w:tcW w:w="1377" w:type="dxa"/>
            <w:tcBorders>
              <w:top w:val="single" w:sz="2" w:space="0" w:color="auto"/>
              <w:left w:val="single" w:sz="2" w:space="0" w:color="auto"/>
              <w:bottom w:val="single" w:sz="2" w:space="0" w:color="auto"/>
              <w:right w:val="single" w:sz="2" w:space="0" w:color="auto"/>
            </w:tcBorders>
            <w:vAlign w:val="center"/>
          </w:tcPr>
          <w:p w14:paraId="0036872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6EC95B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D37D16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168B7A0"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9596E4A"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6E8B558"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A454B7E"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6CCB32E"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期初余额</w:t>
            </w:r>
          </w:p>
        </w:tc>
        <w:tc>
          <w:tcPr>
            <w:tcW w:w="1377" w:type="dxa"/>
            <w:tcBorders>
              <w:top w:val="single" w:sz="2" w:space="0" w:color="auto"/>
              <w:left w:val="single" w:sz="2" w:space="0" w:color="auto"/>
              <w:bottom w:val="single" w:sz="2" w:space="0" w:color="auto"/>
              <w:right w:val="single" w:sz="2" w:space="0" w:color="auto"/>
            </w:tcBorders>
            <w:vAlign w:val="center"/>
          </w:tcPr>
          <w:p w14:paraId="0602CF9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156,925,225.19</w:t>
            </w:r>
          </w:p>
        </w:tc>
        <w:tc>
          <w:tcPr>
            <w:tcW w:w="1377" w:type="dxa"/>
            <w:tcBorders>
              <w:top w:val="single" w:sz="2" w:space="0" w:color="auto"/>
              <w:left w:val="single" w:sz="2" w:space="0" w:color="auto"/>
              <w:bottom w:val="single" w:sz="2" w:space="0" w:color="auto"/>
              <w:right w:val="single" w:sz="2" w:space="0" w:color="auto"/>
            </w:tcBorders>
            <w:vAlign w:val="center"/>
          </w:tcPr>
          <w:p w14:paraId="34E2B29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7E92EE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7BA3A8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14,281,014.71</w:t>
            </w:r>
          </w:p>
        </w:tc>
        <w:tc>
          <w:tcPr>
            <w:tcW w:w="1377" w:type="dxa"/>
            <w:tcBorders>
              <w:top w:val="single" w:sz="2" w:space="0" w:color="auto"/>
              <w:left w:val="single" w:sz="2" w:space="0" w:color="auto"/>
              <w:bottom w:val="single" w:sz="2" w:space="0" w:color="auto"/>
              <w:right w:val="single" w:sz="2" w:space="0" w:color="auto"/>
            </w:tcBorders>
            <w:vAlign w:val="center"/>
          </w:tcPr>
          <w:p w14:paraId="4E640D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4,210,000.00</w:t>
            </w:r>
          </w:p>
        </w:tc>
        <w:tc>
          <w:tcPr>
            <w:tcW w:w="1377" w:type="dxa"/>
            <w:tcBorders>
              <w:top w:val="single" w:sz="2" w:space="0" w:color="auto"/>
              <w:left w:val="single" w:sz="2" w:space="0" w:color="auto"/>
              <w:bottom w:val="single" w:sz="2" w:space="0" w:color="auto"/>
              <w:right w:val="single" w:sz="2" w:space="0" w:color="auto"/>
            </w:tcBorders>
            <w:vAlign w:val="center"/>
          </w:tcPr>
          <w:p w14:paraId="6F6329B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175,416,239.90</w:t>
            </w:r>
          </w:p>
        </w:tc>
      </w:tr>
      <w:tr w:rsidR="001D26E7" w:rsidRPr="00F614F9" w14:paraId="73AD3A5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F6E0926"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vAlign w:val="center"/>
          </w:tcPr>
          <w:p w14:paraId="1B61D19F"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2B379EF"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A599002"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8F649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2,879,451.53</w:t>
            </w:r>
          </w:p>
        </w:tc>
        <w:tc>
          <w:tcPr>
            <w:tcW w:w="1377" w:type="dxa"/>
            <w:tcBorders>
              <w:top w:val="single" w:sz="2" w:space="0" w:color="auto"/>
              <w:left w:val="single" w:sz="2" w:space="0" w:color="auto"/>
              <w:bottom w:val="single" w:sz="2" w:space="0" w:color="auto"/>
              <w:right w:val="single" w:sz="2" w:space="0" w:color="auto"/>
            </w:tcBorders>
            <w:vAlign w:val="center"/>
          </w:tcPr>
          <w:p w14:paraId="0B6CF83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E7AAF8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2,879,451.53</w:t>
            </w:r>
          </w:p>
        </w:tc>
      </w:tr>
      <w:tr w:rsidR="001D26E7" w:rsidRPr="00F614F9" w14:paraId="460A0954"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7A4FE17"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）购置</w:t>
            </w:r>
          </w:p>
        </w:tc>
        <w:tc>
          <w:tcPr>
            <w:tcW w:w="1377" w:type="dxa"/>
            <w:tcBorders>
              <w:top w:val="single" w:sz="2" w:space="0" w:color="auto"/>
              <w:left w:val="single" w:sz="2" w:space="0" w:color="auto"/>
              <w:bottom w:val="single" w:sz="2" w:space="0" w:color="auto"/>
              <w:right w:val="single" w:sz="2" w:space="0" w:color="auto"/>
            </w:tcBorders>
            <w:vAlign w:val="center"/>
          </w:tcPr>
          <w:p w14:paraId="6FB49F6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F534312"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8410D0A"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29E0A1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1,196,283.18</w:t>
            </w:r>
          </w:p>
        </w:tc>
        <w:tc>
          <w:tcPr>
            <w:tcW w:w="1377" w:type="dxa"/>
            <w:tcBorders>
              <w:top w:val="single" w:sz="2" w:space="0" w:color="auto"/>
              <w:left w:val="single" w:sz="2" w:space="0" w:color="auto"/>
              <w:bottom w:val="single" w:sz="2" w:space="0" w:color="auto"/>
              <w:right w:val="single" w:sz="2" w:space="0" w:color="auto"/>
            </w:tcBorders>
            <w:vAlign w:val="center"/>
          </w:tcPr>
          <w:p w14:paraId="73F58C1C"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E0D0F2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1,196,283.18</w:t>
            </w:r>
          </w:p>
        </w:tc>
      </w:tr>
      <w:tr w:rsidR="001D26E7" w:rsidRPr="00F614F9" w14:paraId="301A3C1B"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A14B908"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）内部研发</w:t>
            </w:r>
          </w:p>
        </w:tc>
        <w:tc>
          <w:tcPr>
            <w:tcW w:w="1377" w:type="dxa"/>
            <w:tcBorders>
              <w:top w:val="single" w:sz="2" w:space="0" w:color="auto"/>
              <w:left w:val="single" w:sz="2" w:space="0" w:color="auto"/>
              <w:bottom w:val="single" w:sz="2" w:space="0" w:color="auto"/>
              <w:right w:val="single" w:sz="2" w:space="0" w:color="auto"/>
            </w:tcBorders>
            <w:vAlign w:val="center"/>
          </w:tcPr>
          <w:p w14:paraId="580B0F64"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B5A64F7"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5E0385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5DD3412"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2237CAB"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67275B3"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6BBBD88"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98096BF"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）企业合并增加</w:t>
            </w:r>
          </w:p>
        </w:tc>
        <w:tc>
          <w:tcPr>
            <w:tcW w:w="1377" w:type="dxa"/>
            <w:tcBorders>
              <w:top w:val="single" w:sz="2" w:space="0" w:color="auto"/>
              <w:left w:val="single" w:sz="2" w:space="0" w:color="auto"/>
              <w:bottom w:val="single" w:sz="2" w:space="0" w:color="auto"/>
              <w:right w:val="single" w:sz="2" w:space="0" w:color="auto"/>
            </w:tcBorders>
            <w:vAlign w:val="center"/>
          </w:tcPr>
          <w:p w14:paraId="55240D67"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3231789"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44ACAEB"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45785A4"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CAED07A"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980A161"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E02805C"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B630C8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4</w:t>
            </w:r>
            <w:r w:rsidRPr="00F614F9">
              <w:rPr>
                <w:rFonts w:ascii="Times New Roman" w:eastAsia="宋体" w:hAnsi="Times New Roman" w:cs="宋体"/>
                <w:sz w:val="18"/>
                <w:szCs w:val="18"/>
              </w:rPr>
              <w:t>）其他转入</w:t>
            </w:r>
          </w:p>
        </w:tc>
        <w:tc>
          <w:tcPr>
            <w:tcW w:w="1377" w:type="dxa"/>
            <w:tcBorders>
              <w:top w:val="single" w:sz="2" w:space="0" w:color="auto"/>
              <w:left w:val="single" w:sz="2" w:space="0" w:color="auto"/>
              <w:bottom w:val="single" w:sz="2" w:space="0" w:color="auto"/>
              <w:right w:val="single" w:sz="2" w:space="0" w:color="auto"/>
            </w:tcBorders>
            <w:vAlign w:val="center"/>
          </w:tcPr>
          <w:p w14:paraId="41E5910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FAAE6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200DFD0"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696EBD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1,683,168.35</w:t>
            </w:r>
          </w:p>
        </w:tc>
        <w:tc>
          <w:tcPr>
            <w:tcW w:w="1377" w:type="dxa"/>
            <w:tcBorders>
              <w:top w:val="single" w:sz="2" w:space="0" w:color="auto"/>
              <w:left w:val="single" w:sz="2" w:space="0" w:color="auto"/>
              <w:bottom w:val="single" w:sz="2" w:space="0" w:color="auto"/>
              <w:right w:val="single" w:sz="2" w:space="0" w:color="auto"/>
            </w:tcBorders>
            <w:vAlign w:val="center"/>
          </w:tcPr>
          <w:p w14:paraId="26E2FA5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CAB986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1,683,168.35</w:t>
            </w:r>
          </w:p>
        </w:tc>
      </w:tr>
      <w:tr w:rsidR="001D26E7" w:rsidRPr="00F614F9" w14:paraId="6F5A6605"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1031447"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vAlign w:val="center"/>
          </w:tcPr>
          <w:p w14:paraId="3E2DACE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12,362,061.85</w:t>
            </w:r>
          </w:p>
        </w:tc>
        <w:tc>
          <w:tcPr>
            <w:tcW w:w="1377" w:type="dxa"/>
            <w:tcBorders>
              <w:top w:val="single" w:sz="2" w:space="0" w:color="auto"/>
              <w:left w:val="single" w:sz="2" w:space="0" w:color="auto"/>
              <w:bottom w:val="single" w:sz="2" w:space="0" w:color="auto"/>
              <w:right w:val="single" w:sz="2" w:space="0" w:color="auto"/>
            </w:tcBorders>
            <w:vAlign w:val="center"/>
          </w:tcPr>
          <w:p w14:paraId="794DF958"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F639B5B"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B4BCB98"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5CE88B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F60CB0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12,362,061.85</w:t>
            </w:r>
          </w:p>
        </w:tc>
      </w:tr>
      <w:tr w:rsidR="001D26E7" w:rsidRPr="00F614F9" w14:paraId="03334E97"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A08C5EC"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3D9DF58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12,362,061.85</w:t>
            </w:r>
          </w:p>
        </w:tc>
        <w:tc>
          <w:tcPr>
            <w:tcW w:w="1377" w:type="dxa"/>
            <w:tcBorders>
              <w:top w:val="single" w:sz="2" w:space="0" w:color="auto"/>
              <w:left w:val="single" w:sz="2" w:space="0" w:color="auto"/>
              <w:bottom w:val="single" w:sz="2" w:space="0" w:color="auto"/>
              <w:right w:val="single" w:sz="2" w:space="0" w:color="auto"/>
            </w:tcBorders>
            <w:vAlign w:val="center"/>
          </w:tcPr>
          <w:p w14:paraId="6FE1338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D839D90"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D40622C"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A03090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17F141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12,362,061.85</w:t>
            </w:r>
          </w:p>
        </w:tc>
      </w:tr>
      <w:tr w:rsidR="001D26E7" w:rsidRPr="00F614F9" w14:paraId="3A7D8CE9"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25AB738" w14:textId="77777777" w:rsidR="001D26E7" w:rsidRPr="00F614F9" w:rsidRDefault="001D26E7">
            <w:pPr>
              <w:spacing w:line="240" w:lineRule="exac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D33C5C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63854F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A214FF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B06943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6702299"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6EC18B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04E1F44"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D938B5A"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期末余</w:t>
            </w:r>
            <w:r w:rsidRPr="00F614F9">
              <w:rPr>
                <w:rFonts w:ascii="Times New Roman" w:eastAsia="宋体" w:hAnsi="Times New Roman" w:cs="宋体"/>
                <w:sz w:val="18"/>
                <w:szCs w:val="18"/>
              </w:rPr>
              <w:lastRenderedPageBreak/>
              <w:t>额</w:t>
            </w:r>
          </w:p>
        </w:tc>
        <w:tc>
          <w:tcPr>
            <w:tcW w:w="1377" w:type="dxa"/>
            <w:tcBorders>
              <w:top w:val="single" w:sz="2" w:space="0" w:color="auto"/>
              <w:left w:val="single" w:sz="2" w:space="0" w:color="auto"/>
              <w:bottom w:val="single" w:sz="2" w:space="0" w:color="auto"/>
              <w:right w:val="single" w:sz="2" w:space="0" w:color="auto"/>
            </w:tcBorders>
            <w:vAlign w:val="center"/>
          </w:tcPr>
          <w:p w14:paraId="2055EB3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lastRenderedPageBreak/>
              <w:t>144,563,163.34</w:t>
            </w:r>
          </w:p>
        </w:tc>
        <w:tc>
          <w:tcPr>
            <w:tcW w:w="1377" w:type="dxa"/>
            <w:tcBorders>
              <w:top w:val="single" w:sz="2" w:space="0" w:color="auto"/>
              <w:left w:val="single" w:sz="2" w:space="0" w:color="auto"/>
              <w:bottom w:val="single" w:sz="2" w:space="0" w:color="auto"/>
              <w:right w:val="single" w:sz="2" w:space="0" w:color="auto"/>
            </w:tcBorders>
            <w:vAlign w:val="center"/>
          </w:tcPr>
          <w:p w14:paraId="1B2C7512"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393E4D8"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BBEF9E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17,160,466.24</w:t>
            </w:r>
          </w:p>
        </w:tc>
        <w:tc>
          <w:tcPr>
            <w:tcW w:w="1377" w:type="dxa"/>
            <w:tcBorders>
              <w:top w:val="single" w:sz="2" w:space="0" w:color="auto"/>
              <w:left w:val="single" w:sz="2" w:space="0" w:color="auto"/>
              <w:bottom w:val="single" w:sz="2" w:space="0" w:color="auto"/>
              <w:right w:val="single" w:sz="2" w:space="0" w:color="auto"/>
            </w:tcBorders>
            <w:vAlign w:val="center"/>
          </w:tcPr>
          <w:p w14:paraId="5884E42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4,210,000.00</w:t>
            </w:r>
          </w:p>
        </w:tc>
        <w:tc>
          <w:tcPr>
            <w:tcW w:w="1377" w:type="dxa"/>
            <w:tcBorders>
              <w:top w:val="single" w:sz="2" w:space="0" w:color="auto"/>
              <w:left w:val="single" w:sz="2" w:space="0" w:color="auto"/>
              <w:bottom w:val="single" w:sz="2" w:space="0" w:color="auto"/>
              <w:right w:val="single" w:sz="2" w:space="0" w:color="auto"/>
            </w:tcBorders>
            <w:vAlign w:val="center"/>
          </w:tcPr>
          <w:p w14:paraId="7D32C8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165,933,629.58</w:t>
            </w:r>
          </w:p>
        </w:tc>
      </w:tr>
      <w:tr w:rsidR="001D26E7" w:rsidRPr="00F614F9" w14:paraId="022CC375"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0122F9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二、累计摊销</w:t>
            </w:r>
          </w:p>
        </w:tc>
        <w:tc>
          <w:tcPr>
            <w:tcW w:w="1377" w:type="dxa"/>
            <w:tcBorders>
              <w:top w:val="single" w:sz="2" w:space="0" w:color="auto"/>
              <w:left w:val="single" w:sz="2" w:space="0" w:color="auto"/>
              <w:bottom w:val="single" w:sz="2" w:space="0" w:color="auto"/>
              <w:right w:val="single" w:sz="2" w:space="0" w:color="auto"/>
            </w:tcBorders>
            <w:vAlign w:val="center"/>
          </w:tcPr>
          <w:p w14:paraId="04B7D2E7"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B2299E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976C5F4"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C94DA5C"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589E884"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6A9FBC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0D8607A"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A5321E5"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期初余额</w:t>
            </w:r>
          </w:p>
        </w:tc>
        <w:tc>
          <w:tcPr>
            <w:tcW w:w="1377" w:type="dxa"/>
            <w:tcBorders>
              <w:top w:val="single" w:sz="2" w:space="0" w:color="auto"/>
              <w:left w:val="single" w:sz="2" w:space="0" w:color="auto"/>
              <w:bottom w:val="single" w:sz="2" w:space="0" w:color="auto"/>
              <w:right w:val="single" w:sz="2" w:space="0" w:color="auto"/>
            </w:tcBorders>
            <w:vAlign w:val="center"/>
          </w:tcPr>
          <w:p w14:paraId="3247FF2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16,521,357.28</w:t>
            </w:r>
          </w:p>
        </w:tc>
        <w:tc>
          <w:tcPr>
            <w:tcW w:w="1377" w:type="dxa"/>
            <w:tcBorders>
              <w:top w:val="single" w:sz="2" w:space="0" w:color="auto"/>
              <w:left w:val="single" w:sz="2" w:space="0" w:color="auto"/>
              <w:bottom w:val="single" w:sz="2" w:space="0" w:color="auto"/>
              <w:right w:val="single" w:sz="2" w:space="0" w:color="auto"/>
            </w:tcBorders>
            <w:vAlign w:val="center"/>
          </w:tcPr>
          <w:p w14:paraId="0F132A30"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D46272C"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759C03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7,957,155.65</w:t>
            </w:r>
          </w:p>
        </w:tc>
        <w:tc>
          <w:tcPr>
            <w:tcW w:w="1377" w:type="dxa"/>
            <w:tcBorders>
              <w:top w:val="single" w:sz="2" w:space="0" w:color="auto"/>
              <w:left w:val="single" w:sz="2" w:space="0" w:color="auto"/>
              <w:bottom w:val="single" w:sz="2" w:space="0" w:color="auto"/>
              <w:right w:val="single" w:sz="2" w:space="0" w:color="auto"/>
            </w:tcBorders>
            <w:vAlign w:val="center"/>
          </w:tcPr>
          <w:p w14:paraId="09304F4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1,754,166.67</w:t>
            </w:r>
          </w:p>
        </w:tc>
        <w:tc>
          <w:tcPr>
            <w:tcW w:w="1377" w:type="dxa"/>
            <w:tcBorders>
              <w:top w:val="single" w:sz="2" w:space="0" w:color="auto"/>
              <w:left w:val="single" w:sz="2" w:space="0" w:color="auto"/>
              <w:bottom w:val="single" w:sz="2" w:space="0" w:color="auto"/>
              <w:right w:val="single" w:sz="2" w:space="0" w:color="auto"/>
            </w:tcBorders>
            <w:vAlign w:val="center"/>
          </w:tcPr>
          <w:p w14:paraId="1D5D56D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26,232,679.60</w:t>
            </w:r>
          </w:p>
        </w:tc>
      </w:tr>
      <w:tr w:rsidR="001D26E7" w:rsidRPr="00F614F9" w14:paraId="638759C2"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7F9E5EA"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vAlign w:val="center"/>
          </w:tcPr>
          <w:p w14:paraId="38F6015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3,384,579.63</w:t>
            </w:r>
          </w:p>
        </w:tc>
        <w:tc>
          <w:tcPr>
            <w:tcW w:w="1377" w:type="dxa"/>
            <w:tcBorders>
              <w:top w:val="single" w:sz="2" w:space="0" w:color="auto"/>
              <w:left w:val="single" w:sz="2" w:space="0" w:color="auto"/>
              <w:bottom w:val="single" w:sz="2" w:space="0" w:color="auto"/>
              <w:right w:val="single" w:sz="2" w:space="0" w:color="auto"/>
            </w:tcBorders>
            <w:vAlign w:val="center"/>
          </w:tcPr>
          <w:p w14:paraId="509D9349"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82831F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91167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1,794,992.97</w:t>
            </w:r>
          </w:p>
        </w:tc>
        <w:tc>
          <w:tcPr>
            <w:tcW w:w="1377" w:type="dxa"/>
            <w:tcBorders>
              <w:top w:val="single" w:sz="2" w:space="0" w:color="auto"/>
              <w:left w:val="single" w:sz="2" w:space="0" w:color="auto"/>
              <w:bottom w:val="single" w:sz="2" w:space="0" w:color="auto"/>
              <w:right w:val="single" w:sz="2" w:space="0" w:color="auto"/>
            </w:tcBorders>
            <w:vAlign w:val="center"/>
          </w:tcPr>
          <w:p w14:paraId="3BAB893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421,000.00</w:t>
            </w:r>
          </w:p>
        </w:tc>
        <w:tc>
          <w:tcPr>
            <w:tcW w:w="1377" w:type="dxa"/>
            <w:tcBorders>
              <w:top w:val="single" w:sz="2" w:space="0" w:color="auto"/>
              <w:left w:val="single" w:sz="2" w:space="0" w:color="auto"/>
              <w:bottom w:val="single" w:sz="2" w:space="0" w:color="auto"/>
              <w:right w:val="single" w:sz="2" w:space="0" w:color="auto"/>
            </w:tcBorders>
            <w:vAlign w:val="center"/>
          </w:tcPr>
          <w:p w14:paraId="3EBC940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5,600,572.60</w:t>
            </w:r>
          </w:p>
        </w:tc>
      </w:tr>
      <w:tr w:rsidR="001D26E7" w:rsidRPr="00F614F9" w14:paraId="35080DCC"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A8B4E6D"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vAlign w:val="center"/>
          </w:tcPr>
          <w:p w14:paraId="2D4C9B7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3,384,579.63</w:t>
            </w:r>
          </w:p>
        </w:tc>
        <w:tc>
          <w:tcPr>
            <w:tcW w:w="1377" w:type="dxa"/>
            <w:tcBorders>
              <w:top w:val="single" w:sz="2" w:space="0" w:color="auto"/>
              <w:left w:val="single" w:sz="2" w:space="0" w:color="auto"/>
              <w:bottom w:val="single" w:sz="2" w:space="0" w:color="auto"/>
              <w:right w:val="single" w:sz="2" w:space="0" w:color="auto"/>
            </w:tcBorders>
            <w:vAlign w:val="center"/>
          </w:tcPr>
          <w:p w14:paraId="6EF5055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8DA9DAB"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5DF727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1,794,992.97</w:t>
            </w:r>
          </w:p>
        </w:tc>
        <w:tc>
          <w:tcPr>
            <w:tcW w:w="1377" w:type="dxa"/>
            <w:tcBorders>
              <w:top w:val="single" w:sz="2" w:space="0" w:color="auto"/>
              <w:left w:val="single" w:sz="2" w:space="0" w:color="auto"/>
              <w:bottom w:val="single" w:sz="2" w:space="0" w:color="auto"/>
              <w:right w:val="single" w:sz="2" w:space="0" w:color="auto"/>
            </w:tcBorders>
            <w:vAlign w:val="center"/>
          </w:tcPr>
          <w:p w14:paraId="6837857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421,000.00</w:t>
            </w:r>
          </w:p>
        </w:tc>
        <w:tc>
          <w:tcPr>
            <w:tcW w:w="1377" w:type="dxa"/>
            <w:tcBorders>
              <w:top w:val="single" w:sz="2" w:space="0" w:color="auto"/>
              <w:left w:val="single" w:sz="2" w:space="0" w:color="auto"/>
              <w:bottom w:val="single" w:sz="2" w:space="0" w:color="auto"/>
              <w:right w:val="single" w:sz="2" w:space="0" w:color="auto"/>
            </w:tcBorders>
            <w:vAlign w:val="center"/>
          </w:tcPr>
          <w:p w14:paraId="3508FE1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5,600,572.60</w:t>
            </w:r>
          </w:p>
        </w:tc>
      </w:tr>
      <w:tr w:rsidR="001D26E7" w:rsidRPr="00F614F9" w14:paraId="3BF4C11B"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1061E5C" w14:textId="77777777" w:rsidR="001D26E7" w:rsidRPr="00F614F9" w:rsidRDefault="001D26E7">
            <w:pPr>
              <w:spacing w:line="240" w:lineRule="exac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2C75B5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507904A"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E373A8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7CC359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0319E3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A8F0662"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9D80627"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7A10B0A"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vAlign w:val="center"/>
          </w:tcPr>
          <w:p w14:paraId="38315D7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473,973.76</w:t>
            </w:r>
          </w:p>
        </w:tc>
        <w:tc>
          <w:tcPr>
            <w:tcW w:w="1377" w:type="dxa"/>
            <w:tcBorders>
              <w:top w:val="single" w:sz="2" w:space="0" w:color="auto"/>
              <w:left w:val="single" w:sz="2" w:space="0" w:color="auto"/>
              <w:bottom w:val="single" w:sz="2" w:space="0" w:color="auto"/>
              <w:right w:val="single" w:sz="2" w:space="0" w:color="auto"/>
            </w:tcBorders>
            <w:vAlign w:val="center"/>
          </w:tcPr>
          <w:p w14:paraId="58DC82F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990F8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0F67B8C"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AEE963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E053BE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473,973.76</w:t>
            </w:r>
          </w:p>
        </w:tc>
      </w:tr>
      <w:tr w:rsidR="001D26E7" w:rsidRPr="00F614F9" w14:paraId="47240B92"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F70DC1C"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37B9052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473,973.76</w:t>
            </w:r>
          </w:p>
        </w:tc>
        <w:tc>
          <w:tcPr>
            <w:tcW w:w="1377" w:type="dxa"/>
            <w:tcBorders>
              <w:top w:val="single" w:sz="2" w:space="0" w:color="auto"/>
              <w:left w:val="single" w:sz="2" w:space="0" w:color="auto"/>
              <w:bottom w:val="single" w:sz="2" w:space="0" w:color="auto"/>
              <w:right w:val="single" w:sz="2" w:space="0" w:color="auto"/>
            </w:tcBorders>
            <w:vAlign w:val="center"/>
          </w:tcPr>
          <w:p w14:paraId="5006662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088E119"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E303F2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BF337B8"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CAD806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473,973.76</w:t>
            </w:r>
          </w:p>
        </w:tc>
      </w:tr>
      <w:tr w:rsidR="001D26E7" w:rsidRPr="00F614F9" w14:paraId="7ABADBE6"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CDCA832" w14:textId="77777777" w:rsidR="001D26E7" w:rsidRPr="00F614F9" w:rsidRDefault="001D26E7">
            <w:pPr>
              <w:spacing w:line="240" w:lineRule="exac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82D5CE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F52FD57"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DCDB52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7AB0B4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7DD987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B2EBAA2"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8E3EE26"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D92FAEA"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期末余额</w:t>
            </w:r>
          </w:p>
        </w:tc>
        <w:tc>
          <w:tcPr>
            <w:tcW w:w="1377" w:type="dxa"/>
            <w:tcBorders>
              <w:top w:val="single" w:sz="2" w:space="0" w:color="auto"/>
              <w:left w:val="single" w:sz="2" w:space="0" w:color="auto"/>
              <w:bottom w:val="single" w:sz="2" w:space="0" w:color="auto"/>
              <w:right w:val="single" w:sz="2" w:space="0" w:color="auto"/>
            </w:tcBorders>
            <w:vAlign w:val="center"/>
          </w:tcPr>
          <w:p w14:paraId="3AB0E6A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19,431,963.15</w:t>
            </w:r>
          </w:p>
        </w:tc>
        <w:tc>
          <w:tcPr>
            <w:tcW w:w="1377" w:type="dxa"/>
            <w:tcBorders>
              <w:top w:val="single" w:sz="2" w:space="0" w:color="auto"/>
              <w:left w:val="single" w:sz="2" w:space="0" w:color="auto"/>
              <w:bottom w:val="single" w:sz="2" w:space="0" w:color="auto"/>
              <w:right w:val="single" w:sz="2" w:space="0" w:color="auto"/>
            </w:tcBorders>
            <w:vAlign w:val="center"/>
          </w:tcPr>
          <w:p w14:paraId="2F8D9A6B"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669B71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0A2AEE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9,752,148.62</w:t>
            </w:r>
          </w:p>
        </w:tc>
        <w:tc>
          <w:tcPr>
            <w:tcW w:w="1377" w:type="dxa"/>
            <w:tcBorders>
              <w:top w:val="single" w:sz="2" w:space="0" w:color="auto"/>
              <w:left w:val="single" w:sz="2" w:space="0" w:color="auto"/>
              <w:bottom w:val="single" w:sz="2" w:space="0" w:color="auto"/>
              <w:right w:val="single" w:sz="2" w:space="0" w:color="auto"/>
            </w:tcBorders>
            <w:vAlign w:val="center"/>
          </w:tcPr>
          <w:p w14:paraId="7C1B8AF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2,175,166.67</w:t>
            </w:r>
          </w:p>
        </w:tc>
        <w:tc>
          <w:tcPr>
            <w:tcW w:w="1377" w:type="dxa"/>
            <w:tcBorders>
              <w:top w:val="single" w:sz="2" w:space="0" w:color="auto"/>
              <w:left w:val="single" w:sz="2" w:space="0" w:color="auto"/>
              <w:bottom w:val="single" w:sz="2" w:space="0" w:color="auto"/>
              <w:right w:val="single" w:sz="2" w:space="0" w:color="auto"/>
            </w:tcBorders>
            <w:vAlign w:val="center"/>
          </w:tcPr>
          <w:p w14:paraId="47AED31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31,359,278.44</w:t>
            </w:r>
          </w:p>
        </w:tc>
      </w:tr>
      <w:tr w:rsidR="001D26E7" w:rsidRPr="00F614F9" w14:paraId="15BAC225"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B33D96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三、减值准备</w:t>
            </w:r>
          </w:p>
        </w:tc>
        <w:tc>
          <w:tcPr>
            <w:tcW w:w="1377" w:type="dxa"/>
            <w:tcBorders>
              <w:top w:val="single" w:sz="2" w:space="0" w:color="auto"/>
              <w:left w:val="single" w:sz="2" w:space="0" w:color="auto"/>
              <w:bottom w:val="single" w:sz="2" w:space="0" w:color="auto"/>
              <w:right w:val="single" w:sz="2" w:space="0" w:color="auto"/>
            </w:tcBorders>
            <w:vAlign w:val="center"/>
          </w:tcPr>
          <w:p w14:paraId="0F284E1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8478937"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B67CED0"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875AE2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5A69E34"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41005C9"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6F0E29C"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8B6BBEA"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期初余额</w:t>
            </w:r>
          </w:p>
        </w:tc>
        <w:tc>
          <w:tcPr>
            <w:tcW w:w="1377" w:type="dxa"/>
            <w:tcBorders>
              <w:top w:val="single" w:sz="2" w:space="0" w:color="auto"/>
              <w:left w:val="single" w:sz="2" w:space="0" w:color="auto"/>
              <w:bottom w:val="single" w:sz="2" w:space="0" w:color="auto"/>
              <w:right w:val="single" w:sz="2" w:space="0" w:color="auto"/>
            </w:tcBorders>
            <w:vAlign w:val="center"/>
          </w:tcPr>
          <w:p w14:paraId="5553DBD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D26C804"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3D3F84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5E97A5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9062ED2"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D3F0D60"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5EAF5A4"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2324021"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vAlign w:val="center"/>
          </w:tcPr>
          <w:p w14:paraId="6CD31A70"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9AA1C77"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E13031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A6A0E3B"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1B0997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EFD491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74F09CB"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1DE6414"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vAlign w:val="center"/>
          </w:tcPr>
          <w:p w14:paraId="0BB2226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BDE28F9"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4D6BFB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D85682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1F8B0F9"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CAA2B62"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B03F9A4"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E379D9E" w14:textId="77777777" w:rsidR="001D26E7" w:rsidRPr="00F614F9" w:rsidRDefault="001D26E7">
            <w:pPr>
              <w:spacing w:line="240" w:lineRule="exac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6A68D50"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E882AE0"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8E1B41B"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5C75CD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C4115F2"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7F3B21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AFE61F9"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28CE7F6"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vAlign w:val="center"/>
          </w:tcPr>
          <w:p w14:paraId="32ABAAF9"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ECAEDCB"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A116EB2"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9D0768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D5F3CE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9AF73E7"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1F37E57"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C016D70" w14:textId="77777777" w:rsidR="001D26E7" w:rsidRPr="00F614F9" w:rsidRDefault="00000000">
            <w:pPr>
              <w:spacing w:before="40" w:after="40" w:line="240" w:lineRule="exact"/>
              <w:ind w:firstLineChars="400" w:firstLine="720"/>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0DD055A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C73AE9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CFD50B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D0E340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4EDD4B2"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3056B5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73281A9"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54276A4" w14:textId="77777777" w:rsidR="001D26E7" w:rsidRPr="00F614F9" w:rsidRDefault="001D26E7">
            <w:pPr>
              <w:spacing w:line="240" w:lineRule="exac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1CE7AC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94899E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1441D10"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D1BBDD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C4F92F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3C5D2B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46CAAD3"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7A52AE6"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期末余额</w:t>
            </w:r>
          </w:p>
        </w:tc>
        <w:tc>
          <w:tcPr>
            <w:tcW w:w="1377" w:type="dxa"/>
            <w:tcBorders>
              <w:top w:val="single" w:sz="2" w:space="0" w:color="auto"/>
              <w:left w:val="single" w:sz="2" w:space="0" w:color="auto"/>
              <w:bottom w:val="single" w:sz="2" w:space="0" w:color="auto"/>
              <w:right w:val="single" w:sz="2" w:space="0" w:color="auto"/>
            </w:tcBorders>
            <w:vAlign w:val="center"/>
          </w:tcPr>
          <w:p w14:paraId="466BB928"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DAB1A2F"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8185112"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7EAEAC4"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A3D4922"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C2B4E6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4A54E32"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7E24AF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四、账面价值</w:t>
            </w:r>
          </w:p>
        </w:tc>
        <w:tc>
          <w:tcPr>
            <w:tcW w:w="1377" w:type="dxa"/>
            <w:tcBorders>
              <w:top w:val="single" w:sz="2" w:space="0" w:color="auto"/>
              <w:left w:val="single" w:sz="2" w:space="0" w:color="auto"/>
              <w:bottom w:val="single" w:sz="2" w:space="0" w:color="auto"/>
              <w:right w:val="single" w:sz="2" w:space="0" w:color="auto"/>
            </w:tcBorders>
            <w:vAlign w:val="center"/>
          </w:tcPr>
          <w:p w14:paraId="6F6328F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A287FC0"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EB9BCBF"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68AB69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28C8CF7"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50890BC"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401263C"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4B59C18"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期末账面价值</w:t>
            </w:r>
          </w:p>
        </w:tc>
        <w:tc>
          <w:tcPr>
            <w:tcW w:w="1377" w:type="dxa"/>
            <w:tcBorders>
              <w:top w:val="single" w:sz="2" w:space="0" w:color="auto"/>
              <w:left w:val="single" w:sz="2" w:space="0" w:color="auto"/>
              <w:bottom w:val="single" w:sz="2" w:space="0" w:color="auto"/>
              <w:right w:val="single" w:sz="2" w:space="0" w:color="auto"/>
            </w:tcBorders>
            <w:vAlign w:val="center"/>
          </w:tcPr>
          <w:p w14:paraId="76322CF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125,131,200.19</w:t>
            </w:r>
          </w:p>
        </w:tc>
        <w:tc>
          <w:tcPr>
            <w:tcW w:w="1377" w:type="dxa"/>
            <w:tcBorders>
              <w:top w:val="single" w:sz="2" w:space="0" w:color="auto"/>
              <w:left w:val="single" w:sz="2" w:space="0" w:color="auto"/>
              <w:bottom w:val="single" w:sz="2" w:space="0" w:color="auto"/>
              <w:right w:val="single" w:sz="2" w:space="0" w:color="auto"/>
            </w:tcBorders>
            <w:vAlign w:val="center"/>
          </w:tcPr>
          <w:p w14:paraId="7DF30CD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041691A"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869FD2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7,408,317.62</w:t>
            </w:r>
          </w:p>
        </w:tc>
        <w:tc>
          <w:tcPr>
            <w:tcW w:w="1377" w:type="dxa"/>
            <w:tcBorders>
              <w:top w:val="single" w:sz="2" w:space="0" w:color="auto"/>
              <w:left w:val="single" w:sz="2" w:space="0" w:color="auto"/>
              <w:bottom w:val="single" w:sz="2" w:space="0" w:color="auto"/>
              <w:right w:val="single" w:sz="2" w:space="0" w:color="auto"/>
            </w:tcBorders>
            <w:vAlign w:val="center"/>
          </w:tcPr>
          <w:p w14:paraId="3521EB5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2,034,833.33</w:t>
            </w:r>
          </w:p>
        </w:tc>
        <w:tc>
          <w:tcPr>
            <w:tcW w:w="1377" w:type="dxa"/>
            <w:tcBorders>
              <w:top w:val="single" w:sz="2" w:space="0" w:color="auto"/>
              <w:left w:val="single" w:sz="2" w:space="0" w:color="auto"/>
              <w:bottom w:val="single" w:sz="2" w:space="0" w:color="auto"/>
              <w:right w:val="single" w:sz="2" w:space="0" w:color="auto"/>
            </w:tcBorders>
            <w:vAlign w:val="center"/>
          </w:tcPr>
          <w:p w14:paraId="714DE2C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134,574,351.14</w:t>
            </w:r>
          </w:p>
        </w:tc>
      </w:tr>
      <w:tr w:rsidR="001D26E7" w:rsidRPr="00F614F9" w14:paraId="76D32829"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B24AC14"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期初账面价值</w:t>
            </w:r>
          </w:p>
        </w:tc>
        <w:tc>
          <w:tcPr>
            <w:tcW w:w="1377" w:type="dxa"/>
            <w:tcBorders>
              <w:top w:val="single" w:sz="2" w:space="0" w:color="auto"/>
              <w:left w:val="single" w:sz="2" w:space="0" w:color="auto"/>
              <w:bottom w:val="single" w:sz="2" w:space="0" w:color="auto"/>
              <w:right w:val="single" w:sz="2" w:space="0" w:color="auto"/>
            </w:tcBorders>
            <w:vAlign w:val="center"/>
          </w:tcPr>
          <w:p w14:paraId="58EA64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140,403,867.91</w:t>
            </w:r>
          </w:p>
        </w:tc>
        <w:tc>
          <w:tcPr>
            <w:tcW w:w="1377" w:type="dxa"/>
            <w:tcBorders>
              <w:top w:val="single" w:sz="2" w:space="0" w:color="auto"/>
              <w:left w:val="single" w:sz="2" w:space="0" w:color="auto"/>
              <w:bottom w:val="single" w:sz="2" w:space="0" w:color="auto"/>
              <w:right w:val="single" w:sz="2" w:space="0" w:color="auto"/>
            </w:tcBorders>
            <w:vAlign w:val="center"/>
          </w:tcPr>
          <w:p w14:paraId="33288374"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447C139"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FCC778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6,323,859.06</w:t>
            </w:r>
          </w:p>
        </w:tc>
        <w:tc>
          <w:tcPr>
            <w:tcW w:w="1377" w:type="dxa"/>
            <w:tcBorders>
              <w:top w:val="single" w:sz="2" w:space="0" w:color="auto"/>
              <w:left w:val="single" w:sz="2" w:space="0" w:color="auto"/>
              <w:bottom w:val="single" w:sz="2" w:space="0" w:color="auto"/>
              <w:right w:val="single" w:sz="2" w:space="0" w:color="auto"/>
            </w:tcBorders>
            <w:vAlign w:val="center"/>
          </w:tcPr>
          <w:p w14:paraId="22117AD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2,455,833.33</w:t>
            </w:r>
          </w:p>
        </w:tc>
        <w:tc>
          <w:tcPr>
            <w:tcW w:w="1377" w:type="dxa"/>
            <w:tcBorders>
              <w:top w:val="single" w:sz="2" w:space="0" w:color="auto"/>
              <w:left w:val="single" w:sz="2" w:space="0" w:color="auto"/>
              <w:bottom w:val="single" w:sz="2" w:space="0" w:color="auto"/>
              <w:right w:val="single" w:sz="2" w:space="0" w:color="auto"/>
            </w:tcBorders>
            <w:vAlign w:val="center"/>
          </w:tcPr>
          <w:p w14:paraId="13A3327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149,183,560.30</w:t>
            </w:r>
          </w:p>
        </w:tc>
      </w:tr>
    </w:tbl>
    <w:p w14:paraId="1DB8AA8D" w14:textId="77777777" w:rsidR="00407C41" w:rsidRPr="00F614F9" w:rsidRDefault="00407C41">
      <w:pPr>
        <w:spacing w:line="240" w:lineRule="exact"/>
        <w:rPr>
          <w:rFonts w:ascii="Times New Roman" w:eastAsia="宋体" w:hAnsi="Times New Roman" w:cs="宋体"/>
          <w:sz w:val="18"/>
          <w:szCs w:val="18"/>
        </w:rPr>
      </w:pPr>
    </w:p>
    <w:p w14:paraId="5073AE3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本期末通过公司内部研发形成的无形资产占无形资产余额的比例</w:t>
      </w:r>
      <w:r w:rsidRPr="00F614F9">
        <w:rPr>
          <w:rFonts w:ascii="Times New Roman" w:eastAsia="宋体" w:hAnsi="Times New Roman" w:cs="宋体"/>
          <w:sz w:val="18"/>
          <w:szCs w:val="18"/>
        </w:rPr>
        <w:t>0.00%</w:t>
      </w:r>
      <w:r w:rsidRPr="00F614F9">
        <w:rPr>
          <w:rFonts w:ascii="Times New Roman" w:eastAsia="宋体" w:hAnsi="Times New Roman" w:cs="宋体"/>
          <w:sz w:val="18"/>
          <w:szCs w:val="18"/>
        </w:rPr>
        <w:t>。</w:t>
      </w:r>
    </w:p>
    <w:p w14:paraId="00EFBA18"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06" w:name="_Toc989240"/>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未办妥产权证书的土地使用权情况</w:t>
      </w:r>
      <w:bookmarkEnd w:id="406"/>
    </w:p>
    <w:p w14:paraId="07C2E817"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773ACE6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4E64C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7C913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DB398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未办妥产权证书的原因</w:t>
            </w:r>
          </w:p>
        </w:tc>
      </w:tr>
    </w:tbl>
    <w:p w14:paraId="260C2D1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3C2A9AB5" w14:textId="77777777" w:rsidR="00872599" w:rsidRPr="00F614F9" w:rsidRDefault="00000000">
      <w:pPr>
        <w:pStyle w:val="a3"/>
        <w:divId w:val="1422140999"/>
        <w:rPr>
          <w:rFonts w:ascii="Times New Roman" w:hAnsi="Times New Roman"/>
          <w:sz w:val="18"/>
          <w:szCs w:val="18"/>
        </w:rPr>
      </w:pPr>
      <w:r w:rsidRPr="00F614F9">
        <w:rPr>
          <w:rFonts w:ascii="Times New Roman" w:hAnsi="Times New Roman" w:hint="eastAsia"/>
          <w:sz w:val="18"/>
          <w:szCs w:val="18"/>
        </w:rPr>
        <w:t>无</w:t>
      </w:r>
    </w:p>
    <w:p w14:paraId="497DD2F1"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07" w:name="_Toc989241"/>
      <w:r w:rsidRPr="00F614F9">
        <w:rPr>
          <w:rFonts w:ascii="Times New Roman" w:eastAsia="宋体" w:hAnsi="Times New Roman" w:cs="宋体"/>
          <w:b/>
          <w:bCs/>
          <w:szCs w:val="21"/>
        </w:rPr>
        <w:lastRenderedPageBreak/>
        <w:t>（</w:t>
      </w:r>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无形资产的减值测试情况</w:t>
      </w:r>
      <w:bookmarkEnd w:id="407"/>
    </w:p>
    <w:p w14:paraId="7B12426F"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068BA931" w14:textId="77777777" w:rsidR="001D26E7" w:rsidRPr="00F614F9" w:rsidRDefault="00000000">
      <w:pPr>
        <w:pStyle w:val="3"/>
        <w:spacing w:line="280" w:lineRule="exact"/>
        <w:jc w:val="left"/>
        <w:rPr>
          <w:rFonts w:ascii="Times New Roman" w:hAnsi="Times New Roman" w:cs="宋体"/>
          <w:b/>
          <w:bCs/>
        </w:rPr>
      </w:pPr>
      <w:bookmarkStart w:id="408" w:name="_Toc989242"/>
      <w:r w:rsidRPr="00F614F9">
        <w:rPr>
          <w:rFonts w:ascii="Times New Roman" w:hAnsi="Times New Roman" w:cs="宋体"/>
          <w:b/>
          <w:bCs/>
        </w:rPr>
        <w:t>27</w:t>
      </w:r>
      <w:r w:rsidRPr="00F614F9">
        <w:rPr>
          <w:rFonts w:ascii="Times New Roman" w:hAnsi="Times New Roman" w:cs="宋体"/>
          <w:b/>
          <w:bCs/>
        </w:rPr>
        <w:t>、商誉</w:t>
      </w:r>
      <w:bookmarkEnd w:id="408"/>
    </w:p>
    <w:p w14:paraId="36E682DC"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09" w:name="_Toc989243"/>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商誉账面原值</w:t>
      </w:r>
      <w:bookmarkEnd w:id="409"/>
    </w:p>
    <w:p w14:paraId="44370564"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1D26E7" w:rsidRPr="00F614F9" w14:paraId="32E49D60"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DD6B48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被投资单位名称或形成商誉的事项</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0D7974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9D32D2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本期增加</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578DB8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88AE0F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r>
      <w:tr w:rsidR="001D26E7" w:rsidRPr="00F614F9" w14:paraId="7D60D1B0"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7763037" w14:textId="77777777" w:rsidR="001D26E7" w:rsidRPr="00F614F9" w:rsidRDefault="001D26E7">
            <w:pPr>
              <w:rPr>
                <w:rFonts w:ascii="Times New Roman" w:hAnsi="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C245444" w14:textId="77777777" w:rsidR="001D26E7" w:rsidRPr="00F614F9" w:rsidRDefault="001D26E7">
            <w:pPr>
              <w:rPr>
                <w:rFonts w:ascii="Times New Roman" w:hAnsi="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8C1ADE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企业合并形成的</w:t>
            </w:r>
          </w:p>
        </w:tc>
        <w:tc>
          <w:tcPr>
            <w:tcW w:w="1377" w:type="dxa"/>
            <w:tcBorders>
              <w:top w:val="single" w:sz="2" w:space="0" w:color="auto"/>
              <w:left w:val="single" w:sz="2" w:space="0" w:color="auto"/>
              <w:bottom w:val="single" w:sz="2" w:space="0" w:color="auto"/>
              <w:right w:val="single" w:sz="2" w:space="0" w:color="auto"/>
            </w:tcBorders>
            <w:vAlign w:val="center"/>
          </w:tcPr>
          <w:p w14:paraId="393AA5FB" w14:textId="77777777" w:rsidR="001D26E7" w:rsidRPr="00F614F9" w:rsidRDefault="001D26E7">
            <w:pPr>
              <w:spacing w:line="240" w:lineRule="exact"/>
              <w:jc w:val="center"/>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9FE674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4FCCC125" w14:textId="77777777" w:rsidR="001D26E7" w:rsidRPr="00F614F9" w:rsidRDefault="001D26E7">
            <w:pPr>
              <w:spacing w:line="240" w:lineRule="exact"/>
              <w:jc w:val="center"/>
              <w:rPr>
                <w:rFonts w:ascii="Times New Roman" w:eastAsia="宋体" w:hAnsi="Times New Roman" w:cs="宋体"/>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D1A84AD" w14:textId="77777777" w:rsidR="001D26E7" w:rsidRPr="00F614F9" w:rsidRDefault="001D26E7">
            <w:pPr>
              <w:rPr>
                <w:rFonts w:ascii="Times New Roman" w:hAnsi="Times New Roman"/>
              </w:rPr>
            </w:pPr>
          </w:p>
        </w:tc>
      </w:tr>
      <w:tr w:rsidR="001D26E7" w:rsidRPr="00F614F9" w14:paraId="65333AFD"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6593C0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潍坊振</w:t>
            </w:r>
            <w:proofErr w:type="gramStart"/>
            <w:r w:rsidRPr="00F614F9">
              <w:rPr>
                <w:rFonts w:ascii="Times New Roman" w:eastAsia="宋体" w:hAnsi="Times New Roman" w:cs="宋体"/>
                <w:sz w:val="18"/>
                <w:szCs w:val="18"/>
              </w:rPr>
              <w:t>祥</w:t>
            </w:r>
            <w:proofErr w:type="gramEnd"/>
            <w:r w:rsidRPr="00F614F9">
              <w:rPr>
                <w:rFonts w:ascii="Times New Roman" w:eastAsia="宋体" w:hAnsi="Times New Roman" w:cs="宋体"/>
                <w:sz w:val="18"/>
                <w:szCs w:val="18"/>
              </w:rPr>
              <w:t>食品有限公司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2861CD5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59,823,738.70</w:t>
            </w:r>
          </w:p>
        </w:tc>
        <w:tc>
          <w:tcPr>
            <w:tcW w:w="1377" w:type="dxa"/>
            <w:tcBorders>
              <w:top w:val="single" w:sz="2" w:space="0" w:color="auto"/>
              <w:left w:val="single" w:sz="2" w:space="0" w:color="auto"/>
              <w:bottom w:val="single" w:sz="2" w:space="0" w:color="auto"/>
              <w:right w:val="single" w:sz="2" w:space="0" w:color="auto"/>
            </w:tcBorders>
            <w:vAlign w:val="center"/>
          </w:tcPr>
          <w:p w14:paraId="4B0E42F0"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D2AD8F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FD24528"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0B41008"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6D7F08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59,823,738.70</w:t>
            </w:r>
          </w:p>
        </w:tc>
      </w:tr>
      <w:tr w:rsidR="001D26E7" w:rsidRPr="00F614F9" w14:paraId="5E7997A6"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96AF4D7"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通辽金泉食品</w:t>
            </w:r>
            <w:proofErr w:type="gramEnd"/>
            <w:r w:rsidRPr="00F614F9">
              <w:rPr>
                <w:rFonts w:ascii="Times New Roman" w:eastAsia="宋体" w:hAnsi="Times New Roman" w:cs="宋体"/>
                <w:sz w:val="18"/>
                <w:szCs w:val="18"/>
              </w:rPr>
              <w:t>有限责任公司</w:t>
            </w:r>
          </w:p>
        </w:tc>
        <w:tc>
          <w:tcPr>
            <w:tcW w:w="1377" w:type="dxa"/>
            <w:tcBorders>
              <w:top w:val="single" w:sz="2" w:space="0" w:color="auto"/>
              <w:left w:val="single" w:sz="2" w:space="0" w:color="auto"/>
              <w:bottom w:val="single" w:sz="2" w:space="0" w:color="auto"/>
              <w:right w:val="single" w:sz="2" w:space="0" w:color="auto"/>
            </w:tcBorders>
            <w:vAlign w:val="center"/>
          </w:tcPr>
          <w:p w14:paraId="173FE2C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25,173.06</w:t>
            </w:r>
          </w:p>
        </w:tc>
        <w:tc>
          <w:tcPr>
            <w:tcW w:w="1377" w:type="dxa"/>
            <w:tcBorders>
              <w:top w:val="single" w:sz="2" w:space="0" w:color="auto"/>
              <w:left w:val="single" w:sz="2" w:space="0" w:color="auto"/>
              <w:bottom w:val="single" w:sz="2" w:space="0" w:color="auto"/>
              <w:right w:val="single" w:sz="2" w:space="0" w:color="auto"/>
            </w:tcBorders>
            <w:vAlign w:val="center"/>
          </w:tcPr>
          <w:p w14:paraId="08EAC954"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23A4C5F"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1909C7A"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3CF9E22"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EF23F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25,173.06</w:t>
            </w:r>
          </w:p>
        </w:tc>
      </w:tr>
      <w:tr w:rsidR="001D26E7" w:rsidRPr="00F614F9" w14:paraId="6F5E0DF4"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9BBB49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310CC7C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59,848,911.76</w:t>
            </w:r>
          </w:p>
        </w:tc>
        <w:tc>
          <w:tcPr>
            <w:tcW w:w="1377" w:type="dxa"/>
            <w:tcBorders>
              <w:top w:val="single" w:sz="2" w:space="0" w:color="auto"/>
              <w:left w:val="single" w:sz="2" w:space="0" w:color="auto"/>
              <w:bottom w:val="single" w:sz="2" w:space="0" w:color="auto"/>
              <w:right w:val="single" w:sz="2" w:space="0" w:color="auto"/>
            </w:tcBorders>
            <w:vAlign w:val="center"/>
          </w:tcPr>
          <w:p w14:paraId="5259B227"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614623A"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7091FAA"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410995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BD8987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59,848,911.76</w:t>
            </w:r>
          </w:p>
        </w:tc>
      </w:tr>
    </w:tbl>
    <w:p w14:paraId="064A4C3F"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10" w:name="_Toc989244"/>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商誉减值准备</w:t>
      </w:r>
      <w:bookmarkEnd w:id="410"/>
    </w:p>
    <w:p w14:paraId="6B5BB113"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1D26E7" w:rsidRPr="00F614F9" w14:paraId="391DF08F"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7A51BD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被投资单位名称或形成商誉的事项</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429DD5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51D7BC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本期增加</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722FA2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3E2A69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r>
      <w:tr w:rsidR="001D26E7" w:rsidRPr="00F614F9" w14:paraId="700BB8D0"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CA26189" w14:textId="77777777" w:rsidR="001D26E7" w:rsidRPr="00F614F9" w:rsidRDefault="001D26E7">
            <w:pPr>
              <w:rPr>
                <w:rFonts w:ascii="Times New Roman" w:hAnsi="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C849878" w14:textId="77777777" w:rsidR="001D26E7" w:rsidRPr="00F614F9" w:rsidRDefault="001D26E7">
            <w:pPr>
              <w:rPr>
                <w:rFonts w:ascii="Times New Roman" w:hAnsi="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5D9E2F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vAlign w:val="center"/>
          </w:tcPr>
          <w:p w14:paraId="22E45653" w14:textId="77777777" w:rsidR="001D26E7" w:rsidRPr="00F614F9" w:rsidRDefault="001D26E7">
            <w:pPr>
              <w:spacing w:line="240" w:lineRule="exact"/>
              <w:jc w:val="center"/>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CD0840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566593CC" w14:textId="77777777" w:rsidR="001D26E7" w:rsidRPr="00F614F9" w:rsidRDefault="001D26E7">
            <w:pPr>
              <w:spacing w:line="240" w:lineRule="exact"/>
              <w:jc w:val="center"/>
              <w:rPr>
                <w:rFonts w:ascii="Times New Roman" w:eastAsia="宋体" w:hAnsi="Times New Roman" w:cs="宋体"/>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1E3ED1A" w14:textId="77777777" w:rsidR="001D26E7" w:rsidRPr="00F614F9" w:rsidRDefault="001D26E7">
            <w:pPr>
              <w:rPr>
                <w:rFonts w:ascii="Times New Roman" w:hAnsi="Times New Roman"/>
              </w:rPr>
            </w:pPr>
          </w:p>
        </w:tc>
      </w:tr>
      <w:tr w:rsidR="001D26E7" w:rsidRPr="00F614F9" w14:paraId="775E8E4A"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CBDF08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潍坊振</w:t>
            </w:r>
            <w:proofErr w:type="gramStart"/>
            <w:r w:rsidRPr="00F614F9">
              <w:rPr>
                <w:rFonts w:ascii="Times New Roman" w:eastAsia="宋体" w:hAnsi="Times New Roman" w:cs="宋体"/>
                <w:sz w:val="18"/>
                <w:szCs w:val="18"/>
              </w:rPr>
              <w:t>祥</w:t>
            </w:r>
            <w:proofErr w:type="gramEnd"/>
            <w:r w:rsidRPr="00F614F9">
              <w:rPr>
                <w:rFonts w:ascii="Times New Roman" w:eastAsia="宋体" w:hAnsi="Times New Roman" w:cs="宋体"/>
                <w:sz w:val="18"/>
                <w:szCs w:val="18"/>
              </w:rPr>
              <w:t>食品有限公司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6DC0894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32,951,764.52</w:t>
            </w:r>
          </w:p>
        </w:tc>
        <w:tc>
          <w:tcPr>
            <w:tcW w:w="1377" w:type="dxa"/>
            <w:tcBorders>
              <w:top w:val="single" w:sz="2" w:space="0" w:color="auto"/>
              <w:left w:val="single" w:sz="2" w:space="0" w:color="auto"/>
              <w:bottom w:val="single" w:sz="2" w:space="0" w:color="auto"/>
              <w:right w:val="single" w:sz="2" w:space="0" w:color="auto"/>
            </w:tcBorders>
            <w:vAlign w:val="center"/>
          </w:tcPr>
          <w:p w14:paraId="0E5EA79C"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050BE3F"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49F6808"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266B90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9D4E4E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32,951,764.52</w:t>
            </w:r>
          </w:p>
        </w:tc>
      </w:tr>
      <w:tr w:rsidR="001D26E7" w:rsidRPr="00F614F9" w14:paraId="61F129DD"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185B063"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通辽金泉食品</w:t>
            </w:r>
            <w:proofErr w:type="gramEnd"/>
            <w:r w:rsidRPr="00F614F9">
              <w:rPr>
                <w:rFonts w:ascii="Times New Roman" w:eastAsia="宋体" w:hAnsi="Times New Roman" w:cs="宋体"/>
                <w:sz w:val="18"/>
                <w:szCs w:val="18"/>
              </w:rPr>
              <w:t>有限责任公司</w:t>
            </w:r>
          </w:p>
        </w:tc>
        <w:tc>
          <w:tcPr>
            <w:tcW w:w="1377" w:type="dxa"/>
            <w:tcBorders>
              <w:top w:val="single" w:sz="2" w:space="0" w:color="auto"/>
              <w:left w:val="single" w:sz="2" w:space="0" w:color="auto"/>
              <w:bottom w:val="single" w:sz="2" w:space="0" w:color="auto"/>
              <w:right w:val="single" w:sz="2" w:space="0" w:color="auto"/>
            </w:tcBorders>
            <w:vAlign w:val="center"/>
          </w:tcPr>
          <w:p w14:paraId="00CC710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25,173.06</w:t>
            </w:r>
          </w:p>
        </w:tc>
        <w:tc>
          <w:tcPr>
            <w:tcW w:w="1377" w:type="dxa"/>
            <w:tcBorders>
              <w:top w:val="single" w:sz="2" w:space="0" w:color="auto"/>
              <w:left w:val="single" w:sz="2" w:space="0" w:color="auto"/>
              <w:bottom w:val="single" w:sz="2" w:space="0" w:color="auto"/>
              <w:right w:val="single" w:sz="2" w:space="0" w:color="auto"/>
            </w:tcBorders>
            <w:vAlign w:val="center"/>
          </w:tcPr>
          <w:p w14:paraId="3E19C43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D890B57"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D84F149"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029278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5DF489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25,173.06</w:t>
            </w:r>
          </w:p>
        </w:tc>
      </w:tr>
      <w:tr w:rsidR="001D26E7" w:rsidRPr="00F614F9" w14:paraId="12D94E9A"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BDFEF0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58E1E76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32,976,937.58</w:t>
            </w:r>
          </w:p>
        </w:tc>
        <w:tc>
          <w:tcPr>
            <w:tcW w:w="1377" w:type="dxa"/>
            <w:tcBorders>
              <w:top w:val="single" w:sz="2" w:space="0" w:color="auto"/>
              <w:left w:val="single" w:sz="2" w:space="0" w:color="auto"/>
              <w:bottom w:val="single" w:sz="2" w:space="0" w:color="auto"/>
              <w:right w:val="single" w:sz="2" w:space="0" w:color="auto"/>
            </w:tcBorders>
            <w:vAlign w:val="center"/>
          </w:tcPr>
          <w:p w14:paraId="6D76A6F1"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BEF4D8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67F30E8"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883F28B"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8FCBC8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32,976,937.58</w:t>
            </w:r>
          </w:p>
        </w:tc>
      </w:tr>
    </w:tbl>
    <w:p w14:paraId="35A92F68"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11" w:name="_Toc989245"/>
      <w:r w:rsidRPr="00F614F9">
        <w:rPr>
          <w:rFonts w:ascii="Times New Roman" w:eastAsia="宋体" w:hAnsi="Times New Roman" w:cs="宋体"/>
          <w:b/>
          <w:bCs/>
          <w:szCs w:val="21"/>
        </w:rPr>
        <w:t>（</w:t>
      </w:r>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商誉所在资产组或资产组组合的相关信息</w:t>
      </w:r>
      <w:bookmarkEnd w:id="411"/>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1D26E7" w:rsidRPr="00F614F9" w14:paraId="07CE3B8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68C6AD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3ECA86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所属资产组或组合的构成及依据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9065F5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所属经营分部及依据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485B06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是否与以前年度保持一致</w:t>
            </w:r>
          </w:p>
        </w:tc>
      </w:tr>
      <w:tr w:rsidR="001D26E7" w:rsidRPr="00F614F9" w14:paraId="5231519B"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DCECCDE" w14:textId="77777777" w:rsidR="001D26E7" w:rsidRPr="00F614F9" w:rsidRDefault="001D26E7">
            <w:pPr>
              <w:spacing w:line="240" w:lineRule="exac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19608CF" w14:textId="77777777" w:rsidR="001D26E7" w:rsidRPr="00F614F9" w:rsidRDefault="001D26E7">
            <w:pPr>
              <w:spacing w:line="240" w:lineRule="exac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3DCD4D4" w14:textId="77777777" w:rsidR="001D26E7" w:rsidRPr="00F614F9" w:rsidRDefault="001D26E7">
            <w:pPr>
              <w:spacing w:line="240" w:lineRule="exac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9DD848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是</w:t>
            </w:r>
          </w:p>
        </w:tc>
      </w:tr>
    </w:tbl>
    <w:p w14:paraId="4914941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资产组或资产组组合发生变化</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1D26E7" w:rsidRPr="00F614F9" w14:paraId="0F166C6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5829FC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F37A80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变化前的构成</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536B4A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变化后的构成</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EBCE12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导致变化的客观事实及依据</w:t>
            </w:r>
          </w:p>
        </w:tc>
      </w:tr>
    </w:tbl>
    <w:p w14:paraId="6A48D5E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0743B546" w14:textId="77777777" w:rsidR="00872599" w:rsidRPr="00F614F9" w:rsidRDefault="00000000" w:rsidP="00407C41">
      <w:pPr>
        <w:spacing w:line="276" w:lineRule="auto"/>
        <w:ind w:firstLineChars="200" w:firstLine="360"/>
        <w:divId w:val="505899359"/>
        <w:rPr>
          <w:rFonts w:ascii="Times New Roman" w:eastAsia="宋体" w:hAnsi="Times New Roman"/>
          <w:sz w:val="18"/>
          <w:szCs w:val="20"/>
        </w:rPr>
      </w:pPr>
      <w:r w:rsidRPr="00F614F9">
        <w:rPr>
          <w:rFonts w:ascii="Times New Roman" w:eastAsia="宋体" w:hAnsi="Times New Roman" w:hint="eastAsia"/>
          <w:sz w:val="18"/>
          <w:szCs w:val="20"/>
        </w:rPr>
        <w:t>商誉所在资产组或资产组组合的相关信息</w:t>
      </w:r>
      <w:r w:rsidRPr="00F614F9">
        <w:rPr>
          <w:rFonts w:ascii="Times New Roman" w:eastAsia="宋体" w:hAnsi="Times New Roman" w:hint="eastAsia"/>
          <w:sz w:val="18"/>
          <w:szCs w:val="20"/>
        </w:rPr>
        <w:t xml:space="preserve"> </w:t>
      </w:r>
    </w:p>
    <w:p w14:paraId="4B8DFF8B" w14:textId="77777777" w:rsidR="00872599" w:rsidRPr="00F614F9" w:rsidRDefault="00000000" w:rsidP="00407C41">
      <w:pPr>
        <w:spacing w:line="276" w:lineRule="auto"/>
        <w:ind w:firstLineChars="200" w:firstLine="360"/>
        <w:divId w:val="505899359"/>
        <w:rPr>
          <w:rFonts w:ascii="Times New Roman" w:eastAsia="宋体" w:hAnsi="Times New Roman"/>
          <w:sz w:val="18"/>
          <w:szCs w:val="20"/>
        </w:rPr>
      </w:pPr>
      <w:r w:rsidRPr="00F614F9">
        <w:rPr>
          <w:rFonts w:ascii="Times New Roman" w:eastAsia="宋体" w:hAnsi="Times New Roman" w:hint="eastAsia"/>
          <w:sz w:val="18"/>
          <w:szCs w:val="20"/>
        </w:rPr>
        <w:t>商誉的初始形成</w:t>
      </w:r>
    </w:p>
    <w:p w14:paraId="21914B6B" w14:textId="77777777" w:rsidR="00872599" w:rsidRPr="00F614F9" w:rsidRDefault="00000000" w:rsidP="00407C41">
      <w:pPr>
        <w:spacing w:line="276" w:lineRule="auto"/>
        <w:ind w:firstLineChars="200" w:firstLine="360"/>
        <w:divId w:val="505899359"/>
        <w:rPr>
          <w:rFonts w:ascii="Times New Roman" w:eastAsia="宋体" w:hAnsi="Times New Roman"/>
          <w:sz w:val="18"/>
          <w:szCs w:val="20"/>
        </w:rPr>
      </w:pPr>
      <w:r w:rsidRPr="00F614F9">
        <w:rPr>
          <w:rFonts w:ascii="Times New Roman" w:eastAsia="宋体" w:hAnsi="Times New Roman" w:hint="eastAsia"/>
          <w:sz w:val="18"/>
          <w:szCs w:val="20"/>
        </w:rPr>
        <w:t>本公司于</w:t>
      </w:r>
      <w:r w:rsidRPr="00F614F9">
        <w:rPr>
          <w:rFonts w:ascii="Times New Roman" w:eastAsia="宋体" w:hAnsi="Times New Roman" w:hint="eastAsia"/>
          <w:sz w:val="18"/>
          <w:szCs w:val="20"/>
        </w:rPr>
        <w:t>2018</w:t>
      </w:r>
      <w:r w:rsidRPr="00F614F9">
        <w:rPr>
          <w:rFonts w:ascii="Times New Roman" w:eastAsia="宋体" w:hAnsi="Times New Roman" w:hint="eastAsia"/>
          <w:sz w:val="18"/>
          <w:szCs w:val="20"/>
        </w:rPr>
        <w:t>年收购潍坊振</w:t>
      </w:r>
      <w:proofErr w:type="gramStart"/>
      <w:r w:rsidRPr="00F614F9">
        <w:rPr>
          <w:rFonts w:ascii="Times New Roman" w:eastAsia="宋体" w:hAnsi="Times New Roman" w:hint="eastAsia"/>
          <w:sz w:val="18"/>
          <w:szCs w:val="20"/>
        </w:rPr>
        <w:t>祥</w:t>
      </w:r>
      <w:proofErr w:type="gramEnd"/>
      <w:r w:rsidRPr="00F614F9">
        <w:rPr>
          <w:rFonts w:ascii="Times New Roman" w:eastAsia="宋体" w:hAnsi="Times New Roman" w:hint="eastAsia"/>
          <w:sz w:val="18"/>
          <w:szCs w:val="20"/>
        </w:rPr>
        <w:t>食品有限公司（以下简称“潍坊振祥”）</w:t>
      </w:r>
      <w:r w:rsidRPr="00F614F9">
        <w:rPr>
          <w:rFonts w:ascii="Times New Roman" w:eastAsia="宋体" w:hAnsi="Times New Roman" w:hint="eastAsia"/>
          <w:sz w:val="18"/>
          <w:szCs w:val="20"/>
        </w:rPr>
        <w:t>70%</w:t>
      </w:r>
      <w:r w:rsidRPr="00F614F9">
        <w:rPr>
          <w:rFonts w:ascii="Times New Roman" w:eastAsia="宋体" w:hAnsi="Times New Roman" w:hint="eastAsia"/>
          <w:sz w:val="18"/>
          <w:szCs w:val="20"/>
        </w:rPr>
        <w:t>股权，交易的合并成本为</w:t>
      </w:r>
      <w:r w:rsidRPr="00F614F9">
        <w:rPr>
          <w:rFonts w:ascii="Times New Roman" w:eastAsia="宋体" w:hAnsi="Times New Roman" w:hint="eastAsia"/>
          <w:sz w:val="18"/>
          <w:szCs w:val="20"/>
        </w:rPr>
        <w:t>86,690,300.00</w:t>
      </w:r>
      <w:r w:rsidRPr="00F614F9">
        <w:rPr>
          <w:rFonts w:ascii="Times New Roman" w:eastAsia="宋体" w:hAnsi="Times New Roman" w:hint="eastAsia"/>
          <w:sz w:val="18"/>
          <w:szCs w:val="20"/>
        </w:rPr>
        <w:t>元，取得被购买方潍坊振</w:t>
      </w:r>
      <w:proofErr w:type="gramStart"/>
      <w:r w:rsidRPr="00F614F9">
        <w:rPr>
          <w:rFonts w:ascii="Times New Roman" w:eastAsia="宋体" w:hAnsi="Times New Roman" w:hint="eastAsia"/>
          <w:sz w:val="18"/>
          <w:szCs w:val="20"/>
        </w:rPr>
        <w:t>祥</w:t>
      </w:r>
      <w:proofErr w:type="gramEnd"/>
      <w:r w:rsidRPr="00F614F9">
        <w:rPr>
          <w:rFonts w:ascii="Times New Roman" w:eastAsia="宋体" w:hAnsi="Times New Roman" w:hint="eastAsia"/>
          <w:sz w:val="18"/>
          <w:szCs w:val="20"/>
        </w:rPr>
        <w:t>70%</w:t>
      </w:r>
      <w:r w:rsidRPr="00F614F9">
        <w:rPr>
          <w:rFonts w:ascii="Times New Roman" w:eastAsia="宋体" w:hAnsi="Times New Roman" w:hint="eastAsia"/>
          <w:sz w:val="18"/>
          <w:szCs w:val="20"/>
        </w:rPr>
        <w:t>股权对应的可辨认净资产公允价值为</w:t>
      </w:r>
      <w:r w:rsidRPr="00F614F9">
        <w:rPr>
          <w:rFonts w:ascii="Times New Roman" w:eastAsia="宋体" w:hAnsi="Times New Roman" w:hint="eastAsia"/>
          <w:sz w:val="18"/>
          <w:szCs w:val="20"/>
        </w:rPr>
        <w:t>26,866,561.30</w:t>
      </w:r>
      <w:r w:rsidRPr="00F614F9">
        <w:rPr>
          <w:rFonts w:ascii="Times New Roman" w:eastAsia="宋体" w:hAnsi="Times New Roman" w:hint="eastAsia"/>
          <w:sz w:val="18"/>
          <w:szCs w:val="20"/>
        </w:rPr>
        <w:t>元，合并成本大于合并中取得的被购买方可辨认净资产公允价值份额的差额为</w:t>
      </w:r>
      <w:r w:rsidRPr="00F614F9">
        <w:rPr>
          <w:rFonts w:ascii="Times New Roman" w:eastAsia="宋体" w:hAnsi="Times New Roman" w:hint="eastAsia"/>
          <w:sz w:val="18"/>
          <w:szCs w:val="20"/>
        </w:rPr>
        <w:t>59,823,738.70</w:t>
      </w:r>
      <w:r w:rsidRPr="00F614F9">
        <w:rPr>
          <w:rFonts w:ascii="Times New Roman" w:eastAsia="宋体" w:hAnsi="Times New Roman" w:hint="eastAsia"/>
          <w:sz w:val="18"/>
          <w:szCs w:val="20"/>
        </w:rPr>
        <w:t>元，确认为商誉。</w:t>
      </w:r>
    </w:p>
    <w:p w14:paraId="5E070C21" w14:textId="77777777" w:rsidR="00872599" w:rsidRPr="00F614F9" w:rsidRDefault="00000000" w:rsidP="00407C41">
      <w:pPr>
        <w:spacing w:line="276" w:lineRule="auto"/>
        <w:ind w:firstLineChars="200" w:firstLine="360"/>
        <w:divId w:val="505899359"/>
        <w:rPr>
          <w:rFonts w:ascii="Times New Roman" w:eastAsia="宋体" w:hAnsi="Times New Roman"/>
          <w:sz w:val="18"/>
          <w:szCs w:val="20"/>
        </w:rPr>
      </w:pPr>
      <w:r w:rsidRPr="00F614F9">
        <w:rPr>
          <w:rFonts w:ascii="Times New Roman" w:eastAsia="宋体" w:hAnsi="Times New Roman" w:hint="eastAsia"/>
          <w:sz w:val="18"/>
          <w:szCs w:val="20"/>
        </w:rPr>
        <w:t>本公司于</w:t>
      </w:r>
      <w:r w:rsidRPr="00F614F9">
        <w:rPr>
          <w:rFonts w:ascii="Times New Roman" w:eastAsia="宋体" w:hAnsi="Times New Roman" w:hint="eastAsia"/>
          <w:sz w:val="18"/>
          <w:szCs w:val="20"/>
        </w:rPr>
        <w:t>2020</w:t>
      </w:r>
      <w:r w:rsidRPr="00F614F9">
        <w:rPr>
          <w:rFonts w:ascii="Times New Roman" w:eastAsia="宋体" w:hAnsi="Times New Roman" w:hint="eastAsia"/>
          <w:sz w:val="18"/>
          <w:szCs w:val="20"/>
        </w:rPr>
        <w:t>年收购</w:t>
      </w:r>
      <w:proofErr w:type="gramStart"/>
      <w:r w:rsidRPr="00F614F9">
        <w:rPr>
          <w:rFonts w:ascii="Times New Roman" w:eastAsia="宋体" w:hAnsi="Times New Roman" w:hint="eastAsia"/>
          <w:sz w:val="18"/>
          <w:szCs w:val="20"/>
        </w:rPr>
        <w:t>通辽金泉食品</w:t>
      </w:r>
      <w:proofErr w:type="gramEnd"/>
      <w:r w:rsidRPr="00F614F9">
        <w:rPr>
          <w:rFonts w:ascii="Times New Roman" w:eastAsia="宋体" w:hAnsi="Times New Roman" w:hint="eastAsia"/>
          <w:sz w:val="18"/>
          <w:szCs w:val="20"/>
        </w:rPr>
        <w:t>有限责任公司（以下简称“通辽金泉”）</w:t>
      </w:r>
      <w:r w:rsidRPr="00F614F9">
        <w:rPr>
          <w:rFonts w:ascii="Times New Roman" w:eastAsia="宋体" w:hAnsi="Times New Roman" w:hint="eastAsia"/>
          <w:sz w:val="18"/>
          <w:szCs w:val="20"/>
        </w:rPr>
        <w:t>100%</w:t>
      </w:r>
      <w:r w:rsidRPr="00F614F9">
        <w:rPr>
          <w:rFonts w:ascii="Times New Roman" w:eastAsia="宋体" w:hAnsi="Times New Roman" w:hint="eastAsia"/>
          <w:sz w:val="18"/>
          <w:szCs w:val="20"/>
        </w:rPr>
        <w:t>股权，交易的合并成本为</w:t>
      </w:r>
      <w:r w:rsidRPr="00F614F9">
        <w:rPr>
          <w:rFonts w:ascii="Times New Roman" w:eastAsia="宋体" w:hAnsi="Times New Roman" w:hint="eastAsia"/>
          <w:sz w:val="18"/>
          <w:szCs w:val="20"/>
        </w:rPr>
        <w:t>35,000,700.00</w:t>
      </w:r>
      <w:r w:rsidRPr="00F614F9">
        <w:rPr>
          <w:rFonts w:ascii="Times New Roman" w:eastAsia="宋体" w:hAnsi="Times New Roman" w:hint="eastAsia"/>
          <w:sz w:val="18"/>
          <w:szCs w:val="20"/>
        </w:rPr>
        <w:t>元，取得被购买方</w:t>
      </w:r>
      <w:proofErr w:type="gramStart"/>
      <w:r w:rsidRPr="00F614F9">
        <w:rPr>
          <w:rFonts w:ascii="Times New Roman" w:eastAsia="宋体" w:hAnsi="Times New Roman" w:hint="eastAsia"/>
          <w:sz w:val="18"/>
          <w:szCs w:val="20"/>
        </w:rPr>
        <w:t>通辽金</w:t>
      </w:r>
      <w:proofErr w:type="gramEnd"/>
      <w:r w:rsidRPr="00F614F9">
        <w:rPr>
          <w:rFonts w:ascii="Times New Roman" w:eastAsia="宋体" w:hAnsi="Times New Roman" w:hint="eastAsia"/>
          <w:sz w:val="18"/>
          <w:szCs w:val="20"/>
        </w:rPr>
        <w:t>泉</w:t>
      </w:r>
      <w:r w:rsidRPr="00F614F9">
        <w:rPr>
          <w:rFonts w:ascii="Times New Roman" w:eastAsia="宋体" w:hAnsi="Times New Roman" w:hint="eastAsia"/>
          <w:sz w:val="18"/>
          <w:szCs w:val="20"/>
        </w:rPr>
        <w:t>100%</w:t>
      </w:r>
      <w:r w:rsidRPr="00F614F9">
        <w:rPr>
          <w:rFonts w:ascii="Times New Roman" w:eastAsia="宋体" w:hAnsi="Times New Roman" w:hint="eastAsia"/>
          <w:sz w:val="18"/>
          <w:szCs w:val="20"/>
        </w:rPr>
        <w:t>股权对应的可辨认净资产公允价值为</w:t>
      </w:r>
      <w:r w:rsidRPr="00F614F9">
        <w:rPr>
          <w:rFonts w:ascii="Times New Roman" w:eastAsia="宋体" w:hAnsi="Times New Roman" w:hint="eastAsia"/>
          <w:sz w:val="18"/>
          <w:szCs w:val="20"/>
        </w:rPr>
        <w:t>34,975,526.94</w:t>
      </w:r>
      <w:r w:rsidRPr="00F614F9">
        <w:rPr>
          <w:rFonts w:ascii="Times New Roman" w:eastAsia="宋体" w:hAnsi="Times New Roman" w:hint="eastAsia"/>
          <w:sz w:val="18"/>
          <w:szCs w:val="20"/>
        </w:rPr>
        <w:t>元，合并成本大于合并中取得的被购买方可辨认净资产公允价值份额的差额为</w:t>
      </w:r>
      <w:r w:rsidRPr="00F614F9">
        <w:rPr>
          <w:rFonts w:ascii="Times New Roman" w:eastAsia="宋体" w:hAnsi="Times New Roman" w:hint="eastAsia"/>
          <w:sz w:val="18"/>
          <w:szCs w:val="20"/>
        </w:rPr>
        <w:t>25,173.06</w:t>
      </w:r>
      <w:r w:rsidRPr="00F614F9">
        <w:rPr>
          <w:rFonts w:ascii="Times New Roman" w:eastAsia="宋体" w:hAnsi="Times New Roman" w:hint="eastAsia"/>
          <w:sz w:val="18"/>
          <w:szCs w:val="20"/>
        </w:rPr>
        <w:t>元，确认为商誉。</w:t>
      </w:r>
    </w:p>
    <w:p w14:paraId="4F693A09" w14:textId="77777777" w:rsidR="00872599" w:rsidRPr="00F614F9" w:rsidRDefault="00872599" w:rsidP="00407C41">
      <w:pPr>
        <w:spacing w:line="276" w:lineRule="auto"/>
        <w:ind w:firstLineChars="200" w:firstLine="360"/>
        <w:divId w:val="505899359"/>
        <w:rPr>
          <w:rFonts w:ascii="Times New Roman" w:eastAsia="宋体" w:hAnsi="Times New Roman"/>
          <w:sz w:val="18"/>
          <w:szCs w:val="20"/>
        </w:rPr>
      </w:pPr>
    </w:p>
    <w:p w14:paraId="12E44244" w14:textId="77777777" w:rsidR="00872599" w:rsidRPr="00F614F9" w:rsidRDefault="00000000" w:rsidP="00407C41">
      <w:pPr>
        <w:spacing w:line="276" w:lineRule="auto"/>
        <w:ind w:firstLineChars="200" w:firstLine="360"/>
        <w:divId w:val="505899359"/>
        <w:rPr>
          <w:rFonts w:ascii="Times New Roman" w:eastAsia="宋体" w:hAnsi="Times New Roman"/>
          <w:sz w:val="18"/>
          <w:szCs w:val="20"/>
        </w:rPr>
      </w:pPr>
      <w:r w:rsidRPr="00F614F9">
        <w:rPr>
          <w:rFonts w:ascii="Times New Roman" w:eastAsia="宋体" w:hAnsi="Times New Roman" w:hint="eastAsia"/>
          <w:sz w:val="18"/>
          <w:szCs w:val="20"/>
        </w:rPr>
        <w:t>资产组或资产组组合的相关信息</w:t>
      </w:r>
    </w:p>
    <w:p w14:paraId="59CED9C2" w14:textId="77777777" w:rsidR="00872599" w:rsidRPr="00F614F9" w:rsidRDefault="00000000" w:rsidP="00407C41">
      <w:pPr>
        <w:spacing w:line="276" w:lineRule="auto"/>
        <w:ind w:firstLineChars="200" w:firstLine="360"/>
        <w:divId w:val="505899359"/>
        <w:rPr>
          <w:rFonts w:ascii="Times New Roman" w:eastAsia="宋体" w:hAnsi="Times New Roman"/>
          <w:sz w:val="18"/>
          <w:szCs w:val="20"/>
        </w:rPr>
      </w:pPr>
      <w:r w:rsidRPr="00F614F9">
        <w:rPr>
          <w:rFonts w:ascii="Times New Roman" w:eastAsia="宋体" w:hAnsi="Times New Roman" w:hint="eastAsia"/>
          <w:sz w:val="18"/>
          <w:szCs w:val="20"/>
        </w:rPr>
        <w:t>资产组包括组成与商誉相关资产组的长期资产（具体包括固定资产、在建工程和无形资产）和合并报表确认的商誉。</w:t>
      </w:r>
    </w:p>
    <w:p w14:paraId="6F84C403" w14:textId="77777777" w:rsidR="00872599" w:rsidRPr="00F614F9" w:rsidRDefault="00000000" w:rsidP="00407C41">
      <w:pPr>
        <w:spacing w:line="276" w:lineRule="auto"/>
        <w:ind w:firstLineChars="200" w:firstLine="360"/>
        <w:divId w:val="505899359"/>
        <w:rPr>
          <w:rFonts w:ascii="Times New Roman" w:eastAsia="宋体" w:hAnsi="Times New Roman"/>
          <w:sz w:val="18"/>
          <w:szCs w:val="20"/>
        </w:rPr>
      </w:pPr>
      <w:r w:rsidRPr="00F614F9">
        <w:rPr>
          <w:rFonts w:ascii="Times New Roman" w:eastAsia="宋体" w:hAnsi="Times New Roman" w:hint="eastAsia"/>
          <w:sz w:val="18"/>
          <w:szCs w:val="20"/>
        </w:rPr>
        <w:t>商誉的减值测试过程</w:t>
      </w:r>
    </w:p>
    <w:p w14:paraId="53608D71" w14:textId="77777777" w:rsidR="00872599" w:rsidRPr="00F614F9" w:rsidRDefault="00000000" w:rsidP="00407C41">
      <w:pPr>
        <w:spacing w:line="276" w:lineRule="auto"/>
        <w:ind w:firstLineChars="200" w:firstLine="360"/>
        <w:divId w:val="505899359"/>
        <w:rPr>
          <w:rFonts w:ascii="Times New Roman" w:eastAsia="宋体" w:hAnsi="Times New Roman"/>
          <w:sz w:val="18"/>
          <w:szCs w:val="20"/>
        </w:rPr>
      </w:pPr>
      <w:r w:rsidRPr="00F614F9">
        <w:rPr>
          <w:rFonts w:ascii="Times New Roman" w:eastAsia="宋体" w:hAnsi="Times New Roman" w:hint="eastAsia"/>
          <w:sz w:val="18"/>
          <w:szCs w:val="20"/>
        </w:rPr>
        <w:t>公司</w:t>
      </w:r>
      <w:proofErr w:type="gramStart"/>
      <w:r w:rsidRPr="00F614F9">
        <w:rPr>
          <w:rFonts w:ascii="Times New Roman" w:eastAsia="宋体" w:hAnsi="Times New Roman" w:hint="eastAsia"/>
          <w:sz w:val="18"/>
          <w:szCs w:val="20"/>
        </w:rPr>
        <w:t>期末对</w:t>
      </w:r>
      <w:proofErr w:type="gramEnd"/>
      <w:r w:rsidRPr="00F614F9">
        <w:rPr>
          <w:rFonts w:ascii="Times New Roman" w:eastAsia="宋体" w:hAnsi="Times New Roman" w:hint="eastAsia"/>
          <w:sz w:val="18"/>
          <w:szCs w:val="20"/>
        </w:rPr>
        <w:t>与商誉相关的资产组进行了减值测试，首先将该商誉及归属于少数股东权益的商誉包括在内，调整资产组的账面价值，然后将调整后的资产组账面价值</w:t>
      </w:r>
      <w:proofErr w:type="gramStart"/>
      <w:r w:rsidRPr="00F614F9">
        <w:rPr>
          <w:rFonts w:ascii="Times New Roman" w:eastAsia="宋体" w:hAnsi="Times New Roman" w:hint="eastAsia"/>
          <w:sz w:val="18"/>
          <w:szCs w:val="20"/>
        </w:rPr>
        <w:t>与其可</w:t>
      </w:r>
      <w:proofErr w:type="gramEnd"/>
      <w:r w:rsidRPr="00F614F9">
        <w:rPr>
          <w:rFonts w:ascii="Times New Roman" w:eastAsia="宋体" w:hAnsi="Times New Roman" w:hint="eastAsia"/>
          <w:sz w:val="18"/>
          <w:szCs w:val="20"/>
        </w:rPr>
        <w:t>收回金额进行比较，以确定资产组（包括商誉）是否发生了减值。</w:t>
      </w:r>
    </w:p>
    <w:p w14:paraId="3A1F06B0" w14:textId="77777777" w:rsidR="00872599" w:rsidRPr="00F614F9" w:rsidRDefault="00872599" w:rsidP="00407C41">
      <w:pPr>
        <w:spacing w:line="276" w:lineRule="auto"/>
        <w:ind w:firstLineChars="200" w:firstLine="360"/>
        <w:divId w:val="505899359"/>
        <w:rPr>
          <w:rFonts w:ascii="Times New Roman" w:eastAsia="宋体" w:hAnsi="Times New Roman"/>
          <w:sz w:val="18"/>
          <w:szCs w:val="20"/>
        </w:rPr>
      </w:pPr>
    </w:p>
    <w:p w14:paraId="53505139" w14:textId="77777777" w:rsidR="00872599" w:rsidRPr="00F614F9" w:rsidRDefault="00000000" w:rsidP="00407C41">
      <w:pPr>
        <w:spacing w:line="276" w:lineRule="auto"/>
        <w:ind w:firstLineChars="200" w:firstLine="360"/>
        <w:divId w:val="505899359"/>
        <w:rPr>
          <w:rFonts w:ascii="Times New Roman" w:eastAsia="宋体" w:hAnsi="Times New Roman"/>
          <w:sz w:val="18"/>
          <w:szCs w:val="20"/>
        </w:rPr>
      </w:pPr>
      <w:r w:rsidRPr="00F614F9">
        <w:rPr>
          <w:rFonts w:ascii="Times New Roman" w:eastAsia="宋体" w:hAnsi="Times New Roman" w:hint="eastAsia"/>
          <w:sz w:val="18"/>
          <w:szCs w:val="20"/>
        </w:rPr>
        <w:t>重要公司商誉减值测试过程如下：</w:t>
      </w:r>
    </w:p>
    <w:p w14:paraId="4B48D5E4" w14:textId="77777777" w:rsidR="00872599" w:rsidRPr="00F614F9" w:rsidRDefault="00000000">
      <w:pPr>
        <w:pStyle w:val="16"/>
        <w:spacing w:line="460" w:lineRule="atLeast"/>
        <w:ind w:left="425" w:right="90"/>
        <w:jc w:val="right"/>
        <w:divId w:val="505899359"/>
        <w:rPr>
          <w:rFonts w:ascii="Times New Roman" w:hAnsi="Times New Roman"/>
          <w:sz w:val="18"/>
          <w:szCs w:val="18"/>
        </w:rPr>
      </w:pPr>
      <w:r w:rsidRPr="00F614F9">
        <w:rPr>
          <w:rFonts w:ascii="Times New Roman" w:hAnsi="Times New Roman" w:hint="eastAsia"/>
          <w:sz w:val="21"/>
          <w:szCs w:val="21"/>
        </w:rPr>
        <w:t>单位：万元</w:t>
      </w:r>
    </w:p>
    <w:tbl>
      <w:tblPr>
        <w:tblW w:w="5000" w:type="pct"/>
        <w:tblCellMar>
          <w:top w:w="15" w:type="dxa"/>
          <w:left w:w="15" w:type="dxa"/>
          <w:bottom w:w="15" w:type="dxa"/>
          <w:right w:w="15" w:type="dxa"/>
        </w:tblCellMar>
        <w:tblLook w:val="04A0" w:firstRow="1" w:lastRow="0" w:firstColumn="1" w:lastColumn="0" w:noHBand="0" w:noVBand="1"/>
      </w:tblPr>
      <w:tblGrid>
        <w:gridCol w:w="5318"/>
        <w:gridCol w:w="4299"/>
      </w:tblGrid>
      <w:tr w:rsidR="00872599" w:rsidRPr="00F614F9" w14:paraId="37FCDF19" w14:textId="77777777">
        <w:trPr>
          <w:divId w:val="505899359"/>
          <w:trHeight w:val="340"/>
        </w:trPr>
        <w:tc>
          <w:tcPr>
            <w:tcW w:w="2765" w:type="pct"/>
            <w:tcBorders>
              <w:top w:val="single" w:sz="8" w:space="0" w:color="auto"/>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44427208"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项目</w:t>
            </w:r>
          </w:p>
        </w:tc>
        <w:tc>
          <w:tcPr>
            <w:tcW w:w="2235" w:type="pct"/>
            <w:tcBorders>
              <w:top w:val="single" w:sz="8" w:space="0" w:color="auto"/>
              <w:left w:val="nil"/>
              <w:bottom w:val="single" w:sz="8" w:space="0" w:color="auto"/>
              <w:right w:val="single" w:sz="8" w:space="0" w:color="auto"/>
            </w:tcBorders>
            <w:noWrap/>
            <w:tcMar>
              <w:top w:w="0" w:type="dxa"/>
              <w:left w:w="0" w:type="dxa"/>
              <w:bottom w:w="0" w:type="dxa"/>
              <w:right w:w="0" w:type="dxa"/>
            </w:tcMar>
            <w:vAlign w:val="center"/>
            <w:hideMark/>
          </w:tcPr>
          <w:p w14:paraId="441D6D74" w14:textId="77777777" w:rsidR="00872599" w:rsidRPr="00F614F9" w:rsidRDefault="00000000" w:rsidP="00407C41">
            <w:pPr>
              <w:jc w:val="center"/>
              <w:rPr>
                <w:rFonts w:ascii="Times New Roman" w:eastAsia="宋体" w:hAnsi="Times New Roman"/>
                <w:sz w:val="18"/>
                <w:szCs w:val="20"/>
              </w:rPr>
            </w:pPr>
            <w:r w:rsidRPr="00F614F9">
              <w:rPr>
                <w:rFonts w:ascii="Times New Roman" w:eastAsia="宋体" w:hAnsi="Times New Roman" w:hint="eastAsia"/>
                <w:sz w:val="18"/>
                <w:szCs w:val="20"/>
              </w:rPr>
              <w:t>潍坊振</w:t>
            </w:r>
            <w:proofErr w:type="gramStart"/>
            <w:r w:rsidRPr="00F614F9">
              <w:rPr>
                <w:rFonts w:ascii="Times New Roman" w:eastAsia="宋体" w:hAnsi="Times New Roman" w:hint="eastAsia"/>
                <w:sz w:val="18"/>
                <w:szCs w:val="20"/>
              </w:rPr>
              <w:t>祥</w:t>
            </w:r>
            <w:proofErr w:type="gramEnd"/>
            <w:r w:rsidRPr="00F614F9">
              <w:rPr>
                <w:rFonts w:ascii="Times New Roman" w:eastAsia="宋体" w:hAnsi="Times New Roman" w:hint="eastAsia"/>
                <w:sz w:val="18"/>
                <w:szCs w:val="20"/>
              </w:rPr>
              <w:t>食品有限公司</w:t>
            </w:r>
          </w:p>
        </w:tc>
      </w:tr>
      <w:tr w:rsidR="00872599" w:rsidRPr="00F614F9" w14:paraId="00A0C7E1" w14:textId="77777777">
        <w:trPr>
          <w:divId w:val="505899359"/>
          <w:trHeight w:val="340"/>
        </w:trPr>
        <w:tc>
          <w:tcPr>
            <w:tcW w:w="2765" w:type="pct"/>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7B078165"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商誉账面余额①</w:t>
            </w:r>
          </w:p>
        </w:tc>
        <w:tc>
          <w:tcPr>
            <w:tcW w:w="2235" w:type="pct"/>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69FBEC2F" w14:textId="77777777" w:rsidR="00872599" w:rsidRPr="00F614F9" w:rsidRDefault="00000000" w:rsidP="00407C41">
            <w:pPr>
              <w:jc w:val="center"/>
              <w:rPr>
                <w:rFonts w:ascii="Times New Roman" w:eastAsia="宋体" w:hAnsi="Times New Roman" w:cs="Times New Roman"/>
                <w:sz w:val="18"/>
                <w:szCs w:val="20"/>
              </w:rPr>
            </w:pPr>
            <w:r w:rsidRPr="00F614F9">
              <w:rPr>
                <w:rFonts w:ascii="Times New Roman" w:eastAsia="宋体" w:hAnsi="Times New Roman" w:cs="Times New Roman"/>
                <w:sz w:val="18"/>
                <w:szCs w:val="20"/>
              </w:rPr>
              <w:t>5,982.37</w:t>
            </w:r>
          </w:p>
        </w:tc>
      </w:tr>
      <w:tr w:rsidR="00872599" w:rsidRPr="00F614F9" w14:paraId="22E8251D" w14:textId="77777777">
        <w:trPr>
          <w:divId w:val="505899359"/>
          <w:trHeight w:val="340"/>
        </w:trPr>
        <w:tc>
          <w:tcPr>
            <w:tcW w:w="2765" w:type="pct"/>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3320BF6E"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商誉减值准备余额②</w:t>
            </w:r>
          </w:p>
        </w:tc>
        <w:tc>
          <w:tcPr>
            <w:tcW w:w="2235" w:type="pct"/>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0A5CBDC0" w14:textId="77777777" w:rsidR="00872599" w:rsidRPr="00F614F9" w:rsidRDefault="00000000" w:rsidP="00407C41">
            <w:pPr>
              <w:jc w:val="center"/>
              <w:rPr>
                <w:rFonts w:ascii="Times New Roman" w:eastAsia="宋体" w:hAnsi="Times New Roman" w:cs="Times New Roman"/>
                <w:sz w:val="18"/>
                <w:szCs w:val="20"/>
              </w:rPr>
            </w:pPr>
            <w:r w:rsidRPr="00F614F9">
              <w:rPr>
                <w:rFonts w:ascii="Times New Roman" w:eastAsia="宋体" w:hAnsi="Times New Roman" w:cs="Times New Roman"/>
                <w:sz w:val="18"/>
                <w:szCs w:val="20"/>
              </w:rPr>
              <w:t>3,295.18</w:t>
            </w:r>
          </w:p>
        </w:tc>
      </w:tr>
      <w:tr w:rsidR="00872599" w:rsidRPr="00F614F9" w14:paraId="0C3B4681" w14:textId="77777777">
        <w:trPr>
          <w:divId w:val="505899359"/>
          <w:trHeight w:val="340"/>
        </w:trPr>
        <w:tc>
          <w:tcPr>
            <w:tcW w:w="2765" w:type="pct"/>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3EE487C3"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商誉的账面价值③</w:t>
            </w:r>
            <w:r w:rsidRPr="00F614F9">
              <w:rPr>
                <w:rFonts w:ascii="Times New Roman" w:eastAsia="宋体" w:hAnsi="Times New Roman" w:hint="eastAsia"/>
                <w:sz w:val="18"/>
                <w:szCs w:val="20"/>
              </w:rPr>
              <w:t>=</w:t>
            </w:r>
            <w:r w:rsidRPr="00F614F9">
              <w:rPr>
                <w:rFonts w:ascii="Times New Roman" w:eastAsia="宋体" w:hAnsi="Times New Roman" w:hint="eastAsia"/>
                <w:sz w:val="18"/>
                <w:szCs w:val="20"/>
              </w:rPr>
              <w:t>①</w:t>
            </w:r>
            <w:r w:rsidRPr="00F614F9">
              <w:rPr>
                <w:rFonts w:ascii="Times New Roman" w:eastAsia="宋体" w:hAnsi="Times New Roman" w:hint="eastAsia"/>
                <w:sz w:val="18"/>
                <w:szCs w:val="20"/>
              </w:rPr>
              <w:t>-</w:t>
            </w:r>
            <w:r w:rsidRPr="00F614F9">
              <w:rPr>
                <w:rFonts w:ascii="Times New Roman" w:eastAsia="宋体" w:hAnsi="Times New Roman" w:hint="eastAsia"/>
                <w:sz w:val="18"/>
                <w:szCs w:val="20"/>
              </w:rPr>
              <w:t>②</w:t>
            </w:r>
          </w:p>
        </w:tc>
        <w:tc>
          <w:tcPr>
            <w:tcW w:w="2235" w:type="pct"/>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60392B34" w14:textId="77777777" w:rsidR="00872599" w:rsidRPr="00F614F9" w:rsidRDefault="00000000" w:rsidP="00407C41">
            <w:pPr>
              <w:jc w:val="center"/>
              <w:rPr>
                <w:rFonts w:ascii="Times New Roman" w:eastAsia="宋体" w:hAnsi="Times New Roman" w:cs="Times New Roman"/>
                <w:sz w:val="18"/>
                <w:szCs w:val="20"/>
              </w:rPr>
            </w:pPr>
            <w:r w:rsidRPr="00F614F9">
              <w:rPr>
                <w:rFonts w:ascii="Times New Roman" w:eastAsia="宋体" w:hAnsi="Times New Roman" w:cs="Times New Roman"/>
                <w:sz w:val="18"/>
                <w:szCs w:val="20"/>
              </w:rPr>
              <w:t>2,687.19</w:t>
            </w:r>
          </w:p>
        </w:tc>
      </w:tr>
      <w:tr w:rsidR="00872599" w:rsidRPr="00F614F9" w14:paraId="71683DC1" w14:textId="77777777">
        <w:trPr>
          <w:divId w:val="505899359"/>
          <w:trHeight w:val="340"/>
        </w:trPr>
        <w:tc>
          <w:tcPr>
            <w:tcW w:w="2765" w:type="pct"/>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590C89D2"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未确认归属于少数股东权益的商誉价值④</w:t>
            </w:r>
          </w:p>
        </w:tc>
        <w:tc>
          <w:tcPr>
            <w:tcW w:w="2235" w:type="pct"/>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511017A7" w14:textId="77777777" w:rsidR="00872599" w:rsidRPr="00F614F9" w:rsidRDefault="00000000" w:rsidP="00407C41">
            <w:pPr>
              <w:jc w:val="center"/>
              <w:rPr>
                <w:rFonts w:ascii="Times New Roman" w:eastAsia="宋体" w:hAnsi="Times New Roman" w:cs="Times New Roman"/>
                <w:sz w:val="18"/>
                <w:szCs w:val="20"/>
              </w:rPr>
            </w:pPr>
            <w:r w:rsidRPr="00F614F9">
              <w:rPr>
                <w:rFonts w:ascii="Times New Roman" w:eastAsia="宋体" w:hAnsi="Times New Roman" w:cs="Times New Roman"/>
                <w:sz w:val="18"/>
                <w:szCs w:val="20"/>
              </w:rPr>
              <w:t>1,151.66</w:t>
            </w:r>
          </w:p>
        </w:tc>
      </w:tr>
      <w:tr w:rsidR="00872599" w:rsidRPr="00F614F9" w14:paraId="02CB5B3A" w14:textId="77777777">
        <w:trPr>
          <w:divId w:val="505899359"/>
          <w:trHeight w:val="340"/>
        </w:trPr>
        <w:tc>
          <w:tcPr>
            <w:tcW w:w="2765" w:type="pct"/>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4715F805"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包含未确认归属于少数股东权益的商誉价值⑤</w:t>
            </w:r>
            <w:r w:rsidRPr="00F614F9">
              <w:rPr>
                <w:rFonts w:ascii="Times New Roman" w:eastAsia="宋体" w:hAnsi="Times New Roman" w:hint="eastAsia"/>
                <w:sz w:val="18"/>
                <w:szCs w:val="20"/>
              </w:rPr>
              <w:t>=</w:t>
            </w:r>
            <w:r w:rsidRPr="00F614F9">
              <w:rPr>
                <w:rFonts w:ascii="Times New Roman" w:eastAsia="宋体" w:hAnsi="Times New Roman" w:hint="eastAsia"/>
                <w:sz w:val="18"/>
                <w:szCs w:val="20"/>
              </w:rPr>
              <w:t>④</w:t>
            </w:r>
            <w:r w:rsidRPr="00F614F9">
              <w:rPr>
                <w:rFonts w:ascii="Times New Roman" w:eastAsia="宋体" w:hAnsi="Times New Roman" w:hint="eastAsia"/>
                <w:sz w:val="18"/>
                <w:szCs w:val="20"/>
              </w:rPr>
              <w:t>+</w:t>
            </w:r>
            <w:r w:rsidRPr="00F614F9">
              <w:rPr>
                <w:rFonts w:ascii="Times New Roman" w:eastAsia="宋体" w:hAnsi="Times New Roman" w:hint="eastAsia"/>
                <w:sz w:val="18"/>
                <w:szCs w:val="20"/>
              </w:rPr>
              <w:t>③</w:t>
            </w:r>
          </w:p>
        </w:tc>
        <w:tc>
          <w:tcPr>
            <w:tcW w:w="2235" w:type="pct"/>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30D8A8AA" w14:textId="77777777" w:rsidR="00872599" w:rsidRPr="00F614F9" w:rsidRDefault="00000000" w:rsidP="00407C41">
            <w:pPr>
              <w:jc w:val="center"/>
              <w:rPr>
                <w:rFonts w:ascii="Times New Roman" w:eastAsia="宋体" w:hAnsi="Times New Roman" w:cs="Times New Roman"/>
                <w:sz w:val="18"/>
                <w:szCs w:val="20"/>
              </w:rPr>
            </w:pPr>
            <w:r w:rsidRPr="00F614F9">
              <w:rPr>
                <w:rFonts w:ascii="Times New Roman" w:eastAsia="宋体" w:hAnsi="Times New Roman" w:cs="Times New Roman"/>
                <w:sz w:val="18"/>
                <w:szCs w:val="20"/>
              </w:rPr>
              <w:t>3,838.85</w:t>
            </w:r>
          </w:p>
        </w:tc>
      </w:tr>
      <w:tr w:rsidR="00872599" w:rsidRPr="00F614F9" w14:paraId="5E531393" w14:textId="77777777">
        <w:trPr>
          <w:divId w:val="505899359"/>
          <w:trHeight w:val="340"/>
        </w:trPr>
        <w:tc>
          <w:tcPr>
            <w:tcW w:w="2765" w:type="pct"/>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4E776EE6"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资产组的账面价值⑥</w:t>
            </w:r>
          </w:p>
        </w:tc>
        <w:tc>
          <w:tcPr>
            <w:tcW w:w="2235" w:type="pct"/>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56E65B8D" w14:textId="77777777" w:rsidR="00872599" w:rsidRPr="00F614F9" w:rsidRDefault="00000000" w:rsidP="00407C41">
            <w:pPr>
              <w:jc w:val="center"/>
              <w:rPr>
                <w:rFonts w:ascii="Times New Roman" w:eastAsia="宋体" w:hAnsi="Times New Roman" w:cs="Times New Roman"/>
                <w:sz w:val="18"/>
                <w:szCs w:val="20"/>
              </w:rPr>
            </w:pPr>
            <w:r w:rsidRPr="00F614F9">
              <w:rPr>
                <w:rFonts w:ascii="Times New Roman" w:eastAsia="宋体" w:hAnsi="Times New Roman" w:cs="Times New Roman"/>
                <w:sz w:val="18"/>
                <w:szCs w:val="20"/>
              </w:rPr>
              <w:t>17,554.23</w:t>
            </w:r>
          </w:p>
        </w:tc>
      </w:tr>
      <w:tr w:rsidR="00872599" w:rsidRPr="00F614F9" w14:paraId="3BB4B7AA" w14:textId="77777777">
        <w:trPr>
          <w:divId w:val="505899359"/>
          <w:trHeight w:val="340"/>
        </w:trPr>
        <w:tc>
          <w:tcPr>
            <w:tcW w:w="2765" w:type="pct"/>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3422E910"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包含整体商誉的资产组的公允价值⑦</w:t>
            </w:r>
            <w:r w:rsidRPr="00F614F9">
              <w:rPr>
                <w:rFonts w:ascii="Times New Roman" w:eastAsia="宋体" w:hAnsi="Times New Roman" w:hint="eastAsia"/>
                <w:sz w:val="18"/>
                <w:szCs w:val="20"/>
              </w:rPr>
              <w:t>=</w:t>
            </w:r>
            <w:r w:rsidRPr="00F614F9">
              <w:rPr>
                <w:rFonts w:ascii="Times New Roman" w:eastAsia="宋体" w:hAnsi="Times New Roman" w:hint="eastAsia"/>
                <w:sz w:val="18"/>
                <w:szCs w:val="20"/>
              </w:rPr>
              <w:t>⑤</w:t>
            </w:r>
            <w:r w:rsidRPr="00F614F9">
              <w:rPr>
                <w:rFonts w:ascii="Times New Roman" w:eastAsia="宋体" w:hAnsi="Times New Roman" w:hint="eastAsia"/>
                <w:sz w:val="18"/>
                <w:szCs w:val="20"/>
              </w:rPr>
              <w:t>+</w:t>
            </w:r>
            <w:r w:rsidRPr="00F614F9">
              <w:rPr>
                <w:rFonts w:ascii="Times New Roman" w:eastAsia="宋体" w:hAnsi="Times New Roman" w:hint="eastAsia"/>
                <w:sz w:val="18"/>
                <w:szCs w:val="20"/>
              </w:rPr>
              <w:t>⑥</w:t>
            </w:r>
          </w:p>
        </w:tc>
        <w:tc>
          <w:tcPr>
            <w:tcW w:w="2235" w:type="pct"/>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3A53CB8D" w14:textId="77777777" w:rsidR="00872599" w:rsidRPr="00F614F9" w:rsidRDefault="00000000" w:rsidP="00407C41">
            <w:pPr>
              <w:jc w:val="center"/>
              <w:rPr>
                <w:rFonts w:ascii="Times New Roman" w:eastAsia="宋体" w:hAnsi="Times New Roman" w:cs="Times New Roman"/>
                <w:sz w:val="18"/>
                <w:szCs w:val="20"/>
              </w:rPr>
            </w:pPr>
            <w:r w:rsidRPr="00F614F9">
              <w:rPr>
                <w:rFonts w:ascii="Times New Roman" w:eastAsia="宋体" w:hAnsi="Times New Roman" w:cs="Times New Roman"/>
                <w:sz w:val="18"/>
                <w:szCs w:val="20"/>
              </w:rPr>
              <w:t>21,393.08</w:t>
            </w:r>
          </w:p>
        </w:tc>
      </w:tr>
      <w:tr w:rsidR="00872599" w:rsidRPr="00F614F9" w14:paraId="63B7576C" w14:textId="77777777">
        <w:trPr>
          <w:divId w:val="505899359"/>
          <w:trHeight w:val="340"/>
        </w:trPr>
        <w:tc>
          <w:tcPr>
            <w:tcW w:w="2765" w:type="pct"/>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1EF6CDA0"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资产组预计未来现金流量的现值（可回收金额）⑧</w:t>
            </w:r>
          </w:p>
        </w:tc>
        <w:tc>
          <w:tcPr>
            <w:tcW w:w="2235" w:type="pct"/>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7D3B36EF" w14:textId="77777777" w:rsidR="00872599" w:rsidRPr="00F614F9" w:rsidRDefault="00000000" w:rsidP="00407C41">
            <w:pPr>
              <w:jc w:val="center"/>
              <w:rPr>
                <w:rFonts w:ascii="Times New Roman" w:eastAsia="宋体" w:hAnsi="Times New Roman" w:cs="Times New Roman"/>
                <w:sz w:val="18"/>
                <w:szCs w:val="20"/>
              </w:rPr>
            </w:pPr>
            <w:r w:rsidRPr="00F614F9">
              <w:rPr>
                <w:rFonts w:ascii="Times New Roman" w:eastAsia="宋体" w:hAnsi="Times New Roman" w:cs="Times New Roman"/>
                <w:sz w:val="18"/>
                <w:szCs w:val="20"/>
              </w:rPr>
              <w:t>22,136.78</w:t>
            </w:r>
          </w:p>
        </w:tc>
      </w:tr>
      <w:tr w:rsidR="00872599" w:rsidRPr="00F614F9" w14:paraId="5F5E2EDD" w14:textId="77777777">
        <w:trPr>
          <w:divId w:val="505899359"/>
          <w:trHeight w:val="340"/>
        </w:trPr>
        <w:tc>
          <w:tcPr>
            <w:tcW w:w="2765" w:type="pct"/>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0BA1B9F5"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商誉减值损失（大于</w:t>
            </w:r>
            <w:r w:rsidRPr="00F614F9">
              <w:rPr>
                <w:rFonts w:ascii="Times New Roman" w:eastAsia="宋体" w:hAnsi="Times New Roman" w:hint="eastAsia"/>
                <w:sz w:val="18"/>
                <w:szCs w:val="20"/>
              </w:rPr>
              <w:t>0</w:t>
            </w:r>
            <w:r w:rsidRPr="00F614F9">
              <w:rPr>
                <w:rFonts w:ascii="Times New Roman" w:eastAsia="宋体" w:hAnsi="Times New Roman" w:hint="eastAsia"/>
                <w:sz w:val="18"/>
                <w:szCs w:val="20"/>
              </w:rPr>
              <w:t>时）⑨</w:t>
            </w:r>
            <w:r w:rsidRPr="00F614F9">
              <w:rPr>
                <w:rFonts w:ascii="Times New Roman" w:eastAsia="宋体" w:hAnsi="Times New Roman" w:hint="eastAsia"/>
                <w:sz w:val="18"/>
                <w:szCs w:val="20"/>
              </w:rPr>
              <w:t>=</w:t>
            </w:r>
            <w:r w:rsidRPr="00F614F9">
              <w:rPr>
                <w:rFonts w:ascii="Times New Roman" w:eastAsia="宋体" w:hAnsi="Times New Roman" w:hint="eastAsia"/>
                <w:sz w:val="18"/>
                <w:szCs w:val="20"/>
              </w:rPr>
              <w:t>⑦</w:t>
            </w:r>
            <w:r w:rsidRPr="00F614F9">
              <w:rPr>
                <w:rFonts w:ascii="Times New Roman" w:eastAsia="宋体" w:hAnsi="Times New Roman" w:hint="eastAsia"/>
                <w:sz w:val="18"/>
                <w:szCs w:val="20"/>
              </w:rPr>
              <w:t>-</w:t>
            </w:r>
            <w:r w:rsidRPr="00F614F9">
              <w:rPr>
                <w:rFonts w:ascii="Times New Roman" w:eastAsia="宋体" w:hAnsi="Times New Roman" w:hint="eastAsia"/>
                <w:sz w:val="18"/>
                <w:szCs w:val="20"/>
              </w:rPr>
              <w:t>⑧</w:t>
            </w:r>
          </w:p>
        </w:tc>
        <w:tc>
          <w:tcPr>
            <w:tcW w:w="2235" w:type="pct"/>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566798CF" w14:textId="77777777" w:rsidR="00872599" w:rsidRPr="00F614F9" w:rsidRDefault="00872599" w:rsidP="00407C41">
            <w:pPr>
              <w:jc w:val="center"/>
              <w:rPr>
                <w:rFonts w:ascii="Times New Roman" w:eastAsia="宋体" w:hAnsi="Times New Roman" w:cs="Times New Roman"/>
                <w:sz w:val="18"/>
                <w:szCs w:val="20"/>
              </w:rPr>
            </w:pPr>
          </w:p>
        </w:tc>
      </w:tr>
      <w:tr w:rsidR="00872599" w:rsidRPr="00F614F9" w14:paraId="430D1F46" w14:textId="77777777">
        <w:trPr>
          <w:divId w:val="505899359"/>
          <w:trHeight w:val="340"/>
        </w:trPr>
        <w:tc>
          <w:tcPr>
            <w:tcW w:w="2765" w:type="pct"/>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3B38C32E"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商誉产生时的持股比例⑩</w:t>
            </w:r>
          </w:p>
        </w:tc>
        <w:tc>
          <w:tcPr>
            <w:tcW w:w="2235" w:type="pct"/>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0BA48EF6" w14:textId="77777777" w:rsidR="00872599" w:rsidRPr="00F614F9" w:rsidRDefault="00000000" w:rsidP="00407C41">
            <w:pPr>
              <w:jc w:val="center"/>
              <w:rPr>
                <w:rFonts w:ascii="Times New Roman" w:eastAsia="宋体" w:hAnsi="Times New Roman" w:cs="Times New Roman"/>
                <w:sz w:val="18"/>
                <w:szCs w:val="20"/>
              </w:rPr>
            </w:pPr>
            <w:r w:rsidRPr="00F614F9">
              <w:rPr>
                <w:rFonts w:ascii="Times New Roman" w:eastAsia="宋体" w:hAnsi="Times New Roman" w:cs="Times New Roman"/>
                <w:sz w:val="18"/>
                <w:szCs w:val="20"/>
              </w:rPr>
              <w:t>70%</w:t>
            </w:r>
          </w:p>
        </w:tc>
      </w:tr>
      <w:tr w:rsidR="00872599" w:rsidRPr="00F614F9" w14:paraId="42B41957" w14:textId="77777777">
        <w:trPr>
          <w:divId w:val="505899359"/>
          <w:trHeight w:val="340"/>
        </w:trPr>
        <w:tc>
          <w:tcPr>
            <w:tcW w:w="2765" w:type="pct"/>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6975AB33"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应由本集团确认的商誉减值损失</w:t>
            </w:r>
            <w:r w:rsidRPr="00F614F9">
              <w:rPr>
                <w:rFonts w:ascii="Cambria Math" w:eastAsia="宋体" w:hAnsi="Cambria Math" w:cs="Cambria Math"/>
                <w:sz w:val="18"/>
                <w:szCs w:val="20"/>
              </w:rPr>
              <w:t>⑪</w:t>
            </w:r>
            <w:r w:rsidRPr="00F614F9">
              <w:rPr>
                <w:rFonts w:ascii="Times New Roman" w:eastAsia="宋体" w:hAnsi="Times New Roman" w:hint="eastAsia"/>
                <w:sz w:val="18"/>
                <w:szCs w:val="20"/>
              </w:rPr>
              <w:t>=</w:t>
            </w:r>
            <w:r w:rsidRPr="00F614F9">
              <w:rPr>
                <w:rFonts w:ascii="Times New Roman" w:eastAsia="宋体" w:hAnsi="Times New Roman" w:hint="eastAsia"/>
                <w:sz w:val="18"/>
                <w:szCs w:val="20"/>
              </w:rPr>
              <w:t>⑨×⑩</w:t>
            </w:r>
          </w:p>
        </w:tc>
        <w:tc>
          <w:tcPr>
            <w:tcW w:w="2235" w:type="pct"/>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6235BD82" w14:textId="77777777" w:rsidR="00872599" w:rsidRPr="00F614F9" w:rsidRDefault="00872599" w:rsidP="00407C41">
            <w:pPr>
              <w:jc w:val="center"/>
              <w:rPr>
                <w:rFonts w:ascii="Times New Roman" w:eastAsia="宋体" w:hAnsi="Times New Roman" w:cs="Times New Roman"/>
                <w:sz w:val="18"/>
                <w:szCs w:val="20"/>
              </w:rPr>
            </w:pPr>
          </w:p>
        </w:tc>
      </w:tr>
    </w:tbl>
    <w:p w14:paraId="123CF4C7" w14:textId="77777777" w:rsidR="00872599" w:rsidRPr="00F614F9" w:rsidRDefault="00000000" w:rsidP="00407C41">
      <w:pPr>
        <w:spacing w:line="276" w:lineRule="auto"/>
        <w:ind w:firstLineChars="200" w:firstLine="360"/>
        <w:divId w:val="505899359"/>
        <w:rPr>
          <w:rFonts w:ascii="Times New Roman" w:eastAsia="宋体" w:hAnsi="Times New Roman"/>
          <w:sz w:val="18"/>
          <w:szCs w:val="20"/>
        </w:rPr>
      </w:pPr>
      <w:r w:rsidRPr="00F614F9">
        <w:rPr>
          <w:rFonts w:ascii="Times New Roman" w:eastAsia="宋体" w:hAnsi="Times New Roman" w:hint="eastAsia"/>
          <w:sz w:val="18"/>
          <w:szCs w:val="20"/>
        </w:rPr>
        <w:t>上述资产组预计未来现金流量的现值（可收回金额）利用了深圳中科华资产评估有限公司于</w:t>
      </w:r>
      <w:r w:rsidRPr="00F614F9">
        <w:rPr>
          <w:rFonts w:ascii="Times New Roman" w:eastAsia="宋体" w:hAnsi="Times New Roman" w:hint="eastAsia"/>
          <w:sz w:val="18"/>
          <w:szCs w:val="20"/>
        </w:rPr>
        <w:t>2024</w:t>
      </w:r>
      <w:r w:rsidRPr="00F614F9">
        <w:rPr>
          <w:rFonts w:ascii="Times New Roman" w:eastAsia="宋体" w:hAnsi="Times New Roman" w:hint="eastAsia"/>
          <w:sz w:val="18"/>
          <w:szCs w:val="20"/>
        </w:rPr>
        <w:t>年</w:t>
      </w:r>
      <w:r w:rsidRPr="00F614F9">
        <w:rPr>
          <w:rFonts w:ascii="Times New Roman" w:eastAsia="宋体" w:hAnsi="Times New Roman" w:hint="eastAsia"/>
          <w:sz w:val="18"/>
          <w:szCs w:val="20"/>
        </w:rPr>
        <w:t>3</w:t>
      </w:r>
      <w:r w:rsidRPr="00F614F9">
        <w:rPr>
          <w:rFonts w:ascii="Times New Roman" w:eastAsia="宋体" w:hAnsi="Times New Roman" w:hint="eastAsia"/>
          <w:sz w:val="18"/>
          <w:szCs w:val="20"/>
        </w:rPr>
        <w:t>月</w:t>
      </w:r>
      <w:r w:rsidRPr="00F614F9">
        <w:rPr>
          <w:rFonts w:ascii="Times New Roman" w:eastAsia="宋体" w:hAnsi="Times New Roman" w:hint="eastAsia"/>
          <w:sz w:val="18"/>
          <w:szCs w:val="20"/>
        </w:rPr>
        <w:t>25</w:t>
      </w:r>
      <w:r w:rsidRPr="00F614F9">
        <w:rPr>
          <w:rFonts w:ascii="Times New Roman" w:eastAsia="宋体" w:hAnsi="Times New Roman" w:hint="eastAsia"/>
          <w:sz w:val="18"/>
          <w:szCs w:val="20"/>
        </w:rPr>
        <w:t>日出具的深中科华评报字</w:t>
      </w:r>
      <w:r w:rsidRPr="00F614F9">
        <w:rPr>
          <w:rFonts w:ascii="Times New Roman" w:eastAsia="宋体" w:hAnsi="Times New Roman" w:hint="eastAsia"/>
          <w:sz w:val="18"/>
          <w:szCs w:val="20"/>
        </w:rPr>
        <w:t>[2024]</w:t>
      </w:r>
      <w:r w:rsidRPr="00F614F9">
        <w:rPr>
          <w:rFonts w:ascii="Times New Roman" w:eastAsia="宋体" w:hAnsi="Times New Roman" w:hint="eastAsia"/>
          <w:sz w:val="18"/>
          <w:szCs w:val="20"/>
        </w:rPr>
        <w:t>第</w:t>
      </w:r>
      <w:r w:rsidRPr="00F614F9">
        <w:rPr>
          <w:rFonts w:ascii="Times New Roman" w:eastAsia="宋体" w:hAnsi="Times New Roman" w:hint="eastAsia"/>
          <w:sz w:val="18"/>
          <w:szCs w:val="20"/>
        </w:rPr>
        <w:t>029</w:t>
      </w:r>
      <w:r w:rsidRPr="00F614F9">
        <w:rPr>
          <w:rFonts w:ascii="Times New Roman" w:eastAsia="宋体" w:hAnsi="Times New Roman" w:hint="eastAsia"/>
          <w:sz w:val="18"/>
          <w:szCs w:val="20"/>
        </w:rPr>
        <w:t>号《山东龙大美食股份有限公司因商誉减值测试所涉及的潍坊振祥食品有限公司包含商誉的资产组可收回金额评估项目资产评估报告》的评估结果。</w:t>
      </w:r>
    </w:p>
    <w:p w14:paraId="4787256C" w14:textId="77777777" w:rsidR="00872599" w:rsidRPr="00F614F9" w:rsidRDefault="00000000" w:rsidP="00407C41">
      <w:pPr>
        <w:spacing w:line="276" w:lineRule="auto"/>
        <w:ind w:firstLineChars="200" w:firstLine="360"/>
        <w:divId w:val="505899359"/>
        <w:rPr>
          <w:rFonts w:ascii="Times New Roman" w:eastAsia="宋体" w:hAnsi="Times New Roman"/>
          <w:sz w:val="18"/>
          <w:szCs w:val="20"/>
        </w:rPr>
      </w:pPr>
      <w:r w:rsidRPr="00F614F9">
        <w:rPr>
          <w:rFonts w:ascii="Times New Roman" w:eastAsia="宋体" w:hAnsi="Times New Roman" w:hint="eastAsia"/>
          <w:sz w:val="18"/>
          <w:szCs w:val="20"/>
        </w:rPr>
        <w:t>重要假设及依据：</w:t>
      </w:r>
    </w:p>
    <w:p w14:paraId="26B383BE" w14:textId="77777777" w:rsidR="00872599" w:rsidRPr="00F614F9" w:rsidRDefault="00000000" w:rsidP="00407C41">
      <w:pPr>
        <w:spacing w:line="276" w:lineRule="auto"/>
        <w:ind w:firstLineChars="200" w:firstLine="360"/>
        <w:divId w:val="505899359"/>
        <w:rPr>
          <w:rFonts w:ascii="Times New Roman" w:eastAsia="宋体" w:hAnsi="Times New Roman"/>
          <w:sz w:val="18"/>
          <w:szCs w:val="20"/>
        </w:rPr>
      </w:pPr>
      <w:r w:rsidRPr="00F614F9">
        <w:rPr>
          <w:rFonts w:ascii="Times New Roman" w:eastAsia="宋体" w:hAnsi="Times New Roman" w:hint="eastAsia"/>
          <w:sz w:val="18"/>
          <w:szCs w:val="20"/>
        </w:rPr>
        <w:t>交易假设：假定所有待评估资产已经处在交易过程中，评估师根据待评估资产的交易条件等模拟市场进行估价。</w:t>
      </w:r>
    </w:p>
    <w:p w14:paraId="4FD1CBE4" w14:textId="77777777" w:rsidR="00872599" w:rsidRPr="00F614F9" w:rsidRDefault="00000000" w:rsidP="00407C41">
      <w:pPr>
        <w:spacing w:line="276" w:lineRule="auto"/>
        <w:ind w:firstLineChars="200" w:firstLine="360"/>
        <w:divId w:val="505899359"/>
        <w:rPr>
          <w:rFonts w:ascii="Times New Roman" w:eastAsia="宋体" w:hAnsi="Times New Roman"/>
          <w:sz w:val="18"/>
          <w:szCs w:val="20"/>
        </w:rPr>
      </w:pPr>
      <w:r w:rsidRPr="00F614F9">
        <w:rPr>
          <w:rFonts w:ascii="Times New Roman" w:eastAsia="宋体" w:hAnsi="Times New Roman" w:hint="eastAsia"/>
          <w:sz w:val="18"/>
          <w:szCs w:val="20"/>
        </w:rPr>
        <w:t>公开市场假设：公开市场假设是对资产拟进入的市场的条件以及资产在这样的市场条件下接受何种影响的一种假定。公开市场是指充分发达与完善的市场条件，是指一个有自愿的买方和卖方的竞争性市场，在这个市场上，买方和卖方的地位平等，都有获取足够市场信息的机会和时间，买卖双方的交易都是在自愿的、理智的、非强制性或不受限制的条件下进行。</w:t>
      </w:r>
    </w:p>
    <w:p w14:paraId="3E87C8B0" w14:textId="77777777" w:rsidR="00872599" w:rsidRPr="00F614F9" w:rsidRDefault="00000000" w:rsidP="00407C41">
      <w:pPr>
        <w:spacing w:line="276" w:lineRule="auto"/>
        <w:ind w:firstLineChars="200" w:firstLine="360"/>
        <w:divId w:val="505899359"/>
        <w:rPr>
          <w:rFonts w:ascii="Times New Roman" w:eastAsia="宋体" w:hAnsi="Times New Roman"/>
          <w:sz w:val="18"/>
          <w:szCs w:val="20"/>
        </w:rPr>
      </w:pPr>
      <w:r w:rsidRPr="00F614F9">
        <w:rPr>
          <w:rFonts w:ascii="Times New Roman" w:eastAsia="宋体" w:hAnsi="Times New Roman" w:hint="eastAsia"/>
          <w:sz w:val="18"/>
          <w:szCs w:val="20"/>
        </w:rPr>
        <w:t>持续使用假设：持续使用假设是对资产拟进入市场的条件以及资产在这样的市场条件下的资产状态的一种假定。首先被评估资产正处于使用状态，其次假定处于使用状态的资产还将继续使用下去。在持续使用假设条件下，没有考虑资产用途转换或者</w:t>
      </w:r>
      <w:proofErr w:type="gramStart"/>
      <w:r w:rsidRPr="00F614F9">
        <w:rPr>
          <w:rFonts w:ascii="Times New Roman" w:eastAsia="宋体" w:hAnsi="Times New Roman" w:hint="eastAsia"/>
          <w:sz w:val="18"/>
          <w:szCs w:val="20"/>
        </w:rPr>
        <w:t>最佳利用</w:t>
      </w:r>
      <w:proofErr w:type="gramEnd"/>
      <w:r w:rsidRPr="00F614F9">
        <w:rPr>
          <w:rFonts w:ascii="Times New Roman" w:eastAsia="宋体" w:hAnsi="Times New Roman" w:hint="eastAsia"/>
          <w:sz w:val="18"/>
          <w:szCs w:val="20"/>
        </w:rPr>
        <w:t>条件，其评估结果的使用范围受到限制。</w:t>
      </w:r>
    </w:p>
    <w:p w14:paraId="7A2AE020" w14:textId="77777777" w:rsidR="00872599" w:rsidRPr="00F614F9" w:rsidRDefault="00000000" w:rsidP="00407C41">
      <w:pPr>
        <w:spacing w:line="276" w:lineRule="auto"/>
        <w:ind w:firstLineChars="200" w:firstLine="360"/>
        <w:divId w:val="505899359"/>
        <w:rPr>
          <w:rFonts w:ascii="Times New Roman" w:eastAsia="宋体" w:hAnsi="Times New Roman"/>
          <w:sz w:val="18"/>
          <w:szCs w:val="20"/>
        </w:rPr>
      </w:pPr>
      <w:r w:rsidRPr="00F614F9">
        <w:rPr>
          <w:rFonts w:ascii="Times New Roman" w:eastAsia="宋体" w:hAnsi="Times New Roman" w:hint="eastAsia"/>
          <w:sz w:val="18"/>
          <w:szCs w:val="20"/>
        </w:rPr>
        <w:t>本次评估假设评估基准日后国家宏观经济政策和外部经济环境无重大变化。</w:t>
      </w:r>
    </w:p>
    <w:p w14:paraId="59E523CF" w14:textId="77777777" w:rsidR="00872599" w:rsidRPr="00F614F9" w:rsidRDefault="00000000" w:rsidP="00407C41">
      <w:pPr>
        <w:spacing w:line="276" w:lineRule="auto"/>
        <w:ind w:firstLineChars="200" w:firstLine="360"/>
        <w:divId w:val="505899359"/>
        <w:rPr>
          <w:rFonts w:ascii="Times New Roman" w:eastAsia="宋体" w:hAnsi="Times New Roman"/>
          <w:sz w:val="18"/>
          <w:szCs w:val="20"/>
        </w:rPr>
      </w:pPr>
      <w:r w:rsidRPr="00F614F9">
        <w:rPr>
          <w:rFonts w:ascii="Times New Roman" w:eastAsia="宋体" w:hAnsi="Times New Roman" w:hint="eastAsia"/>
          <w:sz w:val="18"/>
          <w:szCs w:val="20"/>
        </w:rPr>
        <w:t>假设产权持有人管理层称职地对有关资产实行了有效的管理，本次经济行为的相关当事方没有任何违反国家法律、法规的行为。</w:t>
      </w:r>
    </w:p>
    <w:p w14:paraId="469BA386" w14:textId="77777777" w:rsidR="00872599" w:rsidRPr="00F614F9" w:rsidRDefault="00872599" w:rsidP="00407C41">
      <w:pPr>
        <w:spacing w:line="276" w:lineRule="auto"/>
        <w:ind w:firstLineChars="200" w:firstLine="360"/>
        <w:divId w:val="505899359"/>
        <w:rPr>
          <w:rFonts w:ascii="Times New Roman" w:eastAsia="宋体" w:hAnsi="Times New Roman"/>
          <w:sz w:val="18"/>
          <w:szCs w:val="20"/>
        </w:rPr>
      </w:pPr>
    </w:p>
    <w:p w14:paraId="5BDD3806" w14:textId="77777777" w:rsidR="00872599" w:rsidRPr="00F614F9" w:rsidRDefault="00000000" w:rsidP="00407C41">
      <w:pPr>
        <w:spacing w:line="276" w:lineRule="auto"/>
        <w:ind w:firstLineChars="200" w:firstLine="360"/>
        <w:divId w:val="505899359"/>
        <w:rPr>
          <w:rFonts w:ascii="Times New Roman" w:eastAsia="宋体" w:hAnsi="Times New Roman"/>
          <w:sz w:val="18"/>
          <w:szCs w:val="20"/>
        </w:rPr>
      </w:pPr>
      <w:r w:rsidRPr="00F614F9">
        <w:rPr>
          <w:rFonts w:ascii="Times New Roman" w:eastAsia="宋体" w:hAnsi="Times New Roman" w:hint="eastAsia"/>
          <w:sz w:val="18"/>
          <w:szCs w:val="20"/>
        </w:rPr>
        <w:lastRenderedPageBreak/>
        <w:t>关键参数：</w:t>
      </w:r>
    </w:p>
    <w:tbl>
      <w:tblPr>
        <w:tblW w:w="0" w:type="auto"/>
        <w:jc w:val="center"/>
        <w:tblCellMar>
          <w:top w:w="15" w:type="dxa"/>
          <w:left w:w="15" w:type="dxa"/>
          <w:bottom w:w="15" w:type="dxa"/>
          <w:right w:w="15" w:type="dxa"/>
        </w:tblCellMar>
        <w:tblLook w:val="04A0" w:firstRow="1" w:lastRow="0" w:firstColumn="1" w:lastColumn="0" w:noHBand="0" w:noVBand="1"/>
      </w:tblPr>
      <w:tblGrid>
        <w:gridCol w:w="1385"/>
        <w:gridCol w:w="1385"/>
        <w:gridCol w:w="1058"/>
        <w:gridCol w:w="992"/>
        <w:gridCol w:w="1701"/>
        <w:gridCol w:w="2683"/>
      </w:tblGrid>
      <w:tr w:rsidR="00872599" w:rsidRPr="00F614F9" w14:paraId="1D482453" w14:textId="77777777" w:rsidTr="00407C41">
        <w:trPr>
          <w:divId w:val="505899359"/>
          <w:trHeight w:val="610"/>
          <w:jc w:val="center"/>
        </w:trPr>
        <w:tc>
          <w:tcPr>
            <w:tcW w:w="1385"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0BB310B" w14:textId="77777777" w:rsidR="00872599" w:rsidRPr="00F614F9" w:rsidRDefault="00000000" w:rsidP="00407C41">
            <w:pPr>
              <w:jc w:val="center"/>
              <w:rPr>
                <w:rFonts w:ascii="Times New Roman" w:eastAsia="宋体" w:hAnsi="Times New Roman"/>
                <w:sz w:val="18"/>
                <w:szCs w:val="20"/>
              </w:rPr>
            </w:pPr>
            <w:r w:rsidRPr="00F614F9">
              <w:rPr>
                <w:rFonts w:ascii="Times New Roman" w:eastAsia="宋体" w:hAnsi="Times New Roman" w:hint="eastAsia"/>
                <w:sz w:val="18"/>
                <w:szCs w:val="20"/>
              </w:rPr>
              <w:t>项目</w:t>
            </w:r>
          </w:p>
        </w:tc>
        <w:tc>
          <w:tcPr>
            <w:tcW w:w="138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38555E4B" w14:textId="77777777" w:rsidR="00872599" w:rsidRPr="00F614F9" w:rsidRDefault="00000000" w:rsidP="00407C41">
            <w:pPr>
              <w:jc w:val="center"/>
              <w:rPr>
                <w:rFonts w:ascii="Times New Roman" w:eastAsia="宋体" w:hAnsi="Times New Roman"/>
                <w:sz w:val="18"/>
                <w:szCs w:val="20"/>
              </w:rPr>
            </w:pPr>
            <w:r w:rsidRPr="00F614F9">
              <w:rPr>
                <w:rFonts w:ascii="Times New Roman" w:eastAsia="宋体" w:hAnsi="Times New Roman" w:hint="eastAsia"/>
                <w:sz w:val="18"/>
                <w:szCs w:val="20"/>
              </w:rPr>
              <w:t>预测期</w:t>
            </w:r>
          </w:p>
        </w:tc>
        <w:tc>
          <w:tcPr>
            <w:tcW w:w="1058"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3E0F4148" w14:textId="77777777" w:rsidR="00872599" w:rsidRPr="00F614F9" w:rsidRDefault="00000000" w:rsidP="00407C41">
            <w:pPr>
              <w:jc w:val="center"/>
              <w:rPr>
                <w:rFonts w:ascii="Times New Roman" w:eastAsia="宋体" w:hAnsi="Times New Roman"/>
                <w:sz w:val="18"/>
                <w:szCs w:val="20"/>
              </w:rPr>
            </w:pPr>
            <w:r w:rsidRPr="00F614F9">
              <w:rPr>
                <w:rFonts w:ascii="Times New Roman" w:eastAsia="宋体" w:hAnsi="Times New Roman" w:hint="eastAsia"/>
                <w:sz w:val="18"/>
                <w:szCs w:val="20"/>
              </w:rPr>
              <w:t>预测期增长率</w:t>
            </w:r>
          </w:p>
        </w:tc>
        <w:tc>
          <w:tcPr>
            <w:tcW w:w="992"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6A483F6B" w14:textId="77777777" w:rsidR="00872599" w:rsidRPr="00F614F9" w:rsidRDefault="00000000" w:rsidP="00407C41">
            <w:pPr>
              <w:jc w:val="center"/>
              <w:rPr>
                <w:rFonts w:ascii="Times New Roman" w:eastAsia="宋体" w:hAnsi="Times New Roman"/>
                <w:sz w:val="18"/>
                <w:szCs w:val="20"/>
              </w:rPr>
            </w:pPr>
            <w:r w:rsidRPr="00F614F9">
              <w:rPr>
                <w:rFonts w:ascii="Times New Roman" w:eastAsia="宋体" w:hAnsi="Times New Roman" w:hint="eastAsia"/>
                <w:sz w:val="18"/>
                <w:szCs w:val="20"/>
              </w:rPr>
              <w:t>稳定期增长率</w:t>
            </w:r>
          </w:p>
        </w:tc>
        <w:tc>
          <w:tcPr>
            <w:tcW w:w="1701" w:type="dxa"/>
            <w:tcBorders>
              <w:top w:val="single" w:sz="8" w:space="0" w:color="auto"/>
              <w:left w:val="nil"/>
              <w:bottom w:val="single" w:sz="8" w:space="0" w:color="auto"/>
              <w:right w:val="single" w:sz="8" w:space="0" w:color="auto"/>
            </w:tcBorders>
            <w:noWrap/>
            <w:tcMar>
              <w:top w:w="0" w:type="dxa"/>
              <w:left w:w="0" w:type="dxa"/>
              <w:bottom w:w="0" w:type="dxa"/>
              <w:right w:w="0" w:type="dxa"/>
            </w:tcMar>
            <w:vAlign w:val="center"/>
            <w:hideMark/>
          </w:tcPr>
          <w:p w14:paraId="70B5EB06" w14:textId="77777777" w:rsidR="00872599" w:rsidRPr="00F614F9" w:rsidRDefault="00000000" w:rsidP="00407C41">
            <w:pPr>
              <w:jc w:val="center"/>
              <w:rPr>
                <w:rFonts w:ascii="Times New Roman" w:eastAsia="宋体" w:hAnsi="Times New Roman"/>
                <w:sz w:val="18"/>
                <w:szCs w:val="20"/>
              </w:rPr>
            </w:pPr>
            <w:r w:rsidRPr="00F614F9">
              <w:rPr>
                <w:rFonts w:ascii="Times New Roman" w:eastAsia="宋体" w:hAnsi="Times New Roman" w:hint="eastAsia"/>
                <w:sz w:val="18"/>
                <w:szCs w:val="20"/>
              </w:rPr>
              <w:t>利润率</w:t>
            </w:r>
          </w:p>
        </w:tc>
        <w:tc>
          <w:tcPr>
            <w:tcW w:w="2683" w:type="dxa"/>
            <w:tcBorders>
              <w:top w:val="single" w:sz="8" w:space="0" w:color="auto"/>
              <w:left w:val="nil"/>
              <w:bottom w:val="single" w:sz="8" w:space="0" w:color="auto"/>
              <w:right w:val="single" w:sz="8" w:space="0" w:color="auto"/>
            </w:tcBorders>
            <w:noWrap/>
            <w:tcMar>
              <w:top w:w="0" w:type="dxa"/>
              <w:left w:w="0" w:type="dxa"/>
              <w:bottom w:w="0" w:type="dxa"/>
              <w:right w:w="0" w:type="dxa"/>
            </w:tcMar>
            <w:vAlign w:val="center"/>
            <w:hideMark/>
          </w:tcPr>
          <w:p w14:paraId="0E062863" w14:textId="77777777" w:rsidR="00872599" w:rsidRPr="00F614F9" w:rsidRDefault="00000000" w:rsidP="00407C41">
            <w:pPr>
              <w:jc w:val="center"/>
              <w:rPr>
                <w:rFonts w:ascii="Times New Roman" w:eastAsia="宋体" w:hAnsi="Times New Roman"/>
                <w:sz w:val="18"/>
                <w:szCs w:val="20"/>
              </w:rPr>
            </w:pPr>
            <w:r w:rsidRPr="00F614F9">
              <w:rPr>
                <w:rFonts w:ascii="Times New Roman" w:eastAsia="宋体" w:hAnsi="Times New Roman" w:hint="eastAsia"/>
                <w:sz w:val="18"/>
                <w:szCs w:val="20"/>
              </w:rPr>
              <w:t>税前折现率（加权平均资本成本</w:t>
            </w:r>
            <w:r w:rsidRPr="00F614F9">
              <w:rPr>
                <w:rFonts w:ascii="Times New Roman" w:eastAsia="宋体" w:hAnsi="Times New Roman" w:hint="eastAsia"/>
                <w:sz w:val="18"/>
                <w:szCs w:val="20"/>
              </w:rPr>
              <w:t>WACC</w:t>
            </w:r>
            <w:r w:rsidRPr="00F614F9">
              <w:rPr>
                <w:rFonts w:ascii="Times New Roman" w:eastAsia="宋体" w:hAnsi="Times New Roman" w:hint="eastAsia"/>
                <w:sz w:val="18"/>
                <w:szCs w:val="20"/>
              </w:rPr>
              <w:t>）</w:t>
            </w:r>
          </w:p>
        </w:tc>
      </w:tr>
      <w:tr w:rsidR="00872599" w:rsidRPr="00F614F9" w14:paraId="2A368C74" w14:textId="77777777" w:rsidTr="00407C41">
        <w:trPr>
          <w:divId w:val="505899359"/>
          <w:trHeight w:val="340"/>
          <w:jc w:val="center"/>
        </w:trPr>
        <w:tc>
          <w:tcPr>
            <w:tcW w:w="1385"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73A64D21" w14:textId="77777777" w:rsidR="00872599" w:rsidRPr="00F614F9" w:rsidRDefault="00000000" w:rsidP="00407C41">
            <w:pPr>
              <w:jc w:val="center"/>
              <w:rPr>
                <w:rFonts w:ascii="Times New Roman" w:eastAsia="宋体" w:hAnsi="Times New Roman"/>
                <w:sz w:val="18"/>
                <w:szCs w:val="20"/>
              </w:rPr>
            </w:pPr>
            <w:r w:rsidRPr="00F614F9">
              <w:rPr>
                <w:rFonts w:ascii="Times New Roman" w:eastAsia="宋体" w:hAnsi="Times New Roman" w:hint="eastAsia"/>
                <w:sz w:val="18"/>
                <w:szCs w:val="20"/>
              </w:rPr>
              <w:t>潍坊振</w:t>
            </w:r>
            <w:proofErr w:type="gramStart"/>
            <w:r w:rsidRPr="00F614F9">
              <w:rPr>
                <w:rFonts w:ascii="Times New Roman" w:eastAsia="宋体" w:hAnsi="Times New Roman" w:hint="eastAsia"/>
                <w:sz w:val="18"/>
                <w:szCs w:val="20"/>
              </w:rPr>
              <w:t>祥</w:t>
            </w:r>
            <w:proofErr w:type="gramEnd"/>
            <w:r w:rsidRPr="00F614F9">
              <w:rPr>
                <w:rFonts w:ascii="Times New Roman" w:eastAsia="宋体" w:hAnsi="Times New Roman" w:hint="eastAsia"/>
                <w:sz w:val="18"/>
                <w:szCs w:val="20"/>
              </w:rPr>
              <w:t>食品有限公司</w:t>
            </w:r>
          </w:p>
        </w:tc>
        <w:tc>
          <w:tcPr>
            <w:tcW w:w="138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DE9E80B" w14:textId="77777777" w:rsidR="00872599" w:rsidRPr="00F614F9" w:rsidRDefault="00000000" w:rsidP="00407C41">
            <w:pPr>
              <w:jc w:val="center"/>
              <w:rPr>
                <w:rFonts w:ascii="Times New Roman" w:eastAsia="宋体" w:hAnsi="Times New Roman"/>
                <w:sz w:val="18"/>
                <w:szCs w:val="20"/>
              </w:rPr>
            </w:pPr>
            <w:r w:rsidRPr="00F614F9">
              <w:rPr>
                <w:rFonts w:ascii="Times New Roman" w:eastAsia="宋体" w:hAnsi="Times New Roman" w:hint="eastAsia"/>
                <w:sz w:val="18"/>
                <w:szCs w:val="20"/>
              </w:rPr>
              <w:t>2024-2028</w:t>
            </w:r>
            <w:r w:rsidRPr="00F614F9">
              <w:rPr>
                <w:rFonts w:ascii="Times New Roman" w:eastAsia="宋体" w:hAnsi="Times New Roman" w:hint="eastAsia"/>
                <w:sz w:val="18"/>
                <w:szCs w:val="20"/>
              </w:rPr>
              <w:t>年</w:t>
            </w:r>
          </w:p>
          <w:p w14:paraId="2177CDFB" w14:textId="77777777" w:rsidR="00872599" w:rsidRPr="00F614F9" w:rsidRDefault="00000000" w:rsidP="00407C41">
            <w:pPr>
              <w:jc w:val="center"/>
              <w:rPr>
                <w:rFonts w:ascii="Times New Roman" w:eastAsia="宋体" w:hAnsi="Times New Roman"/>
                <w:sz w:val="18"/>
                <w:szCs w:val="20"/>
              </w:rPr>
            </w:pPr>
            <w:r w:rsidRPr="00F614F9">
              <w:rPr>
                <w:rFonts w:ascii="Times New Roman" w:eastAsia="宋体" w:hAnsi="Times New Roman" w:hint="eastAsia"/>
                <w:sz w:val="18"/>
                <w:szCs w:val="20"/>
              </w:rPr>
              <w:t>（后续为稳定期）</w:t>
            </w:r>
          </w:p>
        </w:tc>
        <w:tc>
          <w:tcPr>
            <w:tcW w:w="1058"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C25E3D0" w14:textId="77777777" w:rsidR="00872599" w:rsidRPr="00F614F9" w:rsidRDefault="00000000" w:rsidP="00407C41">
            <w:pPr>
              <w:jc w:val="center"/>
              <w:rPr>
                <w:rFonts w:ascii="Times New Roman" w:eastAsia="宋体" w:hAnsi="Times New Roman"/>
                <w:sz w:val="18"/>
                <w:szCs w:val="20"/>
              </w:rPr>
            </w:pPr>
            <w:r w:rsidRPr="00F614F9">
              <w:rPr>
                <w:rFonts w:ascii="Times New Roman" w:eastAsia="宋体" w:hAnsi="Times New Roman" w:hint="eastAsia"/>
                <w:sz w:val="18"/>
                <w:szCs w:val="20"/>
              </w:rPr>
              <w:t>注</w:t>
            </w:r>
            <w:r w:rsidRPr="00F614F9">
              <w:rPr>
                <w:rFonts w:ascii="Times New Roman" w:eastAsia="宋体" w:hAnsi="Times New Roman" w:hint="eastAsia"/>
                <w:sz w:val="18"/>
                <w:szCs w:val="20"/>
              </w:rPr>
              <w:t>1</w:t>
            </w:r>
          </w:p>
        </w:tc>
        <w:tc>
          <w:tcPr>
            <w:tcW w:w="992"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4A15CEF" w14:textId="77777777" w:rsidR="00872599" w:rsidRPr="00F614F9" w:rsidRDefault="00000000" w:rsidP="00407C41">
            <w:pPr>
              <w:jc w:val="center"/>
              <w:rPr>
                <w:rFonts w:ascii="Times New Roman" w:eastAsia="宋体" w:hAnsi="Times New Roman"/>
                <w:sz w:val="18"/>
                <w:szCs w:val="20"/>
              </w:rPr>
            </w:pPr>
            <w:r w:rsidRPr="00F614F9">
              <w:rPr>
                <w:rFonts w:ascii="Times New Roman" w:eastAsia="宋体" w:hAnsi="Times New Roman" w:hint="eastAsia"/>
                <w:sz w:val="18"/>
                <w:szCs w:val="20"/>
              </w:rPr>
              <w:t>持平</w:t>
            </w:r>
          </w:p>
        </w:tc>
        <w:tc>
          <w:tcPr>
            <w:tcW w:w="1701" w:type="dxa"/>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5D770368" w14:textId="77777777" w:rsidR="00872599" w:rsidRPr="00F614F9" w:rsidRDefault="00000000" w:rsidP="00407C41">
            <w:pPr>
              <w:jc w:val="center"/>
              <w:rPr>
                <w:rFonts w:ascii="Times New Roman" w:eastAsia="宋体" w:hAnsi="Times New Roman"/>
                <w:sz w:val="18"/>
                <w:szCs w:val="20"/>
              </w:rPr>
            </w:pPr>
            <w:r w:rsidRPr="00F614F9">
              <w:rPr>
                <w:rFonts w:ascii="Times New Roman" w:eastAsia="宋体" w:hAnsi="Times New Roman" w:hint="eastAsia"/>
                <w:sz w:val="18"/>
                <w:szCs w:val="20"/>
              </w:rPr>
              <w:t>根据预测的收入、成本、税费等计算</w:t>
            </w:r>
          </w:p>
        </w:tc>
        <w:tc>
          <w:tcPr>
            <w:tcW w:w="2683" w:type="dxa"/>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39CA8AAB" w14:textId="77777777" w:rsidR="00872599" w:rsidRPr="00F614F9" w:rsidRDefault="00000000" w:rsidP="00407C41">
            <w:pPr>
              <w:jc w:val="center"/>
              <w:rPr>
                <w:rFonts w:ascii="Times New Roman" w:eastAsia="宋体" w:hAnsi="Times New Roman"/>
                <w:sz w:val="18"/>
                <w:szCs w:val="20"/>
              </w:rPr>
            </w:pPr>
            <w:r w:rsidRPr="00F614F9">
              <w:rPr>
                <w:rFonts w:ascii="Times New Roman" w:eastAsia="宋体" w:hAnsi="Times New Roman" w:hint="eastAsia"/>
                <w:sz w:val="18"/>
                <w:szCs w:val="20"/>
              </w:rPr>
              <w:t>10.09</w:t>
            </w:r>
          </w:p>
        </w:tc>
      </w:tr>
    </w:tbl>
    <w:p w14:paraId="09B6F8D0" w14:textId="77777777" w:rsidR="00872599" w:rsidRPr="00F614F9" w:rsidRDefault="00000000" w:rsidP="00407C41">
      <w:pPr>
        <w:spacing w:line="276" w:lineRule="auto"/>
        <w:ind w:firstLineChars="200" w:firstLine="360"/>
        <w:divId w:val="505899359"/>
        <w:rPr>
          <w:rFonts w:ascii="Times New Roman" w:eastAsia="宋体" w:hAnsi="Times New Roman"/>
          <w:sz w:val="18"/>
          <w:szCs w:val="20"/>
        </w:rPr>
      </w:pPr>
      <w:r w:rsidRPr="00F614F9">
        <w:rPr>
          <w:rFonts w:ascii="Times New Roman" w:eastAsia="宋体" w:hAnsi="Times New Roman" w:hint="eastAsia"/>
          <w:sz w:val="18"/>
          <w:szCs w:val="20"/>
        </w:rPr>
        <w:t>注</w:t>
      </w:r>
      <w:r w:rsidRPr="00F614F9">
        <w:rPr>
          <w:rFonts w:ascii="Times New Roman" w:eastAsia="宋体" w:hAnsi="Times New Roman" w:hint="eastAsia"/>
          <w:sz w:val="18"/>
          <w:szCs w:val="20"/>
        </w:rPr>
        <w:t>1</w:t>
      </w:r>
      <w:r w:rsidRPr="00F614F9">
        <w:rPr>
          <w:rFonts w:ascii="Times New Roman" w:eastAsia="宋体" w:hAnsi="Times New Roman" w:hint="eastAsia"/>
          <w:sz w:val="18"/>
          <w:szCs w:val="20"/>
        </w:rPr>
        <w:t>：收入预测基本遵循采纳了潍坊振</w:t>
      </w:r>
      <w:proofErr w:type="gramStart"/>
      <w:r w:rsidRPr="00F614F9">
        <w:rPr>
          <w:rFonts w:ascii="Times New Roman" w:eastAsia="宋体" w:hAnsi="Times New Roman" w:hint="eastAsia"/>
          <w:sz w:val="18"/>
          <w:szCs w:val="20"/>
        </w:rPr>
        <w:t>祥</w:t>
      </w:r>
      <w:proofErr w:type="gramEnd"/>
      <w:r w:rsidRPr="00F614F9">
        <w:rPr>
          <w:rFonts w:ascii="Times New Roman" w:eastAsia="宋体" w:hAnsi="Times New Roman" w:hint="eastAsia"/>
          <w:sz w:val="18"/>
          <w:szCs w:val="20"/>
        </w:rPr>
        <w:t>2024-2028</w:t>
      </w:r>
      <w:r w:rsidRPr="00F614F9">
        <w:rPr>
          <w:rFonts w:ascii="Times New Roman" w:eastAsia="宋体" w:hAnsi="Times New Roman" w:hint="eastAsia"/>
          <w:sz w:val="18"/>
          <w:szCs w:val="20"/>
        </w:rPr>
        <w:t>预算的各项数据，结合潍坊振</w:t>
      </w:r>
      <w:proofErr w:type="gramStart"/>
      <w:r w:rsidRPr="00F614F9">
        <w:rPr>
          <w:rFonts w:ascii="Times New Roman" w:eastAsia="宋体" w:hAnsi="Times New Roman" w:hint="eastAsia"/>
          <w:sz w:val="18"/>
          <w:szCs w:val="20"/>
        </w:rPr>
        <w:t>祥</w:t>
      </w:r>
      <w:proofErr w:type="gramEnd"/>
      <w:r w:rsidRPr="00F614F9">
        <w:rPr>
          <w:rFonts w:ascii="Times New Roman" w:eastAsia="宋体" w:hAnsi="Times New Roman" w:hint="eastAsia"/>
          <w:sz w:val="18"/>
          <w:szCs w:val="20"/>
        </w:rPr>
        <w:t>的实际产能、市场情况和经营规划，确定预测年度销售数量的增长率，</w:t>
      </w:r>
      <w:r w:rsidRPr="00F614F9">
        <w:rPr>
          <w:rFonts w:ascii="Times New Roman" w:eastAsia="宋体" w:hAnsi="Times New Roman" w:hint="eastAsia"/>
          <w:sz w:val="18"/>
          <w:szCs w:val="20"/>
        </w:rPr>
        <w:t>2024</w:t>
      </w:r>
      <w:r w:rsidRPr="00F614F9">
        <w:rPr>
          <w:rFonts w:ascii="Times New Roman" w:eastAsia="宋体" w:hAnsi="Times New Roman" w:hint="eastAsia"/>
          <w:sz w:val="18"/>
          <w:szCs w:val="20"/>
        </w:rPr>
        <w:t>年</w:t>
      </w:r>
      <w:r w:rsidRPr="00F614F9">
        <w:rPr>
          <w:rFonts w:ascii="Times New Roman" w:eastAsia="宋体" w:hAnsi="Times New Roman" w:hint="eastAsia"/>
          <w:sz w:val="18"/>
          <w:szCs w:val="20"/>
        </w:rPr>
        <w:t>-2028</w:t>
      </w:r>
      <w:r w:rsidRPr="00F614F9">
        <w:rPr>
          <w:rFonts w:ascii="Times New Roman" w:eastAsia="宋体" w:hAnsi="Times New Roman" w:hint="eastAsia"/>
          <w:sz w:val="18"/>
          <w:szCs w:val="20"/>
        </w:rPr>
        <w:t>年增长率按下表确定：</w:t>
      </w:r>
    </w:p>
    <w:tbl>
      <w:tblPr>
        <w:tblW w:w="5000" w:type="pct"/>
        <w:tblCellMar>
          <w:top w:w="15" w:type="dxa"/>
          <w:left w:w="15" w:type="dxa"/>
          <w:bottom w:w="15" w:type="dxa"/>
          <w:right w:w="15" w:type="dxa"/>
        </w:tblCellMar>
        <w:tblLook w:val="04A0" w:firstRow="1" w:lastRow="0" w:firstColumn="1" w:lastColumn="0" w:noHBand="0" w:noVBand="1"/>
      </w:tblPr>
      <w:tblGrid>
        <w:gridCol w:w="1603"/>
        <w:gridCol w:w="1602"/>
        <w:gridCol w:w="1604"/>
        <w:gridCol w:w="1602"/>
        <w:gridCol w:w="1602"/>
        <w:gridCol w:w="1604"/>
      </w:tblGrid>
      <w:tr w:rsidR="00872599" w:rsidRPr="00F614F9" w14:paraId="5D6859B9" w14:textId="77777777">
        <w:trPr>
          <w:divId w:val="505899359"/>
          <w:trHeight w:val="340"/>
        </w:trPr>
        <w:tc>
          <w:tcPr>
            <w:tcW w:w="833"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73FFA8"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年度</w:t>
            </w:r>
          </w:p>
        </w:tc>
        <w:tc>
          <w:tcPr>
            <w:tcW w:w="83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C239D6F"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2023</w:t>
            </w:r>
            <w:r w:rsidRPr="00F614F9">
              <w:rPr>
                <w:rFonts w:ascii="Times New Roman" w:eastAsia="宋体" w:hAnsi="Times New Roman" w:hint="eastAsia"/>
                <w:sz w:val="18"/>
                <w:szCs w:val="20"/>
              </w:rPr>
              <w:t>年</w:t>
            </w:r>
          </w:p>
        </w:tc>
        <w:tc>
          <w:tcPr>
            <w:tcW w:w="834"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D5B7727"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2024</w:t>
            </w:r>
            <w:r w:rsidRPr="00F614F9">
              <w:rPr>
                <w:rFonts w:ascii="Times New Roman" w:eastAsia="宋体" w:hAnsi="Times New Roman" w:hint="eastAsia"/>
                <w:sz w:val="18"/>
                <w:szCs w:val="20"/>
              </w:rPr>
              <w:t>年</w:t>
            </w:r>
          </w:p>
        </w:tc>
        <w:tc>
          <w:tcPr>
            <w:tcW w:w="83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8F6E61C"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2025</w:t>
            </w:r>
            <w:r w:rsidRPr="00F614F9">
              <w:rPr>
                <w:rFonts w:ascii="Times New Roman" w:eastAsia="宋体" w:hAnsi="Times New Roman" w:hint="eastAsia"/>
                <w:sz w:val="18"/>
                <w:szCs w:val="20"/>
              </w:rPr>
              <w:t>年</w:t>
            </w:r>
          </w:p>
        </w:tc>
        <w:tc>
          <w:tcPr>
            <w:tcW w:w="83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2E6C34C"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2026</w:t>
            </w:r>
            <w:r w:rsidRPr="00F614F9">
              <w:rPr>
                <w:rFonts w:ascii="Times New Roman" w:eastAsia="宋体" w:hAnsi="Times New Roman" w:hint="eastAsia"/>
                <w:sz w:val="18"/>
                <w:szCs w:val="20"/>
              </w:rPr>
              <w:t>年</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DF0FA7"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2027</w:t>
            </w:r>
            <w:r w:rsidRPr="00F614F9">
              <w:rPr>
                <w:rFonts w:ascii="Times New Roman" w:eastAsia="宋体" w:hAnsi="Times New Roman" w:hint="eastAsia"/>
                <w:sz w:val="18"/>
                <w:szCs w:val="20"/>
              </w:rPr>
              <w:t>年</w:t>
            </w:r>
          </w:p>
        </w:tc>
      </w:tr>
      <w:tr w:rsidR="00872599" w:rsidRPr="00F614F9" w14:paraId="1E5935B1" w14:textId="77777777">
        <w:trPr>
          <w:divId w:val="505899359"/>
          <w:trHeight w:val="340"/>
        </w:trPr>
        <w:tc>
          <w:tcPr>
            <w:tcW w:w="8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47092B"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猪肉产品销售</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376CDE"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2.35%</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586DF8"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1.23%</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7F9D75"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1.22%</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C86D98"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1.20%</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211CC2" w14:textId="77777777" w:rsidR="00872599" w:rsidRPr="00F614F9" w:rsidRDefault="00000000" w:rsidP="00407C41">
            <w:pPr>
              <w:rPr>
                <w:rFonts w:ascii="Times New Roman" w:eastAsia="宋体" w:hAnsi="Times New Roman"/>
                <w:sz w:val="18"/>
                <w:szCs w:val="20"/>
              </w:rPr>
            </w:pPr>
            <w:r w:rsidRPr="00F614F9">
              <w:rPr>
                <w:rFonts w:ascii="Times New Roman" w:eastAsia="宋体" w:hAnsi="Times New Roman" w:hint="eastAsia"/>
                <w:sz w:val="18"/>
                <w:szCs w:val="20"/>
              </w:rPr>
              <w:t>1.19%</w:t>
            </w:r>
          </w:p>
        </w:tc>
      </w:tr>
    </w:tbl>
    <w:p w14:paraId="5F6D7A7A"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12" w:name="_Toc989246"/>
      <w:r w:rsidRPr="00F614F9">
        <w:rPr>
          <w:rFonts w:ascii="Times New Roman" w:eastAsia="宋体" w:hAnsi="Times New Roman" w:cs="宋体"/>
          <w:b/>
          <w:bCs/>
          <w:szCs w:val="21"/>
        </w:rPr>
        <w:t>（</w:t>
      </w:r>
      <w:r w:rsidRPr="00F614F9">
        <w:rPr>
          <w:rFonts w:ascii="Times New Roman" w:eastAsia="宋体" w:hAnsi="Times New Roman" w:cs="宋体"/>
          <w:b/>
          <w:bCs/>
          <w:szCs w:val="21"/>
        </w:rPr>
        <w:t>4</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可收回金额的具体确定方法</w:t>
      </w:r>
      <w:bookmarkEnd w:id="412"/>
    </w:p>
    <w:p w14:paraId="0600767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可收回金额按公允价值减去处置费用后的净额确定</w:t>
      </w:r>
    </w:p>
    <w:p w14:paraId="5ACE368E" w14:textId="77777777" w:rsidR="001D26E7" w:rsidRPr="00F614F9" w:rsidRDefault="00000000">
      <w:pPr>
        <w:spacing w:before="40" w:after="4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340FD8AD"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可收回金额按预计未来现金流量的现值确定</w:t>
      </w:r>
    </w:p>
    <w:p w14:paraId="5EF83EAF" w14:textId="77777777" w:rsidR="001D26E7" w:rsidRPr="00F614F9" w:rsidRDefault="00000000">
      <w:pPr>
        <w:spacing w:before="40" w:after="4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7489B79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前述信息与以前年度减值测试采用的信息或外部信息明显不一致的差异原因</w:t>
      </w:r>
    </w:p>
    <w:p w14:paraId="6255B50F" w14:textId="77777777" w:rsidR="00872599" w:rsidRPr="00F614F9" w:rsidRDefault="00000000">
      <w:pPr>
        <w:pStyle w:val="a3"/>
        <w:divId w:val="49350722"/>
        <w:rPr>
          <w:rFonts w:ascii="Times New Roman" w:hAnsi="Times New Roman"/>
          <w:sz w:val="18"/>
          <w:szCs w:val="18"/>
        </w:rPr>
      </w:pPr>
      <w:r w:rsidRPr="00F614F9">
        <w:rPr>
          <w:rFonts w:ascii="Times New Roman" w:hAnsi="Times New Roman" w:hint="eastAsia"/>
          <w:sz w:val="18"/>
          <w:szCs w:val="18"/>
        </w:rPr>
        <w:t>无</w:t>
      </w:r>
    </w:p>
    <w:p w14:paraId="0D0FF51E"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公司以前年度减值测试采用信息与当年实际情况明显不一致的差异原因</w:t>
      </w:r>
    </w:p>
    <w:p w14:paraId="383B2C42" w14:textId="77777777" w:rsidR="00872599" w:rsidRPr="00F614F9" w:rsidRDefault="00000000">
      <w:pPr>
        <w:pStyle w:val="a3"/>
        <w:divId w:val="166135232"/>
        <w:rPr>
          <w:rFonts w:ascii="Times New Roman" w:hAnsi="Times New Roman"/>
          <w:sz w:val="18"/>
          <w:szCs w:val="18"/>
        </w:rPr>
      </w:pPr>
      <w:r w:rsidRPr="00F614F9">
        <w:rPr>
          <w:rFonts w:ascii="Times New Roman" w:hAnsi="Times New Roman" w:hint="eastAsia"/>
          <w:sz w:val="18"/>
          <w:szCs w:val="18"/>
        </w:rPr>
        <w:t>无</w:t>
      </w:r>
    </w:p>
    <w:p w14:paraId="511DA7D5"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13" w:name="_Toc989247"/>
      <w:r w:rsidRPr="00F614F9">
        <w:rPr>
          <w:rFonts w:ascii="Times New Roman" w:eastAsia="宋体" w:hAnsi="Times New Roman" w:cs="宋体"/>
          <w:b/>
          <w:bCs/>
          <w:szCs w:val="21"/>
        </w:rPr>
        <w:t>（</w:t>
      </w:r>
      <w:r w:rsidRPr="00F614F9">
        <w:rPr>
          <w:rFonts w:ascii="Times New Roman" w:eastAsia="宋体" w:hAnsi="Times New Roman" w:cs="宋体"/>
          <w:b/>
          <w:bCs/>
          <w:szCs w:val="21"/>
        </w:rPr>
        <w:t>5</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业绩承诺完成及对应商誉减值情况</w:t>
      </w:r>
      <w:bookmarkEnd w:id="413"/>
    </w:p>
    <w:p w14:paraId="79BC77A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形成商誉时存在业绩承诺</w:t>
      </w:r>
      <w:proofErr w:type="gramStart"/>
      <w:r w:rsidRPr="00F614F9">
        <w:rPr>
          <w:rFonts w:ascii="Times New Roman" w:eastAsia="宋体" w:hAnsi="Times New Roman" w:cs="宋体"/>
          <w:sz w:val="18"/>
          <w:szCs w:val="18"/>
        </w:rPr>
        <w:t>且报告</w:t>
      </w:r>
      <w:proofErr w:type="gramEnd"/>
      <w:r w:rsidRPr="00F614F9">
        <w:rPr>
          <w:rFonts w:ascii="Times New Roman" w:eastAsia="宋体" w:hAnsi="Times New Roman" w:cs="宋体"/>
          <w:sz w:val="18"/>
          <w:szCs w:val="18"/>
        </w:rPr>
        <w:t>期或报告期上一期间处于业绩承诺期内</w:t>
      </w:r>
    </w:p>
    <w:p w14:paraId="4E467936" w14:textId="77777777" w:rsidR="001D26E7" w:rsidRPr="00F614F9" w:rsidRDefault="00000000">
      <w:pPr>
        <w:spacing w:before="40" w:after="4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00A4F419"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533510A3" w14:textId="77777777" w:rsidR="00872599" w:rsidRPr="00F614F9" w:rsidRDefault="00000000">
      <w:pPr>
        <w:pStyle w:val="a3"/>
        <w:divId w:val="100029695"/>
        <w:rPr>
          <w:rFonts w:ascii="Times New Roman" w:hAnsi="Times New Roman"/>
          <w:sz w:val="18"/>
          <w:szCs w:val="18"/>
        </w:rPr>
      </w:pPr>
      <w:r w:rsidRPr="00F614F9">
        <w:rPr>
          <w:rFonts w:ascii="Times New Roman" w:hAnsi="Times New Roman" w:hint="eastAsia"/>
          <w:sz w:val="18"/>
          <w:szCs w:val="18"/>
        </w:rPr>
        <w:t>无</w:t>
      </w:r>
    </w:p>
    <w:p w14:paraId="35CC27D7" w14:textId="77777777" w:rsidR="001D26E7" w:rsidRPr="00F614F9" w:rsidRDefault="00000000">
      <w:pPr>
        <w:pStyle w:val="3"/>
        <w:spacing w:line="280" w:lineRule="exact"/>
        <w:jc w:val="left"/>
        <w:rPr>
          <w:rFonts w:ascii="Times New Roman" w:hAnsi="Times New Roman" w:cs="宋体"/>
          <w:b/>
          <w:bCs/>
        </w:rPr>
      </w:pPr>
      <w:bookmarkStart w:id="414" w:name="_Toc989248"/>
      <w:r w:rsidRPr="00F614F9">
        <w:rPr>
          <w:rFonts w:ascii="Times New Roman" w:hAnsi="Times New Roman" w:cs="宋体"/>
          <w:b/>
          <w:bCs/>
        </w:rPr>
        <w:t>28</w:t>
      </w:r>
      <w:r w:rsidRPr="00F614F9">
        <w:rPr>
          <w:rFonts w:ascii="Times New Roman" w:hAnsi="Times New Roman" w:cs="宋体"/>
          <w:b/>
          <w:bCs/>
        </w:rPr>
        <w:t>、长期待摊费用</w:t>
      </w:r>
      <w:bookmarkEnd w:id="414"/>
    </w:p>
    <w:p w14:paraId="74213440"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1D26E7" w:rsidRPr="00F614F9" w14:paraId="6B2B05FD"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8DE709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89215B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757E48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本期增加金额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1E7AB3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本期摊销金额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FA1684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其他减少金额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E2B38B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r>
      <w:tr w:rsidR="001D26E7" w:rsidRPr="00F614F9" w14:paraId="1CEA51B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C91A86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屠宰车间改造摊销</w:t>
            </w:r>
          </w:p>
        </w:tc>
        <w:tc>
          <w:tcPr>
            <w:tcW w:w="1606" w:type="dxa"/>
            <w:tcBorders>
              <w:top w:val="single" w:sz="2" w:space="0" w:color="auto"/>
              <w:left w:val="single" w:sz="2" w:space="0" w:color="auto"/>
              <w:bottom w:val="single" w:sz="2" w:space="0" w:color="auto"/>
              <w:right w:val="single" w:sz="2" w:space="0" w:color="auto"/>
            </w:tcBorders>
            <w:vAlign w:val="center"/>
          </w:tcPr>
          <w:p w14:paraId="2AF579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196,635.25</w:t>
            </w:r>
          </w:p>
        </w:tc>
        <w:tc>
          <w:tcPr>
            <w:tcW w:w="1606" w:type="dxa"/>
            <w:tcBorders>
              <w:top w:val="single" w:sz="2" w:space="0" w:color="auto"/>
              <w:left w:val="single" w:sz="2" w:space="0" w:color="auto"/>
              <w:bottom w:val="single" w:sz="2" w:space="0" w:color="auto"/>
              <w:right w:val="single" w:sz="2" w:space="0" w:color="auto"/>
            </w:tcBorders>
            <w:vAlign w:val="center"/>
          </w:tcPr>
          <w:p w14:paraId="264756ED"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9DE82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196,635.25</w:t>
            </w:r>
          </w:p>
        </w:tc>
        <w:tc>
          <w:tcPr>
            <w:tcW w:w="1606" w:type="dxa"/>
            <w:tcBorders>
              <w:top w:val="single" w:sz="2" w:space="0" w:color="auto"/>
              <w:left w:val="single" w:sz="2" w:space="0" w:color="auto"/>
              <w:bottom w:val="single" w:sz="2" w:space="0" w:color="auto"/>
              <w:right w:val="single" w:sz="2" w:space="0" w:color="auto"/>
            </w:tcBorders>
            <w:vAlign w:val="center"/>
          </w:tcPr>
          <w:p w14:paraId="08372439"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6754BD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55F0448F"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44E9E1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制冷车间改造摊销</w:t>
            </w:r>
          </w:p>
        </w:tc>
        <w:tc>
          <w:tcPr>
            <w:tcW w:w="1606" w:type="dxa"/>
            <w:tcBorders>
              <w:top w:val="single" w:sz="2" w:space="0" w:color="auto"/>
              <w:left w:val="single" w:sz="2" w:space="0" w:color="auto"/>
              <w:bottom w:val="single" w:sz="2" w:space="0" w:color="auto"/>
              <w:right w:val="single" w:sz="2" w:space="0" w:color="auto"/>
            </w:tcBorders>
            <w:vAlign w:val="center"/>
          </w:tcPr>
          <w:p w14:paraId="3712ED4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132,389.90</w:t>
            </w:r>
          </w:p>
        </w:tc>
        <w:tc>
          <w:tcPr>
            <w:tcW w:w="1606" w:type="dxa"/>
            <w:tcBorders>
              <w:top w:val="single" w:sz="2" w:space="0" w:color="auto"/>
              <w:left w:val="single" w:sz="2" w:space="0" w:color="auto"/>
              <w:bottom w:val="single" w:sz="2" w:space="0" w:color="auto"/>
              <w:right w:val="single" w:sz="2" w:space="0" w:color="auto"/>
            </w:tcBorders>
            <w:vAlign w:val="center"/>
          </w:tcPr>
          <w:p w14:paraId="6C25CDB4"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151577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132,389.90</w:t>
            </w:r>
          </w:p>
        </w:tc>
        <w:tc>
          <w:tcPr>
            <w:tcW w:w="1606" w:type="dxa"/>
            <w:tcBorders>
              <w:top w:val="single" w:sz="2" w:space="0" w:color="auto"/>
              <w:left w:val="single" w:sz="2" w:space="0" w:color="auto"/>
              <w:bottom w:val="single" w:sz="2" w:space="0" w:color="auto"/>
              <w:right w:val="single" w:sz="2" w:space="0" w:color="auto"/>
            </w:tcBorders>
            <w:vAlign w:val="center"/>
          </w:tcPr>
          <w:p w14:paraId="289571C9"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83AE1A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4946406A"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D83059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屠宰车间流水线改造摊销</w:t>
            </w:r>
          </w:p>
        </w:tc>
        <w:tc>
          <w:tcPr>
            <w:tcW w:w="1606" w:type="dxa"/>
            <w:tcBorders>
              <w:top w:val="single" w:sz="2" w:space="0" w:color="auto"/>
              <w:left w:val="single" w:sz="2" w:space="0" w:color="auto"/>
              <w:bottom w:val="single" w:sz="2" w:space="0" w:color="auto"/>
              <w:right w:val="single" w:sz="2" w:space="0" w:color="auto"/>
            </w:tcBorders>
            <w:vAlign w:val="center"/>
          </w:tcPr>
          <w:p w14:paraId="2679652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34,078.02</w:t>
            </w:r>
          </w:p>
        </w:tc>
        <w:tc>
          <w:tcPr>
            <w:tcW w:w="1606" w:type="dxa"/>
            <w:tcBorders>
              <w:top w:val="single" w:sz="2" w:space="0" w:color="auto"/>
              <w:left w:val="single" w:sz="2" w:space="0" w:color="auto"/>
              <w:bottom w:val="single" w:sz="2" w:space="0" w:color="auto"/>
              <w:right w:val="single" w:sz="2" w:space="0" w:color="auto"/>
            </w:tcBorders>
            <w:vAlign w:val="center"/>
          </w:tcPr>
          <w:p w14:paraId="1A29EB6D"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53963C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34,078.02</w:t>
            </w:r>
          </w:p>
        </w:tc>
        <w:tc>
          <w:tcPr>
            <w:tcW w:w="1606" w:type="dxa"/>
            <w:tcBorders>
              <w:top w:val="single" w:sz="2" w:space="0" w:color="auto"/>
              <w:left w:val="single" w:sz="2" w:space="0" w:color="auto"/>
              <w:bottom w:val="single" w:sz="2" w:space="0" w:color="auto"/>
              <w:right w:val="single" w:sz="2" w:space="0" w:color="auto"/>
            </w:tcBorders>
            <w:vAlign w:val="center"/>
          </w:tcPr>
          <w:p w14:paraId="15B699F3"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93CB70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631B7C0A"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721F72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白条库改建工程摊销</w:t>
            </w:r>
          </w:p>
        </w:tc>
        <w:tc>
          <w:tcPr>
            <w:tcW w:w="1606" w:type="dxa"/>
            <w:tcBorders>
              <w:top w:val="single" w:sz="2" w:space="0" w:color="auto"/>
              <w:left w:val="single" w:sz="2" w:space="0" w:color="auto"/>
              <w:bottom w:val="single" w:sz="2" w:space="0" w:color="auto"/>
              <w:right w:val="single" w:sz="2" w:space="0" w:color="auto"/>
            </w:tcBorders>
            <w:vAlign w:val="center"/>
          </w:tcPr>
          <w:p w14:paraId="5D145CE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122,145.96</w:t>
            </w:r>
          </w:p>
        </w:tc>
        <w:tc>
          <w:tcPr>
            <w:tcW w:w="1606" w:type="dxa"/>
            <w:tcBorders>
              <w:top w:val="single" w:sz="2" w:space="0" w:color="auto"/>
              <w:left w:val="single" w:sz="2" w:space="0" w:color="auto"/>
              <w:bottom w:val="single" w:sz="2" w:space="0" w:color="auto"/>
              <w:right w:val="single" w:sz="2" w:space="0" w:color="auto"/>
            </w:tcBorders>
            <w:vAlign w:val="center"/>
          </w:tcPr>
          <w:p w14:paraId="713DD94B"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CC6135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122,145.96</w:t>
            </w:r>
          </w:p>
        </w:tc>
        <w:tc>
          <w:tcPr>
            <w:tcW w:w="1606" w:type="dxa"/>
            <w:tcBorders>
              <w:top w:val="single" w:sz="2" w:space="0" w:color="auto"/>
              <w:left w:val="single" w:sz="2" w:space="0" w:color="auto"/>
              <w:bottom w:val="single" w:sz="2" w:space="0" w:color="auto"/>
              <w:right w:val="single" w:sz="2" w:space="0" w:color="auto"/>
            </w:tcBorders>
            <w:vAlign w:val="center"/>
          </w:tcPr>
          <w:p w14:paraId="05E115FA"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714C6C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394CE35A"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072761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新建食堂工程摊销</w:t>
            </w:r>
          </w:p>
        </w:tc>
        <w:tc>
          <w:tcPr>
            <w:tcW w:w="1606" w:type="dxa"/>
            <w:tcBorders>
              <w:top w:val="single" w:sz="2" w:space="0" w:color="auto"/>
              <w:left w:val="single" w:sz="2" w:space="0" w:color="auto"/>
              <w:bottom w:val="single" w:sz="2" w:space="0" w:color="auto"/>
              <w:right w:val="single" w:sz="2" w:space="0" w:color="auto"/>
            </w:tcBorders>
            <w:vAlign w:val="center"/>
          </w:tcPr>
          <w:p w14:paraId="3229C7E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27,348.82</w:t>
            </w:r>
          </w:p>
        </w:tc>
        <w:tc>
          <w:tcPr>
            <w:tcW w:w="1606" w:type="dxa"/>
            <w:tcBorders>
              <w:top w:val="single" w:sz="2" w:space="0" w:color="auto"/>
              <w:left w:val="single" w:sz="2" w:space="0" w:color="auto"/>
              <w:bottom w:val="single" w:sz="2" w:space="0" w:color="auto"/>
              <w:right w:val="single" w:sz="2" w:space="0" w:color="auto"/>
            </w:tcBorders>
            <w:vAlign w:val="center"/>
          </w:tcPr>
          <w:p w14:paraId="07E7619C"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2984BF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27,348.82</w:t>
            </w:r>
          </w:p>
        </w:tc>
        <w:tc>
          <w:tcPr>
            <w:tcW w:w="1606" w:type="dxa"/>
            <w:tcBorders>
              <w:top w:val="single" w:sz="2" w:space="0" w:color="auto"/>
              <w:left w:val="single" w:sz="2" w:space="0" w:color="auto"/>
              <w:bottom w:val="single" w:sz="2" w:space="0" w:color="auto"/>
              <w:right w:val="single" w:sz="2" w:space="0" w:color="auto"/>
            </w:tcBorders>
            <w:vAlign w:val="center"/>
          </w:tcPr>
          <w:p w14:paraId="37A79967"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3B4C74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19DCA800"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5BACC4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公司广告牌工程</w:t>
            </w:r>
            <w:r w:rsidRPr="00F614F9">
              <w:rPr>
                <w:rFonts w:ascii="Times New Roman" w:eastAsia="宋体" w:hAnsi="Times New Roman" w:cs="宋体"/>
                <w:sz w:val="18"/>
                <w:szCs w:val="18"/>
              </w:rPr>
              <w:lastRenderedPageBreak/>
              <w:t>摊销</w:t>
            </w:r>
          </w:p>
        </w:tc>
        <w:tc>
          <w:tcPr>
            <w:tcW w:w="1606" w:type="dxa"/>
            <w:tcBorders>
              <w:top w:val="single" w:sz="2" w:space="0" w:color="auto"/>
              <w:left w:val="single" w:sz="2" w:space="0" w:color="auto"/>
              <w:bottom w:val="single" w:sz="2" w:space="0" w:color="auto"/>
              <w:right w:val="single" w:sz="2" w:space="0" w:color="auto"/>
            </w:tcBorders>
            <w:vAlign w:val="center"/>
          </w:tcPr>
          <w:p w14:paraId="7A3AF4A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lastRenderedPageBreak/>
              <w:t>23,553.48</w:t>
            </w:r>
          </w:p>
        </w:tc>
        <w:tc>
          <w:tcPr>
            <w:tcW w:w="1606" w:type="dxa"/>
            <w:tcBorders>
              <w:top w:val="single" w:sz="2" w:space="0" w:color="auto"/>
              <w:left w:val="single" w:sz="2" w:space="0" w:color="auto"/>
              <w:bottom w:val="single" w:sz="2" w:space="0" w:color="auto"/>
              <w:right w:val="single" w:sz="2" w:space="0" w:color="auto"/>
            </w:tcBorders>
            <w:vAlign w:val="center"/>
          </w:tcPr>
          <w:p w14:paraId="42C80A4D"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F3FF3D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23,553.48</w:t>
            </w:r>
          </w:p>
        </w:tc>
        <w:tc>
          <w:tcPr>
            <w:tcW w:w="1606" w:type="dxa"/>
            <w:tcBorders>
              <w:top w:val="single" w:sz="2" w:space="0" w:color="auto"/>
              <w:left w:val="single" w:sz="2" w:space="0" w:color="auto"/>
              <w:bottom w:val="single" w:sz="2" w:space="0" w:color="auto"/>
              <w:right w:val="single" w:sz="2" w:space="0" w:color="auto"/>
            </w:tcBorders>
            <w:vAlign w:val="center"/>
          </w:tcPr>
          <w:p w14:paraId="2379ED46"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790676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46C6ABA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125D4F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公司污水处理工程摊销</w:t>
            </w:r>
          </w:p>
        </w:tc>
        <w:tc>
          <w:tcPr>
            <w:tcW w:w="1606" w:type="dxa"/>
            <w:tcBorders>
              <w:top w:val="single" w:sz="2" w:space="0" w:color="auto"/>
              <w:left w:val="single" w:sz="2" w:space="0" w:color="auto"/>
              <w:bottom w:val="single" w:sz="2" w:space="0" w:color="auto"/>
              <w:right w:val="single" w:sz="2" w:space="0" w:color="auto"/>
            </w:tcBorders>
            <w:vAlign w:val="center"/>
          </w:tcPr>
          <w:p w14:paraId="63675D0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94,266.03</w:t>
            </w:r>
          </w:p>
        </w:tc>
        <w:tc>
          <w:tcPr>
            <w:tcW w:w="1606" w:type="dxa"/>
            <w:tcBorders>
              <w:top w:val="single" w:sz="2" w:space="0" w:color="auto"/>
              <w:left w:val="single" w:sz="2" w:space="0" w:color="auto"/>
              <w:bottom w:val="single" w:sz="2" w:space="0" w:color="auto"/>
              <w:right w:val="single" w:sz="2" w:space="0" w:color="auto"/>
            </w:tcBorders>
            <w:vAlign w:val="center"/>
          </w:tcPr>
          <w:p w14:paraId="0F68747E"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549B9E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94,266.03</w:t>
            </w:r>
          </w:p>
        </w:tc>
        <w:tc>
          <w:tcPr>
            <w:tcW w:w="1606" w:type="dxa"/>
            <w:tcBorders>
              <w:top w:val="single" w:sz="2" w:space="0" w:color="auto"/>
              <w:left w:val="single" w:sz="2" w:space="0" w:color="auto"/>
              <w:bottom w:val="single" w:sz="2" w:space="0" w:color="auto"/>
              <w:right w:val="single" w:sz="2" w:space="0" w:color="auto"/>
            </w:tcBorders>
            <w:vAlign w:val="center"/>
          </w:tcPr>
          <w:p w14:paraId="686E7CC1"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1B4F92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4C9AF515"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EB4DE5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公司污水改造工程摊销</w:t>
            </w:r>
          </w:p>
        </w:tc>
        <w:tc>
          <w:tcPr>
            <w:tcW w:w="1606" w:type="dxa"/>
            <w:tcBorders>
              <w:top w:val="single" w:sz="2" w:space="0" w:color="auto"/>
              <w:left w:val="single" w:sz="2" w:space="0" w:color="auto"/>
              <w:bottom w:val="single" w:sz="2" w:space="0" w:color="auto"/>
              <w:right w:val="single" w:sz="2" w:space="0" w:color="auto"/>
            </w:tcBorders>
            <w:vAlign w:val="center"/>
          </w:tcPr>
          <w:p w14:paraId="0BC2AF4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36,000.00</w:t>
            </w:r>
          </w:p>
        </w:tc>
        <w:tc>
          <w:tcPr>
            <w:tcW w:w="1606" w:type="dxa"/>
            <w:tcBorders>
              <w:top w:val="single" w:sz="2" w:space="0" w:color="auto"/>
              <w:left w:val="single" w:sz="2" w:space="0" w:color="auto"/>
              <w:bottom w:val="single" w:sz="2" w:space="0" w:color="auto"/>
              <w:right w:val="single" w:sz="2" w:space="0" w:color="auto"/>
            </w:tcBorders>
            <w:vAlign w:val="center"/>
          </w:tcPr>
          <w:p w14:paraId="46CB4AC7"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000842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36,000.00</w:t>
            </w:r>
          </w:p>
        </w:tc>
        <w:tc>
          <w:tcPr>
            <w:tcW w:w="1606" w:type="dxa"/>
            <w:tcBorders>
              <w:top w:val="single" w:sz="2" w:space="0" w:color="auto"/>
              <w:left w:val="single" w:sz="2" w:space="0" w:color="auto"/>
              <w:bottom w:val="single" w:sz="2" w:space="0" w:color="auto"/>
              <w:right w:val="single" w:sz="2" w:space="0" w:color="auto"/>
            </w:tcBorders>
            <w:vAlign w:val="center"/>
          </w:tcPr>
          <w:p w14:paraId="2EDB313A"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9FC3C1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322FC030"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FB90A9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公司快冷间改造工程摊销</w:t>
            </w:r>
          </w:p>
        </w:tc>
        <w:tc>
          <w:tcPr>
            <w:tcW w:w="1606" w:type="dxa"/>
            <w:tcBorders>
              <w:top w:val="single" w:sz="2" w:space="0" w:color="auto"/>
              <w:left w:val="single" w:sz="2" w:space="0" w:color="auto"/>
              <w:bottom w:val="single" w:sz="2" w:space="0" w:color="auto"/>
              <w:right w:val="single" w:sz="2" w:space="0" w:color="auto"/>
            </w:tcBorders>
            <w:vAlign w:val="center"/>
          </w:tcPr>
          <w:p w14:paraId="28D7DB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35,684.19</w:t>
            </w:r>
          </w:p>
        </w:tc>
        <w:tc>
          <w:tcPr>
            <w:tcW w:w="1606" w:type="dxa"/>
            <w:tcBorders>
              <w:top w:val="single" w:sz="2" w:space="0" w:color="auto"/>
              <w:left w:val="single" w:sz="2" w:space="0" w:color="auto"/>
              <w:bottom w:val="single" w:sz="2" w:space="0" w:color="auto"/>
              <w:right w:val="single" w:sz="2" w:space="0" w:color="auto"/>
            </w:tcBorders>
            <w:vAlign w:val="center"/>
          </w:tcPr>
          <w:p w14:paraId="7C185A67"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D51293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35,684.19</w:t>
            </w:r>
          </w:p>
        </w:tc>
        <w:tc>
          <w:tcPr>
            <w:tcW w:w="1606" w:type="dxa"/>
            <w:tcBorders>
              <w:top w:val="single" w:sz="2" w:space="0" w:color="auto"/>
              <w:left w:val="single" w:sz="2" w:space="0" w:color="auto"/>
              <w:bottom w:val="single" w:sz="2" w:space="0" w:color="auto"/>
              <w:right w:val="single" w:sz="2" w:space="0" w:color="auto"/>
            </w:tcBorders>
            <w:vAlign w:val="center"/>
          </w:tcPr>
          <w:p w14:paraId="3DA5F55F"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2C31CA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331EF70B"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CECB2C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公司快冷间和发货走廊改造工程摊销</w:t>
            </w:r>
          </w:p>
        </w:tc>
        <w:tc>
          <w:tcPr>
            <w:tcW w:w="1606" w:type="dxa"/>
            <w:tcBorders>
              <w:top w:val="single" w:sz="2" w:space="0" w:color="auto"/>
              <w:left w:val="single" w:sz="2" w:space="0" w:color="auto"/>
              <w:bottom w:val="single" w:sz="2" w:space="0" w:color="auto"/>
              <w:right w:val="single" w:sz="2" w:space="0" w:color="auto"/>
            </w:tcBorders>
            <w:vAlign w:val="center"/>
          </w:tcPr>
          <w:p w14:paraId="4F933EC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30,750.00</w:t>
            </w:r>
          </w:p>
        </w:tc>
        <w:tc>
          <w:tcPr>
            <w:tcW w:w="1606" w:type="dxa"/>
            <w:tcBorders>
              <w:top w:val="single" w:sz="2" w:space="0" w:color="auto"/>
              <w:left w:val="single" w:sz="2" w:space="0" w:color="auto"/>
              <w:bottom w:val="single" w:sz="2" w:space="0" w:color="auto"/>
              <w:right w:val="single" w:sz="2" w:space="0" w:color="auto"/>
            </w:tcBorders>
            <w:vAlign w:val="center"/>
          </w:tcPr>
          <w:p w14:paraId="5EDB5072"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EAA198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30,750.00</w:t>
            </w:r>
          </w:p>
        </w:tc>
        <w:tc>
          <w:tcPr>
            <w:tcW w:w="1606" w:type="dxa"/>
            <w:tcBorders>
              <w:top w:val="single" w:sz="2" w:space="0" w:color="auto"/>
              <w:left w:val="single" w:sz="2" w:space="0" w:color="auto"/>
              <w:bottom w:val="single" w:sz="2" w:space="0" w:color="auto"/>
              <w:right w:val="single" w:sz="2" w:space="0" w:color="auto"/>
            </w:tcBorders>
            <w:vAlign w:val="center"/>
          </w:tcPr>
          <w:p w14:paraId="7EA324E3"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3CB238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00ED228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5F8244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实验室装修改造</w:t>
            </w:r>
          </w:p>
        </w:tc>
        <w:tc>
          <w:tcPr>
            <w:tcW w:w="1606" w:type="dxa"/>
            <w:tcBorders>
              <w:top w:val="single" w:sz="2" w:space="0" w:color="auto"/>
              <w:left w:val="single" w:sz="2" w:space="0" w:color="auto"/>
              <w:bottom w:val="single" w:sz="2" w:space="0" w:color="auto"/>
              <w:right w:val="single" w:sz="2" w:space="0" w:color="auto"/>
            </w:tcBorders>
            <w:vAlign w:val="center"/>
          </w:tcPr>
          <w:p w14:paraId="5B94BC5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647,400.59</w:t>
            </w:r>
          </w:p>
        </w:tc>
        <w:tc>
          <w:tcPr>
            <w:tcW w:w="1606" w:type="dxa"/>
            <w:tcBorders>
              <w:top w:val="single" w:sz="2" w:space="0" w:color="auto"/>
              <w:left w:val="single" w:sz="2" w:space="0" w:color="auto"/>
              <w:bottom w:val="single" w:sz="2" w:space="0" w:color="auto"/>
              <w:right w:val="single" w:sz="2" w:space="0" w:color="auto"/>
            </w:tcBorders>
            <w:vAlign w:val="center"/>
          </w:tcPr>
          <w:p w14:paraId="740A3BCE"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7A544B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267,889.92</w:t>
            </w:r>
          </w:p>
        </w:tc>
        <w:tc>
          <w:tcPr>
            <w:tcW w:w="1606" w:type="dxa"/>
            <w:tcBorders>
              <w:top w:val="single" w:sz="2" w:space="0" w:color="auto"/>
              <w:left w:val="single" w:sz="2" w:space="0" w:color="auto"/>
              <w:bottom w:val="single" w:sz="2" w:space="0" w:color="auto"/>
              <w:right w:val="single" w:sz="2" w:space="0" w:color="auto"/>
            </w:tcBorders>
            <w:vAlign w:val="center"/>
          </w:tcPr>
          <w:p w14:paraId="2A4B376B"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299CA2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379,510.67</w:t>
            </w:r>
          </w:p>
        </w:tc>
      </w:tr>
      <w:tr w:rsidR="001D26E7" w:rsidRPr="00F614F9" w14:paraId="44E30DC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453095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龙大鲜生办公室装修费用</w:t>
            </w:r>
          </w:p>
        </w:tc>
        <w:tc>
          <w:tcPr>
            <w:tcW w:w="1606" w:type="dxa"/>
            <w:tcBorders>
              <w:top w:val="single" w:sz="2" w:space="0" w:color="auto"/>
              <w:left w:val="single" w:sz="2" w:space="0" w:color="auto"/>
              <w:bottom w:val="single" w:sz="2" w:space="0" w:color="auto"/>
              <w:right w:val="single" w:sz="2" w:space="0" w:color="auto"/>
            </w:tcBorders>
            <w:vAlign w:val="center"/>
          </w:tcPr>
          <w:p w14:paraId="2098FB3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27,513.42</w:t>
            </w:r>
          </w:p>
        </w:tc>
        <w:tc>
          <w:tcPr>
            <w:tcW w:w="1606" w:type="dxa"/>
            <w:tcBorders>
              <w:top w:val="single" w:sz="2" w:space="0" w:color="auto"/>
              <w:left w:val="single" w:sz="2" w:space="0" w:color="auto"/>
              <w:bottom w:val="single" w:sz="2" w:space="0" w:color="auto"/>
              <w:right w:val="single" w:sz="2" w:space="0" w:color="auto"/>
            </w:tcBorders>
            <w:vAlign w:val="center"/>
          </w:tcPr>
          <w:p w14:paraId="27EB027B"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DCAE41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27,513.42</w:t>
            </w:r>
          </w:p>
        </w:tc>
        <w:tc>
          <w:tcPr>
            <w:tcW w:w="1606" w:type="dxa"/>
            <w:tcBorders>
              <w:top w:val="single" w:sz="2" w:space="0" w:color="auto"/>
              <w:left w:val="single" w:sz="2" w:space="0" w:color="auto"/>
              <w:bottom w:val="single" w:sz="2" w:space="0" w:color="auto"/>
              <w:right w:val="single" w:sz="2" w:space="0" w:color="auto"/>
            </w:tcBorders>
            <w:vAlign w:val="center"/>
          </w:tcPr>
          <w:p w14:paraId="6B9C24EC"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041519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0A11D0A0"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595616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金</w:t>
            </w:r>
            <w:proofErr w:type="gramStart"/>
            <w:r w:rsidRPr="00F614F9">
              <w:rPr>
                <w:rFonts w:ascii="Times New Roman" w:eastAsia="宋体" w:hAnsi="Times New Roman" w:cs="宋体"/>
                <w:sz w:val="18"/>
                <w:szCs w:val="18"/>
              </w:rPr>
              <w:t>地悦峰店门头</w:t>
            </w:r>
            <w:proofErr w:type="gramEnd"/>
            <w:r w:rsidRPr="00F614F9">
              <w:rPr>
                <w:rFonts w:ascii="Times New Roman" w:eastAsia="宋体" w:hAnsi="Times New Roman" w:cs="宋体"/>
                <w:sz w:val="18"/>
                <w:szCs w:val="18"/>
              </w:rPr>
              <w:t>改造费</w:t>
            </w:r>
          </w:p>
        </w:tc>
        <w:tc>
          <w:tcPr>
            <w:tcW w:w="1606" w:type="dxa"/>
            <w:tcBorders>
              <w:top w:val="single" w:sz="2" w:space="0" w:color="auto"/>
              <w:left w:val="single" w:sz="2" w:space="0" w:color="auto"/>
              <w:bottom w:val="single" w:sz="2" w:space="0" w:color="auto"/>
              <w:right w:val="single" w:sz="2" w:space="0" w:color="auto"/>
            </w:tcBorders>
            <w:vAlign w:val="center"/>
          </w:tcPr>
          <w:p w14:paraId="5EC7079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7,309.70</w:t>
            </w:r>
          </w:p>
        </w:tc>
        <w:tc>
          <w:tcPr>
            <w:tcW w:w="1606" w:type="dxa"/>
            <w:tcBorders>
              <w:top w:val="single" w:sz="2" w:space="0" w:color="auto"/>
              <w:left w:val="single" w:sz="2" w:space="0" w:color="auto"/>
              <w:bottom w:val="single" w:sz="2" w:space="0" w:color="auto"/>
              <w:right w:val="single" w:sz="2" w:space="0" w:color="auto"/>
            </w:tcBorders>
            <w:vAlign w:val="center"/>
          </w:tcPr>
          <w:p w14:paraId="147AC46F"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4CE9FF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7,309.70</w:t>
            </w:r>
          </w:p>
        </w:tc>
        <w:tc>
          <w:tcPr>
            <w:tcW w:w="1606" w:type="dxa"/>
            <w:tcBorders>
              <w:top w:val="single" w:sz="2" w:space="0" w:color="auto"/>
              <w:left w:val="single" w:sz="2" w:space="0" w:color="auto"/>
              <w:bottom w:val="single" w:sz="2" w:space="0" w:color="auto"/>
              <w:right w:val="single" w:sz="2" w:space="0" w:color="auto"/>
            </w:tcBorders>
            <w:vAlign w:val="center"/>
          </w:tcPr>
          <w:p w14:paraId="45DC28DD"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A18877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523E50B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87D4F4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盛世江山店门头改造费</w:t>
            </w:r>
          </w:p>
        </w:tc>
        <w:tc>
          <w:tcPr>
            <w:tcW w:w="1606" w:type="dxa"/>
            <w:tcBorders>
              <w:top w:val="single" w:sz="2" w:space="0" w:color="auto"/>
              <w:left w:val="single" w:sz="2" w:space="0" w:color="auto"/>
              <w:bottom w:val="single" w:sz="2" w:space="0" w:color="auto"/>
              <w:right w:val="single" w:sz="2" w:space="0" w:color="auto"/>
            </w:tcBorders>
            <w:vAlign w:val="center"/>
          </w:tcPr>
          <w:p w14:paraId="2A57701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6,857.60</w:t>
            </w:r>
          </w:p>
        </w:tc>
        <w:tc>
          <w:tcPr>
            <w:tcW w:w="1606" w:type="dxa"/>
            <w:tcBorders>
              <w:top w:val="single" w:sz="2" w:space="0" w:color="auto"/>
              <w:left w:val="single" w:sz="2" w:space="0" w:color="auto"/>
              <w:bottom w:val="single" w:sz="2" w:space="0" w:color="auto"/>
              <w:right w:val="single" w:sz="2" w:space="0" w:color="auto"/>
            </w:tcBorders>
            <w:vAlign w:val="center"/>
          </w:tcPr>
          <w:p w14:paraId="77743AFB"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107AF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6,857.60</w:t>
            </w:r>
          </w:p>
        </w:tc>
        <w:tc>
          <w:tcPr>
            <w:tcW w:w="1606" w:type="dxa"/>
            <w:tcBorders>
              <w:top w:val="single" w:sz="2" w:space="0" w:color="auto"/>
              <w:left w:val="single" w:sz="2" w:space="0" w:color="auto"/>
              <w:bottom w:val="single" w:sz="2" w:space="0" w:color="auto"/>
              <w:right w:val="single" w:sz="2" w:space="0" w:color="auto"/>
            </w:tcBorders>
            <w:vAlign w:val="center"/>
          </w:tcPr>
          <w:p w14:paraId="5EE31A81"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97CC2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63408C72"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BAC2AE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石榴街区店门头改造费</w:t>
            </w:r>
          </w:p>
        </w:tc>
        <w:tc>
          <w:tcPr>
            <w:tcW w:w="1606" w:type="dxa"/>
            <w:tcBorders>
              <w:top w:val="single" w:sz="2" w:space="0" w:color="auto"/>
              <w:left w:val="single" w:sz="2" w:space="0" w:color="auto"/>
              <w:bottom w:val="single" w:sz="2" w:space="0" w:color="auto"/>
              <w:right w:val="single" w:sz="2" w:space="0" w:color="auto"/>
            </w:tcBorders>
            <w:vAlign w:val="center"/>
          </w:tcPr>
          <w:p w14:paraId="56F64A9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4,370.67</w:t>
            </w:r>
          </w:p>
        </w:tc>
        <w:tc>
          <w:tcPr>
            <w:tcW w:w="1606" w:type="dxa"/>
            <w:tcBorders>
              <w:top w:val="single" w:sz="2" w:space="0" w:color="auto"/>
              <w:left w:val="single" w:sz="2" w:space="0" w:color="auto"/>
              <w:bottom w:val="single" w:sz="2" w:space="0" w:color="auto"/>
              <w:right w:val="single" w:sz="2" w:space="0" w:color="auto"/>
            </w:tcBorders>
            <w:vAlign w:val="center"/>
          </w:tcPr>
          <w:p w14:paraId="41975911"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640CA7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4,370.67</w:t>
            </w:r>
          </w:p>
        </w:tc>
        <w:tc>
          <w:tcPr>
            <w:tcW w:w="1606" w:type="dxa"/>
            <w:tcBorders>
              <w:top w:val="single" w:sz="2" w:space="0" w:color="auto"/>
              <w:left w:val="single" w:sz="2" w:space="0" w:color="auto"/>
              <w:bottom w:val="single" w:sz="2" w:space="0" w:color="auto"/>
              <w:right w:val="single" w:sz="2" w:space="0" w:color="auto"/>
            </w:tcBorders>
            <w:vAlign w:val="center"/>
          </w:tcPr>
          <w:p w14:paraId="5EA37F7B"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15E8C7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33B2BB05"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E58E6F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湖山美地店门头改造费</w:t>
            </w:r>
          </w:p>
        </w:tc>
        <w:tc>
          <w:tcPr>
            <w:tcW w:w="1606" w:type="dxa"/>
            <w:tcBorders>
              <w:top w:val="single" w:sz="2" w:space="0" w:color="auto"/>
              <w:left w:val="single" w:sz="2" w:space="0" w:color="auto"/>
              <w:bottom w:val="single" w:sz="2" w:space="0" w:color="auto"/>
              <w:right w:val="single" w:sz="2" w:space="0" w:color="auto"/>
            </w:tcBorders>
            <w:vAlign w:val="center"/>
          </w:tcPr>
          <w:p w14:paraId="73A1DE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12,275.35</w:t>
            </w:r>
          </w:p>
        </w:tc>
        <w:tc>
          <w:tcPr>
            <w:tcW w:w="1606" w:type="dxa"/>
            <w:tcBorders>
              <w:top w:val="single" w:sz="2" w:space="0" w:color="auto"/>
              <w:left w:val="single" w:sz="2" w:space="0" w:color="auto"/>
              <w:bottom w:val="single" w:sz="2" w:space="0" w:color="auto"/>
              <w:right w:val="single" w:sz="2" w:space="0" w:color="auto"/>
            </w:tcBorders>
            <w:vAlign w:val="center"/>
          </w:tcPr>
          <w:p w14:paraId="23DF2B75"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392E6F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12,275.35</w:t>
            </w:r>
          </w:p>
        </w:tc>
        <w:tc>
          <w:tcPr>
            <w:tcW w:w="1606" w:type="dxa"/>
            <w:tcBorders>
              <w:top w:val="single" w:sz="2" w:space="0" w:color="auto"/>
              <w:left w:val="single" w:sz="2" w:space="0" w:color="auto"/>
              <w:bottom w:val="single" w:sz="2" w:space="0" w:color="auto"/>
              <w:right w:val="single" w:sz="2" w:space="0" w:color="auto"/>
            </w:tcBorders>
            <w:vAlign w:val="center"/>
          </w:tcPr>
          <w:p w14:paraId="75B38C29"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414F97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36EAAAB1"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ABD8D8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十五大街店门头改造费</w:t>
            </w:r>
          </w:p>
        </w:tc>
        <w:tc>
          <w:tcPr>
            <w:tcW w:w="1606" w:type="dxa"/>
            <w:tcBorders>
              <w:top w:val="single" w:sz="2" w:space="0" w:color="auto"/>
              <w:left w:val="single" w:sz="2" w:space="0" w:color="auto"/>
              <w:bottom w:val="single" w:sz="2" w:space="0" w:color="auto"/>
              <w:right w:val="single" w:sz="2" w:space="0" w:color="auto"/>
            </w:tcBorders>
            <w:vAlign w:val="center"/>
          </w:tcPr>
          <w:p w14:paraId="04EB3E4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6,269.08</w:t>
            </w:r>
          </w:p>
        </w:tc>
        <w:tc>
          <w:tcPr>
            <w:tcW w:w="1606" w:type="dxa"/>
            <w:tcBorders>
              <w:top w:val="single" w:sz="2" w:space="0" w:color="auto"/>
              <w:left w:val="single" w:sz="2" w:space="0" w:color="auto"/>
              <w:bottom w:val="single" w:sz="2" w:space="0" w:color="auto"/>
              <w:right w:val="single" w:sz="2" w:space="0" w:color="auto"/>
            </w:tcBorders>
            <w:vAlign w:val="center"/>
          </w:tcPr>
          <w:p w14:paraId="4FC1C3AC"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77C84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6,269.08</w:t>
            </w:r>
          </w:p>
        </w:tc>
        <w:tc>
          <w:tcPr>
            <w:tcW w:w="1606" w:type="dxa"/>
            <w:tcBorders>
              <w:top w:val="single" w:sz="2" w:space="0" w:color="auto"/>
              <w:left w:val="single" w:sz="2" w:space="0" w:color="auto"/>
              <w:bottom w:val="single" w:sz="2" w:space="0" w:color="auto"/>
              <w:right w:val="single" w:sz="2" w:space="0" w:color="auto"/>
            </w:tcBorders>
            <w:vAlign w:val="center"/>
          </w:tcPr>
          <w:p w14:paraId="5EE326D6"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B55D57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1A551FE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3A3233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盛世江山店装修费</w:t>
            </w:r>
          </w:p>
        </w:tc>
        <w:tc>
          <w:tcPr>
            <w:tcW w:w="1606" w:type="dxa"/>
            <w:tcBorders>
              <w:top w:val="single" w:sz="2" w:space="0" w:color="auto"/>
              <w:left w:val="single" w:sz="2" w:space="0" w:color="auto"/>
              <w:bottom w:val="single" w:sz="2" w:space="0" w:color="auto"/>
              <w:right w:val="single" w:sz="2" w:space="0" w:color="auto"/>
            </w:tcBorders>
            <w:vAlign w:val="center"/>
          </w:tcPr>
          <w:p w14:paraId="0489CEF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9,122.19</w:t>
            </w:r>
          </w:p>
        </w:tc>
        <w:tc>
          <w:tcPr>
            <w:tcW w:w="1606" w:type="dxa"/>
            <w:tcBorders>
              <w:top w:val="single" w:sz="2" w:space="0" w:color="auto"/>
              <w:left w:val="single" w:sz="2" w:space="0" w:color="auto"/>
              <w:bottom w:val="single" w:sz="2" w:space="0" w:color="auto"/>
              <w:right w:val="single" w:sz="2" w:space="0" w:color="auto"/>
            </w:tcBorders>
            <w:vAlign w:val="center"/>
          </w:tcPr>
          <w:p w14:paraId="35D4B99C"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CE1692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9,122.19</w:t>
            </w:r>
          </w:p>
        </w:tc>
        <w:tc>
          <w:tcPr>
            <w:tcW w:w="1606" w:type="dxa"/>
            <w:tcBorders>
              <w:top w:val="single" w:sz="2" w:space="0" w:color="auto"/>
              <w:left w:val="single" w:sz="2" w:space="0" w:color="auto"/>
              <w:bottom w:val="single" w:sz="2" w:space="0" w:color="auto"/>
              <w:right w:val="single" w:sz="2" w:space="0" w:color="auto"/>
            </w:tcBorders>
            <w:vAlign w:val="center"/>
          </w:tcPr>
          <w:p w14:paraId="2E8B7141"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684A90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28AED31F"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EB68B4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金地</w:t>
            </w:r>
            <w:proofErr w:type="gramStart"/>
            <w:r w:rsidRPr="00F614F9">
              <w:rPr>
                <w:rFonts w:ascii="Times New Roman" w:eastAsia="宋体" w:hAnsi="Times New Roman" w:cs="宋体"/>
                <w:sz w:val="18"/>
                <w:szCs w:val="18"/>
              </w:rPr>
              <w:t>悦峰店</w:t>
            </w:r>
            <w:proofErr w:type="gramEnd"/>
            <w:r w:rsidRPr="00F614F9">
              <w:rPr>
                <w:rFonts w:ascii="Times New Roman" w:eastAsia="宋体" w:hAnsi="Times New Roman" w:cs="宋体"/>
                <w:sz w:val="18"/>
                <w:szCs w:val="18"/>
              </w:rPr>
              <w:t>装修费</w:t>
            </w:r>
          </w:p>
        </w:tc>
        <w:tc>
          <w:tcPr>
            <w:tcW w:w="1606" w:type="dxa"/>
            <w:tcBorders>
              <w:top w:val="single" w:sz="2" w:space="0" w:color="auto"/>
              <w:left w:val="single" w:sz="2" w:space="0" w:color="auto"/>
              <w:bottom w:val="single" w:sz="2" w:space="0" w:color="auto"/>
              <w:right w:val="single" w:sz="2" w:space="0" w:color="auto"/>
            </w:tcBorders>
            <w:vAlign w:val="center"/>
          </w:tcPr>
          <w:p w14:paraId="4C0A2E3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10,035.47</w:t>
            </w:r>
          </w:p>
        </w:tc>
        <w:tc>
          <w:tcPr>
            <w:tcW w:w="1606" w:type="dxa"/>
            <w:tcBorders>
              <w:top w:val="single" w:sz="2" w:space="0" w:color="auto"/>
              <w:left w:val="single" w:sz="2" w:space="0" w:color="auto"/>
              <w:bottom w:val="single" w:sz="2" w:space="0" w:color="auto"/>
              <w:right w:val="single" w:sz="2" w:space="0" w:color="auto"/>
            </w:tcBorders>
            <w:vAlign w:val="center"/>
          </w:tcPr>
          <w:p w14:paraId="3D9C8EE9"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A2355B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10,035.47</w:t>
            </w:r>
          </w:p>
        </w:tc>
        <w:tc>
          <w:tcPr>
            <w:tcW w:w="1606" w:type="dxa"/>
            <w:tcBorders>
              <w:top w:val="single" w:sz="2" w:space="0" w:color="auto"/>
              <w:left w:val="single" w:sz="2" w:space="0" w:color="auto"/>
              <w:bottom w:val="single" w:sz="2" w:space="0" w:color="auto"/>
              <w:right w:val="single" w:sz="2" w:space="0" w:color="auto"/>
            </w:tcBorders>
            <w:vAlign w:val="center"/>
          </w:tcPr>
          <w:p w14:paraId="789B20FE"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24DAB3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1E419896"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5E61A4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十五大街店装修费</w:t>
            </w:r>
          </w:p>
        </w:tc>
        <w:tc>
          <w:tcPr>
            <w:tcW w:w="1606" w:type="dxa"/>
            <w:tcBorders>
              <w:top w:val="single" w:sz="2" w:space="0" w:color="auto"/>
              <w:left w:val="single" w:sz="2" w:space="0" w:color="auto"/>
              <w:bottom w:val="single" w:sz="2" w:space="0" w:color="auto"/>
              <w:right w:val="single" w:sz="2" w:space="0" w:color="auto"/>
            </w:tcBorders>
            <w:vAlign w:val="center"/>
          </w:tcPr>
          <w:p w14:paraId="778A598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19,210.05</w:t>
            </w:r>
          </w:p>
        </w:tc>
        <w:tc>
          <w:tcPr>
            <w:tcW w:w="1606" w:type="dxa"/>
            <w:tcBorders>
              <w:top w:val="single" w:sz="2" w:space="0" w:color="auto"/>
              <w:left w:val="single" w:sz="2" w:space="0" w:color="auto"/>
              <w:bottom w:val="single" w:sz="2" w:space="0" w:color="auto"/>
              <w:right w:val="single" w:sz="2" w:space="0" w:color="auto"/>
            </w:tcBorders>
            <w:vAlign w:val="center"/>
          </w:tcPr>
          <w:p w14:paraId="119A4E91"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7C4CA2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19,210.05</w:t>
            </w:r>
          </w:p>
        </w:tc>
        <w:tc>
          <w:tcPr>
            <w:tcW w:w="1606" w:type="dxa"/>
            <w:tcBorders>
              <w:top w:val="single" w:sz="2" w:space="0" w:color="auto"/>
              <w:left w:val="single" w:sz="2" w:space="0" w:color="auto"/>
              <w:bottom w:val="single" w:sz="2" w:space="0" w:color="auto"/>
              <w:right w:val="single" w:sz="2" w:space="0" w:color="auto"/>
            </w:tcBorders>
            <w:vAlign w:val="center"/>
          </w:tcPr>
          <w:p w14:paraId="038BD37F"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63D71C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4ABC9453"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587710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湖山美地店装修费</w:t>
            </w:r>
          </w:p>
        </w:tc>
        <w:tc>
          <w:tcPr>
            <w:tcW w:w="1606" w:type="dxa"/>
            <w:tcBorders>
              <w:top w:val="single" w:sz="2" w:space="0" w:color="auto"/>
              <w:left w:val="single" w:sz="2" w:space="0" w:color="auto"/>
              <w:bottom w:val="single" w:sz="2" w:space="0" w:color="auto"/>
              <w:right w:val="single" w:sz="2" w:space="0" w:color="auto"/>
            </w:tcBorders>
            <w:vAlign w:val="center"/>
          </w:tcPr>
          <w:p w14:paraId="480919A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890.22</w:t>
            </w:r>
          </w:p>
        </w:tc>
        <w:tc>
          <w:tcPr>
            <w:tcW w:w="1606" w:type="dxa"/>
            <w:tcBorders>
              <w:top w:val="single" w:sz="2" w:space="0" w:color="auto"/>
              <w:left w:val="single" w:sz="2" w:space="0" w:color="auto"/>
              <w:bottom w:val="single" w:sz="2" w:space="0" w:color="auto"/>
              <w:right w:val="single" w:sz="2" w:space="0" w:color="auto"/>
            </w:tcBorders>
            <w:vAlign w:val="center"/>
          </w:tcPr>
          <w:p w14:paraId="2028EC6A"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D02577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890.22</w:t>
            </w:r>
          </w:p>
        </w:tc>
        <w:tc>
          <w:tcPr>
            <w:tcW w:w="1606" w:type="dxa"/>
            <w:tcBorders>
              <w:top w:val="single" w:sz="2" w:space="0" w:color="auto"/>
              <w:left w:val="single" w:sz="2" w:space="0" w:color="auto"/>
              <w:bottom w:val="single" w:sz="2" w:space="0" w:color="auto"/>
              <w:right w:val="single" w:sz="2" w:space="0" w:color="auto"/>
            </w:tcBorders>
            <w:vAlign w:val="center"/>
          </w:tcPr>
          <w:p w14:paraId="3DE1D8C7"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C4629C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35AD80A5"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F930B5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石榴街区店装修费</w:t>
            </w:r>
          </w:p>
        </w:tc>
        <w:tc>
          <w:tcPr>
            <w:tcW w:w="1606" w:type="dxa"/>
            <w:tcBorders>
              <w:top w:val="single" w:sz="2" w:space="0" w:color="auto"/>
              <w:left w:val="single" w:sz="2" w:space="0" w:color="auto"/>
              <w:bottom w:val="single" w:sz="2" w:space="0" w:color="auto"/>
              <w:right w:val="single" w:sz="2" w:space="0" w:color="auto"/>
            </w:tcBorders>
            <w:vAlign w:val="center"/>
          </w:tcPr>
          <w:p w14:paraId="0727FF7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1,294.92</w:t>
            </w:r>
          </w:p>
        </w:tc>
        <w:tc>
          <w:tcPr>
            <w:tcW w:w="1606" w:type="dxa"/>
            <w:tcBorders>
              <w:top w:val="single" w:sz="2" w:space="0" w:color="auto"/>
              <w:left w:val="single" w:sz="2" w:space="0" w:color="auto"/>
              <w:bottom w:val="single" w:sz="2" w:space="0" w:color="auto"/>
              <w:right w:val="single" w:sz="2" w:space="0" w:color="auto"/>
            </w:tcBorders>
            <w:vAlign w:val="center"/>
          </w:tcPr>
          <w:p w14:paraId="24809522"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3E5FA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1,294.92</w:t>
            </w:r>
          </w:p>
        </w:tc>
        <w:tc>
          <w:tcPr>
            <w:tcW w:w="1606" w:type="dxa"/>
            <w:tcBorders>
              <w:top w:val="single" w:sz="2" w:space="0" w:color="auto"/>
              <w:left w:val="single" w:sz="2" w:space="0" w:color="auto"/>
              <w:bottom w:val="single" w:sz="2" w:space="0" w:color="auto"/>
              <w:right w:val="single" w:sz="2" w:space="0" w:color="auto"/>
            </w:tcBorders>
            <w:vAlign w:val="center"/>
          </w:tcPr>
          <w:p w14:paraId="58C67B26"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16F4B6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2E1FF0E9"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C2D10E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延川路店装修费</w:t>
            </w:r>
          </w:p>
        </w:tc>
        <w:tc>
          <w:tcPr>
            <w:tcW w:w="1606" w:type="dxa"/>
            <w:tcBorders>
              <w:top w:val="single" w:sz="2" w:space="0" w:color="auto"/>
              <w:left w:val="single" w:sz="2" w:space="0" w:color="auto"/>
              <w:bottom w:val="single" w:sz="2" w:space="0" w:color="auto"/>
              <w:right w:val="single" w:sz="2" w:space="0" w:color="auto"/>
            </w:tcBorders>
            <w:vAlign w:val="center"/>
          </w:tcPr>
          <w:p w14:paraId="47EF763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16,889.71</w:t>
            </w:r>
          </w:p>
        </w:tc>
        <w:tc>
          <w:tcPr>
            <w:tcW w:w="1606" w:type="dxa"/>
            <w:tcBorders>
              <w:top w:val="single" w:sz="2" w:space="0" w:color="auto"/>
              <w:left w:val="single" w:sz="2" w:space="0" w:color="auto"/>
              <w:bottom w:val="single" w:sz="2" w:space="0" w:color="auto"/>
              <w:right w:val="single" w:sz="2" w:space="0" w:color="auto"/>
            </w:tcBorders>
            <w:vAlign w:val="center"/>
          </w:tcPr>
          <w:p w14:paraId="4898050F"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B06F6C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16,889.71</w:t>
            </w:r>
          </w:p>
        </w:tc>
        <w:tc>
          <w:tcPr>
            <w:tcW w:w="1606" w:type="dxa"/>
            <w:tcBorders>
              <w:top w:val="single" w:sz="2" w:space="0" w:color="auto"/>
              <w:left w:val="single" w:sz="2" w:space="0" w:color="auto"/>
              <w:bottom w:val="single" w:sz="2" w:space="0" w:color="auto"/>
              <w:right w:val="single" w:sz="2" w:space="0" w:color="auto"/>
            </w:tcBorders>
            <w:vAlign w:val="center"/>
          </w:tcPr>
          <w:p w14:paraId="2536F4F6"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86036B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074CB138"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A69D9B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凤凰国际店装修费</w:t>
            </w:r>
          </w:p>
        </w:tc>
        <w:tc>
          <w:tcPr>
            <w:tcW w:w="1606" w:type="dxa"/>
            <w:tcBorders>
              <w:top w:val="single" w:sz="2" w:space="0" w:color="auto"/>
              <w:left w:val="single" w:sz="2" w:space="0" w:color="auto"/>
              <w:bottom w:val="single" w:sz="2" w:space="0" w:color="auto"/>
              <w:right w:val="single" w:sz="2" w:space="0" w:color="auto"/>
            </w:tcBorders>
            <w:vAlign w:val="center"/>
          </w:tcPr>
          <w:p w14:paraId="69D2D8E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4,424.06</w:t>
            </w:r>
          </w:p>
        </w:tc>
        <w:tc>
          <w:tcPr>
            <w:tcW w:w="1606" w:type="dxa"/>
            <w:tcBorders>
              <w:top w:val="single" w:sz="2" w:space="0" w:color="auto"/>
              <w:left w:val="single" w:sz="2" w:space="0" w:color="auto"/>
              <w:bottom w:val="single" w:sz="2" w:space="0" w:color="auto"/>
              <w:right w:val="single" w:sz="2" w:space="0" w:color="auto"/>
            </w:tcBorders>
            <w:vAlign w:val="center"/>
          </w:tcPr>
          <w:p w14:paraId="58D76344"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A0809A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4,424.06</w:t>
            </w:r>
          </w:p>
        </w:tc>
        <w:tc>
          <w:tcPr>
            <w:tcW w:w="1606" w:type="dxa"/>
            <w:tcBorders>
              <w:top w:val="single" w:sz="2" w:space="0" w:color="auto"/>
              <w:left w:val="single" w:sz="2" w:space="0" w:color="auto"/>
              <w:bottom w:val="single" w:sz="2" w:space="0" w:color="auto"/>
              <w:right w:val="single" w:sz="2" w:space="0" w:color="auto"/>
            </w:tcBorders>
            <w:vAlign w:val="center"/>
          </w:tcPr>
          <w:p w14:paraId="01667534"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2AB0E3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4A93E28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437657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研发中心装修设计</w:t>
            </w:r>
          </w:p>
        </w:tc>
        <w:tc>
          <w:tcPr>
            <w:tcW w:w="1606" w:type="dxa"/>
            <w:tcBorders>
              <w:top w:val="single" w:sz="2" w:space="0" w:color="auto"/>
              <w:left w:val="single" w:sz="2" w:space="0" w:color="auto"/>
              <w:bottom w:val="single" w:sz="2" w:space="0" w:color="auto"/>
              <w:right w:val="single" w:sz="2" w:space="0" w:color="auto"/>
            </w:tcBorders>
            <w:vAlign w:val="center"/>
          </w:tcPr>
          <w:p w14:paraId="7C3D7C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4,287,502.65</w:t>
            </w:r>
          </w:p>
        </w:tc>
        <w:tc>
          <w:tcPr>
            <w:tcW w:w="1606" w:type="dxa"/>
            <w:tcBorders>
              <w:top w:val="single" w:sz="2" w:space="0" w:color="auto"/>
              <w:left w:val="single" w:sz="2" w:space="0" w:color="auto"/>
              <w:bottom w:val="single" w:sz="2" w:space="0" w:color="auto"/>
              <w:right w:val="single" w:sz="2" w:space="0" w:color="auto"/>
            </w:tcBorders>
            <w:vAlign w:val="center"/>
          </w:tcPr>
          <w:p w14:paraId="5DE978C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414,785.94</w:t>
            </w:r>
          </w:p>
        </w:tc>
        <w:tc>
          <w:tcPr>
            <w:tcW w:w="1606" w:type="dxa"/>
            <w:tcBorders>
              <w:top w:val="single" w:sz="2" w:space="0" w:color="auto"/>
              <w:left w:val="single" w:sz="2" w:space="0" w:color="auto"/>
              <w:bottom w:val="single" w:sz="2" w:space="0" w:color="auto"/>
              <w:right w:val="single" w:sz="2" w:space="0" w:color="auto"/>
            </w:tcBorders>
            <w:vAlign w:val="center"/>
          </w:tcPr>
          <w:p w14:paraId="60CB15A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1,146,884.52</w:t>
            </w:r>
          </w:p>
        </w:tc>
        <w:tc>
          <w:tcPr>
            <w:tcW w:w="1606" w:type="dxa"/>
            <w:tcBorders>
              <w:top w:val="single" w:sz="2" w:space="0" w:color="auto"/>
              <w:left w:val="single" w:sz="2" w:space="0" w:color="auto"/>
              <w:bottom w:val="single" w:sz="2" w:space="0" w:color="auto"/>
              <w:right w:val="single" w:sz="2" w:space="0" w:color="auto"/>
            </w:tcBorders>
            <w:vAlign w:val="center"/>
          </w:tcPr>
          <w:p w14:paraId="6A0B6E34"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38FB15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3,555,404.07</w:t>
            </w:r>
          </w:p>
        </w:tc>
      </w:tr>
      <w:tr w:rsidR="001D26E7" w:rsidRPr="00F614F9" w14:paraId="5382F2F9"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66703A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夏庄猪场</w:t>
            </w:r>
          </w:p>
        </w:tc>
        <w:tc>
          <w:tcPr>
            <w:tcW w:w="1606" w:type="dxa"/>
            <w:tcBorders>
              <w:top w:val="single" w:sz="2" w:space="0" w:color="auto"/>
              <w:left w:val="single" w:sz="2" w:space="0" w:color="auto"/>
              <w:bottom w:val="single" w:sz="2" w:space="0" w:color="auto"/>
              <w:right w:val="single" w:sz="2" w:space="0" w:color="auto"/>
            </w:tcBorders>
            <w:vAlign w:val="center"/>
          </w:tcPr>
          <w:p w14:paraId="5904F67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3,786,424.65</w:t>
            </w:r>
          </w:p>
        </w:tc>
        <w:tc>
          <w:tcPr>
            <w:tcW w:w="1606" w:type="dxa"/>
            <w:tcBorders>
              <w:top w:val="single" w:sz="2" w:space="0" w:color="auto"/>
              <w:left w:val="single" w:sz="2" w:space="0" w:color="auto"/>
              <w:bottom w:val="single" w:sz="2" w:space="0" w:color="auto"/>
              <w:right w:val="single" w:sz="2" w:space="0" w:color="auto"/>
            </w:tcBorders>
            <w:vAlign w:val="center"/>
          </w:tcPr>
          <w:p w14:paraId="2E70EFCE"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DAC75D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2,065,322.53</w:t>
            </w:r>
          </w:p>
        </w:tc>
        <w:tc>
          <w:tcPr>
            <w:tcW w:w="1606" w:type="dxa"/>
            <w:tcBorders>
              <w:top w:val="single" w:sz="2" w:space="0" w:color="auto"/>
              <w:left w:val="single" w:sz="2" w:space="0" w:color="auto"/>
              <w:bottom w:val="single" w:sz="2" w:space="0" w:color="auto"/>
              <w:right w:val="single" w:sz="2" w:space="0" w:color="auto"/>
            </w:tcBorders>
            <w:vAlign w:val="center"/>
          </w:tcPr>
          <w:p w14:paraId="1C32C328"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275928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1,721,102.12</w:t>
            </w:r>
          </w:p>
        </w:tc>
      </w:tr>
      <w:tr w:rsidR="001D26E7" w:rsidRPr="00F614F9" w14:paraId="7B579F01"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1B0218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放养管理中心装修费</w:t>
            </w:r>
          </w:p>
        </w:tc>
        <w:tc>
          <w:tcPr>
            <w:tcW w:w="1606" w:type="dxa"/>
            <w:tcBorders>
              <w:top w:val="single" w:sz="2" w:space="0" w:color="auto"/>
              <w:left w:val="single" w:sz="2" w:space="0" w:color="auto"/>
              <w:bottom w:val="single" w:sz="2" w:space="0" w:color="auto"/>
              <w:right w:val="single" w:sz="2" w:space="0" w:color="auto"/>
            </w:tcBorders>
            <w:vAlign w:val="center"/>
          </w:tcPr>
          <w:p w14:paraId="3D04426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2,237,363.17</w:t>
            </w:r>
          </w:p>
        </w:tc>
        <w:tc>
          <w:tcPr>
            <w:tcW w:w="1606" w:type="dxa"/>
            <w:tcBorders>
              <w:top w:val="single" w:sz="2" w:space="0" w:color="auto"/>
              <w:left w:val="single" w:sz="2" w:space="0" w:color="auto"/>
              <w:bottom w:val="single" w:sz="2" w:space="0" w:color="auto"/>
              <w:right w:val="single" w:sz="2" w:space="0" w:color="auto"/>
            </w:tcBorders>
            <w:vAlign w:val="center"/>
          </w:tcPr>
          <w:p w14:paraId="6773CF31"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0E074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279,670.38</w:t>
            </w:r>
          </w:p>
        </w:tc>
        <w:tc>
          <w:tcPr>
            <w:tcW w:w="1606" w:type="dxa"/>
            <w:tcBorders>
              <w:top w:val="single" w:sz="2" w:space="0" w:color="auto"/>
              <w:left w:val="single" w:sz="2" w:space="0" w:color="auto"/>
              <w:bottom w:val="single" w:sz="2" w:space="0" w:color="auto"/>
              <w:right w:val="single" w:sz="2" w:space="0" w:color="auto"/>
            </w:tcBorders>
            <w:vAlign w:val="center"/>
          </w:tcPr>
          <w:p w14:paraId="1DF45D0F"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2A2D1C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1,957,692.79</w:t>
            </w:r>
          </w:p>
        </w:tc>
      </w:tr>
      <w:tr w:rsidR="001D26E7" w:rsidRPr="00F614F9" w14:paraId="46580396"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B7BDB0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098E8A8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11,818,005.15</w:t>
            </w:r>
          </w:p>
        </w:tc>
        <w:tc>
          <w:tcPr>
            <w:tcW w:w="1606" w:type="dxa"/>
            <w:tcBorders>
              <w:top w:val="single" w:sz="2" w:space="0" w:color="auto"/>
              <w:left w:val="single" w:sz="2" w:space="0" w:color="auto"/>
              <w:bottom w:val="single" w:sz="2" w:space="0" w:color="auto"/>
              <w:right w:val="single" w:sz="2" w:space="0" w:color="auto"/>
            </w:tcBorders>
            <w:vAlign w:val="center"/>
          </w:tcPr>
          <w:p w14:paraId="3C649DE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414,785.94</w:t>
            </w:r>
          </w:p>
        </w:tc>
        <w:tc>
          <w:tcPr>
            <w:tcW w:w="1606" w:type="dxa"/>
            <w:tcBorders>
              <w:top w:val="single" w:sz="2" w:space="0" w:color="auto"/>
              <w:left w:val="single" w:sz="2" w:space="0" w:color="auto"/>
              <w:bottom w:val="single" w:sz="2" w:space="0" w:color="auto"/>
              <w:right w:val="single" w:sz="2" w:space="0" w:color="auto"/>
            </w:tcBorders>
            <w:vAlign w:val="center"/>
          </w:tcPr>
          <w:p w14:paraId="7B0995D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4,619,081.44</w:t>
            </w:r>
          </w:p>
        </w:tc>
        <w:tc>
          <w:tcPr>
            <w:tcW w:w="1606" w:type="dxa"/>
            <w:tcBorders>
              <w:top w:val="single" w:sz="2" w:space="0" w:color="auto"/>
              <w:left w:val="single" w:sz="2" w:space="0" w:color="auto"/>
              <w:bottom w:val="single" w:sz="2" w:space="0" w:color="auto"/>
              <w:right w:val="single" w:sz="2" w:space="0" w:color="auto"/>
            </w:tcBorders>
            <w:vAlign w:val="center"/>
          </w:tcPr>
          <w:p w14:paraId="39C6D996"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C96200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7,613,709.65</w:t>
            </w:r>
          </w:p>
        </w:tc>
      </w:tr>
    </w:tbl>
    <w:p w14:paraId="398E772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297E991E" w14:textId="77777777" w:rsidR="00872599" w:rsidRPr="00F614F9" w:rsidRDefault="00000000">
      <w:pPr>
        <w:pStyle w:val="a3"/>
        <w:divId w:val="211771213"/>
        <w:rPr>
          <w:rFonts w:ascii="Times New Roman" w:hAnsi="Times New Roman"/>
          <w:sz w:val="18"/>
          <w:szCs w:val="18"/>
        </w:rPr>
      </w:pPr>
      <w:r w:rsidRPr="00F614F9">
        <w:rPr>
          <w:rFonts w:ascii="Times New Roman" w:hAnsi="Times New Roman" w:hint="eastAsia"/>
          <w:sz w:val="18"/>
          <w:szCs w:val="18"/>
        </w:rPr>
        <w:t>无</w:t>
      </w:r>
    </w:p>
    <w:p w14:paraId="78C4EE55" w14:textId="77777777" w:rsidR="001D26E7" w:rsidRPr="00F614F9" w:rsidRDefault="00000000">
      <w:pPr>
        <w:pStyle w:val="3"/>
        <w:spacing w:line="280" w:lineRule="exact"/>
        <w:jc w:val="left"/>
        <w:rPr>
          <w:rFonts w:ascii="Times New Roman" w:hAnsi="Times New Roman" w:cs="宋体"/>
          <w:b/>
          <w:bCs/>
        </w:rPr>
      </w:pPr>
      <w:bookmarkStart w:id="415" w:name="_Toc989249"/>
      <w:r w:rsidRPr="00F614F9">
        <w:rPr>
          <w:rFonts w:ascii="Times New Roman" w:hAnsi="Times New Roman" w:cs="宋体"/>
          <w:b/>
          <w:bCs/>
        </w:rPr>
        <w:t>29</w:t>
      </w:r>
      <w:r w:rsidRPr="00F614F9">
        <w:rPr>
          <w:rFonts w:ascii="Times New Roman" w:hAnsi="Times New Roman" w:cs="宋体"/>
          <w:b/>
          <w:bCs/>
        </w:rPr>
        <w:t>、递延所得税资产</w:t>
      </w:r>
      <w:r w:rsidRPr="00F614F9">
        <w:rPr>
          <w:rFonts w:ascii="Times New Roman" w:hAnsi="Times New Roman" w:cs="宋体"/>
          <w:b/>
          <w:bCs/>
        </w:rPr>
        <w:t>/</w:t>
      </w:r>
      <w:r w:rsidRPr="00F614F9">
        <w:rPr>
          <w:rFonts w:ascii="Times New Roman" w:hAnsi="Times New Roman" w:cs="宋体"/>
          <w:b/>
          <w:bCs/>
        </w:rPr>
        <w:t>递延所得税负债</w:t>
      </w:r>
      <w:bookmarkEnd w:id="415"/>
    </w:p>
    <w:p w14:paraId="35F83C4C"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16" w:name="_Toc989250"/>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未经</w:t>
      </w:r>
      <w:proofErr w:type="gramStart"/>
      <w:r w:rsidRPr="00F614F9">
        <w:rPr>
          <w:rFonts w:ascii="Times New Roman" w:eastAsia="宋体" w:hAnsi="Times New Roman" w:cs="宋体"/>
          <w:b/>
          <w:bCs/>
          <w:szCs w:val="21"/>
        </w:rPr>
        <w:t>抵销</w:t>
      </w:r>
      <w:proofErr w:type="gramEnd"/>
      <w:r w:rsidRPr="00F614F9">
        <w:rPr>
          <w:rFonts w:ascii="Times New Roman" w:eastAsia="宋体" w:hAnsi="Times New Roman" w:cs="宋体"/>
          <w:b/>
          <w:bCs/>
          <w:szCs w:val="21"/>
        </w:rPr>
        <w:t>的递延所得税资产</w:t>
      </w:r>
      <w:bookmarkEnd w:id="416"/>
    </w:p>
    <w:p w14:paraId="0F2E0E8C"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1D26E7" w:rsidRPr="00F614F9" w14:paraId="7D535F8B"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4F0C9A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474FFB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78390B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148A7927"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2855801" w14:textId="77777777" w:rsidR="001D26E7" w:rsidRPr="00F614F9" w:rsidRDefault="001D26E7">
            <w:pPr>
              <w:rPr>
                <w:rFonts w:ascii="Times New Roman" w:hAnsi="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08DBF4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8EF16D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74C8BC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E9C12D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递延所得税资产</w:t>
            </w:r>
          </w:p>
        </w:tc>
      </w:tr>
      <w:tr w:rsidR="001D26E7" w:rsidRPr="00F614F9" w14:paraId="0B4ECB6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F567A8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资产减值准备</w:t>
            </w:r>
          </w:p>
        </w:tc>
        <w:tc>
          <w:tcPr>
            <w:tcW w:w="1928" w:type="dxa"/>
            <w:tcBorders>
              <w:top w:val="single" w:sz="2" w:space="0" w:color="auto"/>
              <w:left w:val="single" w:sz="2" w:space="0" w:color="auto"/>
              <w:bottom w:val="single" w:sz="2" w:space="0" w:color="auto"/>
              <w:right w:val="single" w:sz="2" w:space="0" w:color="auto"/>
            </w:tcBorders>
            <w:vAlign w:val="center"/>
          </w:tcPr>
          <w:p w14:paraId="53A6563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674,581.49</w:t>
            </w:r>
          </w:p>
        </w:tc>
        <w:tc>
          <w:tcPr>
            <w:tcW w:w="1928" w:type="dxa"/>
            <w:tcBorders>
              <w:top w:val="single" w:sz="2" w:space="0" w:color="auto"/>
              <w:left w:val="single" w:sz="2" w:space="0" w:color="auto"/>
              <w:bottom w:val="single" w:sz="2" w:space="0" w:color="auto"/>
              <w:right w:val="single" w:sz="2" w:space="0" w:color="auto"/>
            </w:tcBorders>
            <w:vAlign w:val="center"/>
          </w:tcPr>
          <w:p w14:paraId="2F46746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163,246.98</w:t>
            </w:r>
          </w:p>
        </w:tc>
        <w:tc>
          <w:tcPr>
            <w:tcW w:w="1928" w:type="dxa"/>
            <w:tcBorders>
              <w:top w:val="single" w:sz="2" w:space="0" w:color="auto"/>
              <w:left w:val="single" w:sz="2" w:space="0" w:color="auto"/>
              <w:bottom w:val="single" w:sz="2" w:space="0" w:color="auto"/>
              <w:right w:val="single" w:sz="2" w:space="0" w:color="auto"/>
            </w:tcBorders>
            <w:vAlign w:val="center"/>
          </w:tcPr>
          <w:p w14:paraId="3CEBF63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949,675.72</w:t>
            </w:r>
          </w:p>
        </w:tc>
        <w:tc>
          <w:tcPr>
            <w:tcW w:w="1928" w:type="dxa"/>
            <w:tcBorders>
              <w:top w:val="single" w:sz="2" w:space="0" w:color="auto"/>
              <w:left w:val="single" w:sz="2" w:space="0" w:color="auto"/>
              <w:bottom w:val="single" w:sz="2" w:space="0" w:color="auto"/>
              <w:right w:val="single" w:sz="2" w:space="0" w:color="auto"/>
            </w:tcBorders>
            <w:vAlign w:val="center"/>
          </w:tcPr>
          <w:p w14:paraId="4350BC2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235,114.18</w:t>
            </w:r>
          </w:p>
        </w:tc>
      </w:tr>
      <w:tr w:rsidR="001D26E7" w:rsidRPr="00F614F9" w14:paraId="7C3ECE2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8DF1BB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可抵扣亏损</w:t>
            </w:r>
          </w:p>
        </w:tc>
        <w:tc>
          <w:tcPr>
            <w:tcW w:w="1928" w:type="dxa"/>
            <w:tcBorders>
              <w:top w:val="single" w:sz="2" w:space="0" w:color="auto"/>
              <w:left w:val="single" w:sz="2" w:space="0" w:color="auto"/>
              <w:bottom w:val="single" w:sz="2" w:space="0" w:color="auto"/>
              <w:right w:val="single" w:sz="2" w:space="0" w:color="auto"/>
            </w:tcBorders>
            <w:vAlign w:val="center"/>
          </w:tcPr>
          <w:p w14:paraId="5236423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113,295,117.51</w:t>
            </w:r>
          </w:p>
        </w:tc>
        <w:tc>
          <w:tcPr>
            <w:tcW w:w="1928" w:type="dxa"/>
            <w:tcBorders>
              <w:top w:val="single" w:sz="2" w:space="0" w:color="auto"/>
              <w:left w:val="single" w:sz="2" w:space="0" w:color="auto"/>
              <w:bottom w:val="single" w:sz="2" w:space="0" w:color="auto"/>
              <w:right w:val="single" w:sz="2" w:space="0" w:color="auto"/>
            </w:tcBorders>
            <w:vAlign w:val="center"/>
          </w:tcPr>
          <w:p w14:paraId="069848C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28,323,779.37</w:t>
            </w:r>
          </w:p>
        </w:tc>
        <w:tc>
          <w:tcPr>
            <w:tcW w:w="1928" w:type="dxa"/>
            <w:tcBorders>
              <w:top w:val="single" w:sz="2" w:space="0" w:color="auto"/>
              <w:left w:val="single" w:sz="2" w:space="0" w:color="auto"/>
              <w:bottom w:val="single" w:sz="2" w:space="0" w:color="auto"/>
              <w:right w:val="single" w:sz="2" w:space="0" w:color="auto"/>
            </w:tcBorders>
            <w:vAlign w:val="center"/>
          </w:tcPr>
          <w:p w14:paraId="1B2C9E4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347,919,993.04</w:t>
            </w:r>
          </w:p>
        </w:tc>
        <w:tc>
          <w:tcPr>
            <w:tcW w:w="1928" w:type="dxa"/>
            <w:tcBorders>
              <w:top w:val="single" w:sz="2" w:space="0" w:color="auto"/>
              <w:left w:val="single" w:sz="2" w:space="0" w:color="auto"/>
              <w:bottom w:val="single" w:sz="2" w:space="0" w:color="auto"/>
              <w:right w:val="single" w:sz="2" w:space="0" w:color="auto"/>
            </w:tcBorders>
            <w:vAlign w:val="center"/>
          </w:tcPr>
          <w:p w14:paraId="19C02B0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86,979,998.26</w:t>
            </w:r>
          </w:p>
        </w:tc>
      </w:tr>
      <w:tr w:rsidR="001D26E7" w:rsidRPr="00F614F9" w14:paraId="517FD87E"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078AE7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租赁负债影响数</w:t>
            </w:r>
          </w:p>
        </w:tc>
        <w:tc>
          <w:tcPr>
            <w:tcW w:w="1928" w:type="dxa"/>
            <w:tcBorders>
              <w:top w:val="single" w:sz="2" w:space="0" w:color="auto"/>
              <w:left w:val="single" w:sz="2" w:space="0" w:color="auto"/>
              <w:bottom w:val="single" w:sz="2" w:space="0" w:color="auto"/>
              <w:right w:val="single" w:sz="2" w:space="0" w:color="auto"/>
            </w:tcBorders>
            <w:vAlign w:val="center"/>
          </w:tcPr>
          <w:p w14:paraId="00CA4A3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6,765,301.51</w:t>
            </w:r>
          </w:p>
        </w:tc>
        <w:tc>
          <w:tcPr>
            <w:tcW w:w="1928" w:type="dxa"/>
            <w:tcBorders>
              <w:top w:val="single" w:sz="2" w:space="0" w:color="auto"/>
              <w:left w:val="single" w:sz="2" w:space="0" w:color="auto"/>
              <w:bottom w:val="single" w:sz="2" w:space="0" w:color="auto"/>
              <w:right w:val="single" w:sz="2" w:space="0" w:color="auto"/>
            </w:tcBorders>
            <w:vAlign w:val="center"/>
          </w:tcPr>
          <w:p w14:paraId="6B8E469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1,254,938.25</w:t>
            </w:r>
          </w:p>
        </w:tc>
        <w:tc>
          <w:tcPr>
            <w:tcW w:w="1928" w:type="dxa"/>
            <w:tcBorders>
              <w:top w:val="single" w:sz="2" w:space="0" w:color="auto"/>
              <w:left w:val="single" w:sz="2" w:space="0" w:color="auto"/>
              <w:bottom w:val="single" w:sz="2" w:space="0" w:color="auto"/>
              <w:right w:val="single" w:sz="2" w:space="0" w:color="auto"/>
            </w:tcBorders>
            <w:vAlign w:val="center"/>
          </w:tcPr>
          <w:p w14:paraId="4C381A6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17,353,310.88</w:t>
            </w:r>
          </w:p>
        </w:tc>
        <w:tc>
          <w:tcPr>
            <w:tcW w:w="1928" w:type="dxa"/>
            <w:tcBorders>
              <w:top w:val="single" w:sz="2" w:space="0" w:color="auto"/>
              <w:left w:val="single" w:sz="2" w:space="0" w:color="auto"/>
              <w:bottom w:val="single" w:sz="2" w:space="0" w:color="auto"/>
              <w:right w:val="single" w:sz="2" w:space="0" w:color="auto"/>
            </w:tcBorders>
            <w:vAlign w:val="center"/>
          </w:tcPr>
          <w:p w14:paraId="1F59C24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3,771,572.24</w:t>
            </w:r>
          </w:p>
        </w:tc>
      </w:tr>
      <w:tr w:rsidR="001D26E7" w:rsidRPr="00F614F9" w14:paraId="5FD7669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0A12F6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32A4E6F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120,735,000.51</w:t>
            </w:r>
          </w:p>
        </w:tc>
        <w:tc>
          <w:tcPr>
            <w:tcW w:w="1928" w:type="dxa"/>
            <w:tcBorders>
              <w:top w:val="single" w:sz="2" w:space="0" w:color="auto"/>
              <w:left w:val="single" w:sz="2" w:space="0" w:color="auto"/>
              <w:bottom w:val="single" w:sz="2" w:space="0" w:color="auto"/>
              <w:right w:val="single" w:sz="2" w:space="0" w:color="auto"/>
            </w:tcBorders>
            <w:vAlign w:val="center"/>
          </w:tcPr>
          <w:p w14:paraId="7B3CD24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29,741,964.60</w:t>
            </w:r>
          </w:p>
        </w:tc>
        <w:tc>
          <w:tcPr>
            <w:tcW w:w="1928" w:type="dxa"/>
            <w:tcBorders>
              <w:top w:val="single" w:sz="2" w:space="0" w:color="auto"/>
              <w:left w:val="single" w:sz="2" w:space="0" w:color="auto"/>
              <w:bottom w:val="single" w:sz="2" w:space="0" w:color="auto"/>
              <w:right w:val="single" w:sz="2" w:space="0" w:color="auto"/>
            </w:tcBorders>
            <w:vAlign w:val="center"/>
          </w:tcPr>
          <w:p w14:paraId="675B5A4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366,222,979.64</w:t>
            </w:r>
          </w:p>
        </w:tc>
        <w:tc>
          <w:tcPr>
            <w:tcW w:w="1928" w:type="dxa"/>
            <w:tcBorders>
              <w:top w:val="single" w:sz="2" w:space="0" w:color="auto"/>
              <w:left w:val="single" w:sz="2" w:space="0" w:color="auto"/>
              <w:bottom w:val="single" w:sz="2" w:space="0" w:color="auto"/>
              <w:right w:val="single" w:sz="2" w:space="0" w:color="auto"/>
            </w:tcBorders>
            <w:vAlign w:val="center"/>
          </w:tcPr>
          <w:p w14:paraId="36A4803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90,986,684.68</w:t>
            </w:r>
          </w:p>
        </w:tc>
      </w:tr>
    </w:tbl>
    <w:p w14:paraId="658799ED"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17" w:name="_Toc989251"/>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未经</w:t>
      </w:r>
      <w:proofErr w:type="gramStart"/>
      <w:r w:rsidRPr="00F614F9">
        <w:rPr>
          <w:rFonts w:ascii="Times New Roman" w:eastAsia="宋体" w:hAnsi="Times New Roman" w:cs="宋体"/>
          <w:b/>
          <w:bCs/>
          <w:szCs w:val="21"/>
        </w:rPr>
        <w:t>抵销</w:t>
      </w:r>
      <w:proofErr w:type="gramEnd"/>
      <w:r w:rsidRPr="00F614F9">
        <w:rPr>
          <w:rFonts w:ascii="Times New Roman" w:eastAsia="宋体" w:hAnsi="Times New Roman" w:cs="宋体"/>
          <w:b/>
          <w:bCs/>
          <w:szCs w:val="21"/>
        </w:rPr>
        <w:t>的递延所得税负债</w:t>
      </w:r>
      <w:bookmarkEnd w:id="417"/>
    </w:p>
    <w:p w14:paraId="1E290898"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1D26E7" w:rsidRPr="00F614F9" w14:paraId="0B145647"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73B6D7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DE405B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FBC04E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29803A20"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63EA528" w14:textId="77777777" w:rsidR="001D26E7" w:rsidRPr="00F614F9" w:rsidRDefault="001D26E7">
            <w:pPr>
              <w:rPr>
                <w:rFonts w:ascii="Times New Roman" w:hAnsi="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C52AE5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AF661D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91578E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7CD494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递延所得税负债</w:t>
            </w:r>
          </w:p>
        </w:tc>
      </w:tr>
      <w:tr w:rsidR="001D26E7" w:rsidRPr="00F614F9" w14:paraId="6CD14CE3"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742AC9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固定资产一次性税前扣除税会差异</w:t>
            </w:r>
          </w:p>
        </w:tc>
        <w:tc>
          <w:tcPr>
            <w:tcW w:w="1928" w:type="dxa"/>
            <w:tcBorders>
              <w:top w:val="single" w:sz="2" w:space="0" w:color="auto"/>
              <w:left w:val="single" w:sz="2" w:space="0" w:color="auto"/>
              <w:bottom w:val="single" w:sz="2" w:space="0" w:color="auto"/>
              <w:right w:val="single" w:sz="2" w:space="0" w:color="auto"/>
            </w:tcBorders>
            <w:vAlign w:val="center"/>
          </w:tcPr>
          <w:p w14:paraId="13E454A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89,709,645.05</w:t>
            </w:r>
          </w:p>
        </w:tc>
        <w:tc>
          <w:tcPr>
            <w:tcW w:w="1928" w:type="dxa"/>
            <w:tcBorders>
              <w:top w:val="single" w:sz="2" w:space="0" w:color="auto"/>
              <w:left w:val="single" w:sz="2" w:space="0" w:color="auto"/>
              <w:bottom w:val="single" w:sz="2" w:space="0" w:color="auto"/>
              <w:right w:val="single" w:sz="2" w:space="0" w:color="auto"/>
            </w:tcBorders>
            <w:vAlign w:val="center"/>
          </w:tcPr>
          <w:p w14:paraId="39907A2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21,146,952.11</w:t>
            </w:r>
          </w:p>
        </w:tc>
        <w:tc>
          <w:tcPr>
            <w:tcW w:w="1928" w:type="dxa"/>
            <w:tcBorders>
              <w:top w:val="single" w:sz="2" w:space="0" w:color="auto"/>
              <w:left w:val="single" w:sz="2" w:space="0" w:color="auto"/>
              <w:bottom w:val="single" w:sz="2" w:space="0" w:color="auto"/>
              <w:right w:val="single" w:sz="2" w:space="0" w:color="auto"/>
            </w:tcBorders>
            <w:vAlign w:val="center"/>
          </w:tcPr>
          <w:p w14:paraId="76AB5B8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89,036,311.47</w:t>
            </w:r>
          </w:p>
        </w:tc>
        <w:tc>
          <w:tcPr>
            <w:tcW w:w="1928" w:type="dxa"/>
            <w:tcBorders>
              <w:top w:val="single" w:sz="2" w:space="0" w:color="auto"/>
              <w:left w:val="single" w:sz="2" w:space="0" w:color="auto"/>
              <w:bottom w:val="single" w:sz="2" w:space="0" w:color="auto"/>
              <w:right w:val="single" w:sz="2" w:space="0" w:color="auto"/>
            </w:tcBorders>
            <w:vAlign w:val="center"/>
          </w:tcPr>
          <w:p w14:paraId="26E2FB5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20,847,358.20</w:t>
            </w:r>
          </w:p>
        </w:tc>
      </w:tr>
      <w:tr w:rsidR="001D26E7" w:rsidRPr="00F614F9" w14:paraId="28EF9C98"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47F8C3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使用权资产影响数</w:t>
            </w:r>
          </w:p>
        </w:tc>
        <w:tc>
          <w:tcPr>
            <w:tcW w:w="1928" w:type="dxa"/>
            <w:tcBorders>
              <w:top w:val="single" w:sz="2" w:space="0" w:color="auto"/>
              <w:left w:val="single" w:sz="2" w:space="0" w:color="auto"/>
              <w:bottom w:val="single" w:sz="2" w:space="0" w:color="auto"/>
              <w:right w:val="single" w:sz="2" w:space="0" w:color="auto"/>
            </w:tcBorders>
            <w:vAlign w:val="center"/>
          </w:tcPr>
          <w:p w14:paraId="1C32D54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6,525,168.80</w:t>
            </w:r>
          </w:p>
        </w:tc>
        <w:tc>
          <w:tcPr>
            <w:tcW w:w="1928" w:type="dxa"/>
            <w:tcBorders>
              <w:top w:val="single" w:sz="2" w:space="0" w:color="auto"/>
              <w:left w:val="single" w:sz="2" w:space="0" w:color="auto"/>
              <w:bottom w:val="single" w:sz="2" w:space="0" w:color="auto"/>
              <w:right w:val="single" w:sz="2" w:space="0" w:color="auto"/>
            </w:tcBorders>
            <w:vAlign w:val="center"/>
          </w:tcPr>
          <w:p w14:paraId="652BC5B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1,213,815.31</w:t>
            </w:r>
          </w:p>
        </w:tc>
        <w:tc>
          <w:tcPr>
            <w:tcW w:w="1928" w:type="dxa"/>
            <w:tcBorders>
              <w:top w:val="single" w:sz="2" w:space="0" w:color="auto"/>
              <w:left w:val="single" w:sz="2" w:space="0" w:color="auto"/>
              <w:bottom w:val="single" w:sz="2" w:space="0" w:color="auto"/>
              <w:right w:val="single" w:sz="2" w:space="0" w:color="auto"/>
            </w:tcBorders>
            <w:vAlign w:val="center"/>
          </w:tcPr>
          <w:p w14:paraId="5B4D435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16,988,384.28</w:t>
            </w:r>
          </w:p>
        </w:tc>
        <w:tc>
          <w:tcPr>
            <w:tcW w:w="1928" w:type="dxa"/>
            <w:tcBorders>
              <w:top w:val="single" w:sz="2" w:space="0" w:color="auto"/>
              <w:left w:val="single" w:sz="2" w:space="0" w:color="auto"/>
              <w:bottom w:val="single" w:sz="2" w:space="0" w:color="auto"/>
              <w:right w:val="single" w:sz="2" w:space="0" w:color="auto"/>
            </w:tcBorders>
            <w:vAlign w:val="center"/>
          </w:tcPr>
          <w:p w14:paraId="3E1E3B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3,698,345.47</w:t>
            </w:r>
          </w:p>
        </w:tc>
      </w:tr>
      <w:tr w:rsidR="001D26E7" w:rsidRPr="00F614F9" w14:paraId="33D3C77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B57449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2DEF38B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96,234,813.85</w:t>
            </w:r>
          </w:p>
        </w:tc>
        <w:tc>
          <w:tcPr>
            <w:tcW w:w="1928" w:type="dxa"/>
            <w:tcBorders>
              <w:top w:val="single" w:sz="2" w:space="0" w:color="auto"/>
              <w:left w:val="single" w:sz="2" w:space="0" w:color="auto"/>
              <w:bottom w:val="single" w:sz="2" w:space="0" w:color="auto"/>
              <w:right w:val="single" w:sz="2" w:space="0" w:color="auto"/>
            </w:tcBorders>
            <w:vAlign w:val="center"/>
          </w:tcPr>
          <w:p w14:paraId="4D60630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22,360,767.42</w:t>
            </w:r>
          </w:p>
        </w:tc>
        <w:tc>
          <w:tcPr>
            <w:tcW w:w="1928" w:type="dxa"/>
            <w:tcBorders>
              <w:top w:val="single" w:sz="2" w:space="0" w:color="auto"/>
              <w:left w:val="single" w:sz="2" w:space="0" w:color="auto"/>
              <w:bottom w:val="single" w:sz="2" w:space="0" w:color="auto"/>
              <w:right w:val="single" w:sz="2" w:space="0" w:color="auto"/>
            </w:tcBorders>
            <w:vAlign w:val="center"/>
          </w:tcPr>
          <w:p w14:paraId="05C30DF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106,024,695.75</w:t>
            </w:r>
          </w:p>
        </w:tc>
        <w:tc>
          <w:tcPr>
            <w:tcW w:w="1928" w:type="dxa"/>
            <w:tcBorders>
              <w:top w:val="single" w:sz="2" w:space="0" w:color="auto"/>
              <w:left w:val="single" w:sz="2" w:space="0" w:color="auto"/>
              <w:bottom w:val="single" w:sz="2" w:space="0" w:color="auto"/>
              <w:right w:val="single" w:sz="2" w:space="0" w:color="auto"/>
            </w:tcBorders>
            <w:vAlign w:val="center"/>
          </w:tcPr>
          <w:p w14:paraId="26FC304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24,545,703.67</w:t>
            </w:r>
          </w:p>
        </w:tc>
      </w:tr>
    </w:tbl>
    <w:p w14:paraId="5E97ED41"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18" w:name="_Toc989252"/>
      <w:r w:rsidRPr="00F614F9">
        <w:rPr>
          <w:rFonts w:ascii="Times New Roman" w:eastAsia="宋体" w:hAnsi="Times New Roman" w:cs="宋体"/>
          <w:b/>
          <w:bCs/>
          <w:szCs w:val="21"/>
        </w:rPr>
        <w:t>（</w:t>
      </w:r>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以</w:t>
      </w:r>
      <w:proofErr w:type="gramStart"/>
      <w:r w:rsidRPr="00F614F9">
        <w:rPr>
          <w:rFonts w:ascii="Times New Roman" w:eastAsia="宋体" w:hAnsi="Times New Roman" w:cs="宋体"/>
          <w:b/>
          <w:bCs/>
          <w:szCs w:val="21"/>
        </w:rPr>
        <w:t>抵销</w:t>
      </w:r>
      <w:proofErr w:type="gramEnd"/>
      <w:r w:rsidRPr="00F614F9">
        <w:rPr>
          <w:rFonts w:ascii="Times New Roman" w:eastAsia="宋体" w:hAnsi="Times New Roman" w:cs="宋体"/>
          <w:b/>
          <w:bCs/>
          <w:szCs w:val="21"/>
        </w:rPr>
        <w:t>后净额列示的递延所得税资产或负债</w:t>
      </w:r>
      <w:bookmarkEnd w:id="418"/>
    </w:p>
    <w:p w14:paraId="0575CC54"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1D26E7" w:rsidRPr="00F614F9" w14:paraId="4A1ABD08"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32C73B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B5F9B4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递延所得税资产和负债期末互</w:t>
            </w:r>
            <w:proofErr w:type="gramStart"/>
            <w:r w:rsidRPr="00F614F9">
              <w:rPr>
                <w:rFonts w:ascii="Times New Roman" w:eastAsia="宋体" w:hAnsi="Times New Roman" w:cs="宋体"/>
                <w:sz w:val="18"/>
                <w:szCs w:val="18"/>
              </w:rPr>
              <w:t>抵金额</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DD4D94C" w14:textId="77777777" w:rsidR="001D26E7" w:rsidRPr="00F614F9" w:rsidRDefault="00000000">
            <w:pPr>
              <w:spacing w:before="40" w:after="40" w:line="240" w:lineRule="exact"/>
              <w:jc w:val="center"/>
              <w:rPr>
                <w:rFonts w:ascii="Times New Roman" w:eastAsia="宋体" w:hAnsi="Times New Roman" w:cs="宋体"/>
                <w:sz w:val="18"/>
                <w:szCs w:val="18"/>
              </w:rPr>
            </w:pPr>
            <w:proofErr w:type="gramStart"/>
            <w:r w:rsidRPr="00F614F9">
              <w:rPr>
                <w:rFonts w:ascii="Times New Roman" w:eastAsia="宋体" w:hAnsi="Times New Roman" w:cs="宋体"/>
                <w:sz w:val="18"/>
                <w:szCs w:val="18"/>
              </w:rPr>
              <w:t>抵销后递延</w:t>
            </w:r>
            <w:proofErr w:type="gramEnd"/>
            <w:r w:rsidRPr="00F614F9">
              <w:rPr>
                <w:rFonts w:ascii="Times New Roman" w:eastAsia="宋体" w:hAnsi="Times New Roman" w:cs="宋体"/>
                <w:sz w:val="18"/>
                <w:szCs w:val="18"/>
              </w:rPr>
              <w:t>所得税资产或负债期末余额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9A0FEA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递延所得税资产和负债期</w:t>
            </w:r>
            <w:proofErr w:type="gramStart"/>
            <w:r w:rsidRPr="00F614F9">
              <w:rPr>
                <w:rFonts w:ascii="Times New Roman" w:eastAsia="宋体" w:hAnsi="Times New Roman" w:cs="宋体"/>
                <w:sz w:val="18"/>
                <w:szCs w:val="18"/>
              </w:rPr>
              <w:t>初互抵金额</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056B997" w14:textId="77777777" w:rsidR="001D26E7" w:rsidRPr="00F614F9" w:rsidRDefault="00000000">
            <w:pPr>
              <w:spacing w:before="40" w:after="40" w:line="240" w:lineRule="exact"/>
              <w:jc w:val="center"/>
              <w:rPr>
                <w:rFonts w:ascii="Times New Roman" w:eastAsia="宋体" w:hAnsi="Times New Roman" w:cs="宋体"/>
                <w:sz w:val="18"/>
                <w:szCs w:val="18"/>
              </w:rPr>
            </w:pPr>
            <w:proofErr w:type="gramStart"/>
            <w:r w:rsidRPr="00F614F9">
              <w:rPr>
                <w:rFonts w:ascii="Times New Roman" w:eastAsia="宋体" w:hAnsi="Times New Roman" w:cs="宋体"/>
                <w:sz w:val="18"/>
                <w:szCs w:val="18"/>
              </w:rPr>
              <w:t>抵销后递延</w:t>
            </w:r>
            <w:proofErr w:type="gramEnd"/>
            <w:r w:rsidRPr="00F614F9">
              <w:rPr>
                <w:rFonts w:ascii="Times New Roman" w:eastAsia="宋体" w:hAnsi="Times New Roman" w:cs="宋体"/>
                <w:sz w:val="18"/>
                <w:szCs w:val="18"/>
              </w:rPr>
              <w:t>所得税资产或负债期初余额</w:t>
            </w:r>
          </w:p>
        </w:tc>
      </w:tr>
      <w:tr w:rsidR="001D26E7" w:rsidRPr="00F614F9" w14:paraId="01C3300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ED2BA6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vAlign w:val="center"/>
          </w:tcPr>
          <w:p w14:paraId="75456A0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20,296,211.02</w:t>
            </w:r>
          </w:p>
        </w:tc>
        <w:tc>
          <w:tcPr>
            <w:tcW w:w="1928" w:type="dxa"/>
            <w:tcBorders>
              <w:top w:val="single" w:sz="2" w:space="0" w:color="auto"/>
              <w:left w:val="single" w:sz="2" w:space="0" w:color="auto"/>
              <w:bottom w:val="single" w:sz="2" w:space="0" w:color="auto"/>
              <w:right w:val="single" w:sz="2" w:space="0" w:color="auto"/>
            </w:tcBorders>
            <w:vAlign w:val="center"/>
          </w:tcPr>
          <w:p w14:paraId="0301E81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9,445,753.58</w:t>
            </w:r>
          </w:p>
        </w:tc>
        <w:tc>
          <w:tcPr>
            <w:tcW w:w="1928" w:type="dxa"/>
            <w:tcBorders>
              <w:top w:val="single" w:sz="2" w:space="0" w:color="auto"/>
              <w:left w:val="single" w:sz="2" w:space="0" w:color="auto"/>
              <w:bottom w:val="single" w:sz="2" w:space="0" w:color="auto"/>
              <w:right w:val="single" w:sz="2" w:space="0" w:color="auto"/>
            </w:tcBorders>
            <w:vAlign w:val="center"/>
          </w:tcPr>
          <w:p w14:paraId="7B306C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22,420,041.54</w:t>
            </w:r>
          </w:p>
        </w:tc>
        <w:tc>
          <w:tcPr>
            <w:tcW w:w="1928" w:type="dxa"/>
            <w:tcBorders>
              <w:top w:val="single" w:sz="2" w:space="0" w:color="auto"/>
              <w:left w:val="single" w:sz="2" w:space="0" w:color="auto"/>
              <w:bottom w:val="single" w:sz="2" w:space="0" w:color="auto"/>
              <w:right w:val="single" w:sz="2" w:space="0" w:color="auto"/>
            </w:tcBorders>
            <w:vAlign w:val="center"/>
          </w:tcPr>
          <w:p w14:paraId="0BD1916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68,566,643.14</w:t>
            </w:r>
          </w:p>
        </w:tc>
      </w:tr>
      <w:tr w:rsidR="001D26E7" w:rsidRPr="00F614F9" w14:paraId="645FCA3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81529D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vAlign w:val="center"/>
          </w:tcPr>
          <w:p w14:paraId="1EF3260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20,296,211.02</w:t>
            </w:r>
          </w:p>
        </w:tc>
        <w:tc>
          <w:tcPr>
            <w:tcW w:w="1928" w:type="dxa"/>
            <w:tcBorders>
              <w:top w:val="single" w:sz="2" w:space="0" w:color="auto"/>
              <w:left w:val="single" w:sz="2" w:space="0" w:color="auto"/>
              <w:bottom w:val="single" w:sz="2" w:space="0" w:color="auto"/>
              <w:right w:val="single" w:sz="2" w:space="0" w:color="auto"/>
            </w:tcBorders>
            <w:vAlign w:val="center"/>
          </w:tcPr>
          <w:p w14:paraId="7105B95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2,064,556.40</w:t>
            </w:r>
          </w:p>
        </w:tc>
        <w:tc>
          <w:tcPr>
            <w:tcW w:w="1928" w:type="dxa"/>
            <w:tcBorders>
              <w:top w:val="single" w:sz="2" w:space="0" w:color="auto"/>
              <w:left w:val="single" w:sz="2" w:space="0" w:color="auto"/>
              <w:bottom w:val="single" w:sz="2" w:space="0" w:color="auto"/>
              <w:right w:val="single" w:sz="2" w:space="0" w:color="auto"/>
            </w:tcBorders>
            <w:vAlign w:val="center"/>
          </w:tcPr>
          <w:p w14:paraId="03A5568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22,420,041.54</w:t>
            </w:r>
          </w:p>
        </w:tc>
        <w:tc>
          <w:tcPr>
            <w:tcW w:w="1928" w:type="dxa"/>
            <w:tcBorders>
              <w:top w:val="single" w:sz="2" w:space="0" w:color="auto"/>
              <w:left w:val="single" w:sz="2" w:space="0" w:color="auto"/>
              <w:bottom w:val="single" w:sz="2" w:space="0" w:color="auto"/>
              <w:right w:val="single" w:sz="2" w:space="0" w:color="auto"/>
            </w:tcBorders>
            <w:vAlign w:val="center"/>
          </w:tcPr>
          <w:p w14:paraId="78F4DA1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2,125,662.13</w:t>
            </w:r>
          </w:p>
        </w:tc>
      </w:tr>
    </w:tbl>
    <w:p w14:paraId="49DEB2B8"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19" w:name="_Toc989253"/>
      <w:r w:rsidRPr="00F614F9">
        <w:rPr>
          <w:rFonts w:ascii="Times New Roman" w:eastAsia="宋体" w:hAnsi="Times New Roman" w:cs="宋体"/>
          <w:b/>
          <w:bCs/>
          <w:szCs w:val="21"/>
        </w:rPr>
        <w:t>（</w:t>
      </w:r>
      <w:r w:rsidRPr="00F614F9">
        <w:rPr>
          <w:rFonts w:ascii="Times New Roman" w:eastAsia="宋体" w:hAnsi="Times New Roman" w:cs="宋体"/>
          <w:b/>
          <w:bCs/>
          <w:szCs w:val="21"/>
        </w:rPr>
        <w:t>4</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未确认递延所得税资产明细</w:t>
      </w:r>
      <w:bookmarkEnd w:id="419"/>
    </w:p>
    <w:p w14:paraId="7F7B22E4"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7601C79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F6942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9EFB8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2455F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793C7BC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53630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可抵扣暂时性差异</w:t>
            </w:r>
          </w:p>
        </w:tc>
        <w:tc>
          <w:tcPr>
            <w:tcW w:w="3213" w:type="dxa"/>
            <w:tcBorders>
              <w:top w:val="single" w:sz="2" w:space="0" w:color="auto"/>
              <w:left w:val="single" w:sz="2" w:space="0" w:color="auto"/>
              <w:bottom w:val="single" w:sz="2" w:space="0" w:color="auto"/>
              <w:right w:val="single" w:sz="2" w:space="0" w:color="auto"/>
            </w:tcBorders>
            <w:vAlign w:val="center"/>
          </w:tcPr>
          <w:p w14:paraId="430B7FD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403,964,176.42</w:t>
            </w:r>
          </w:p>
        </w:tc>
        <w:tc>
          <w:tcPr>
            <w:tcW w:w="3213" w:type="dxa"/>
            <w:tcBorders>
              <w:top w:val="single" w:sz="2" w:space="0" w:color="auto"/>
              <w:left w:val="single" w:sz="2" w:space="0" w:color="auto"/>
              <w:bottom w:val="single" w:sz="2" w:space="0" w:color="auto"/>
              <w:right w:val="single" w:sz="2" w:space="0" w:color="auto"/>
            </w:tcBorders>
            <w:vAlign w:val="center"/>
          </w:tcPr>
          <w:p w14:paraId="2B33B1E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130,829,653.97</w:t>
            </w:r>
          </w:p>
        </w:tc>
      </w:tr>
      <w:tr w:rsidR="001D26E7" w:rsidRPr="00F614F9" w14:paraId="7F6795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65561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可抵扣亏损</w:t>
            </w:r>
          </w:p>
        </w:tc>
        <w:tc>
          <w:tcPr>
            <w:tcW w:w="3213" w:type="dxa"/>
            <w:tcBorders>
              <w:top w:val="single" w:sz="2" w:space="0" w:color="auto"/>
              <w:left w:val="single" w:sz="2" w:space="0" w:color="auto"/>
              <w:bottom w:val="single" w:sz="2" w:space="0" w:color="auto"/>
              <w:right w:val="single" w:sz="2" w:space="0" w:color="auto"/>
            </w:tcBorders>
            <w:vAlign w:val="center"/>
          </w:tcPr>
          <w:p w14:paraId="6AA561B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1,764,130,623.96</w:t>
            </w:r>
          </w:p>
        </w:tc>
        <w:tc>
          <w:tcPr>
            <w:tcW w:w="3213" w:type="dxa"/>
            <w:tcBorders>
              <w:top w:val="single" w:sz="2" w:space="0" w:color="auto"/>
              <w:left w:val="single" w:sz="2" w:space="0" w:color="auto"/>
              <w:bottom w:val="single" w:sz="2" w:space="0" w:color="auto"/>
              <w:right w:val="single" w:sz="2" w:space="0" w:color="auto"/>
            </w:tcBorders>
            <w:vAlign w:val="center"/>
          </w:tcPr>
          <w:p w14:paraId="65A17DE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533,591,167.50</w:t>
            </w:r>
          </w:p>
        </w:tc>
      </w:tr>
      <w:tr w:rsidR="001D26E7" w:rsidRPr="00F614F9" w14:paraId="2745E35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E605B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A76C8B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2,168,094,800.38</w:t>
            </w:r>
          </w:p>
        </w:tc>
        <w:tc>
          <w:tcPr>
            <w:tcW w:w="3213" w:type="dxa"/>
            <w:tcBorders>
              <w:top w:val="single" w:sz="2" w:space="0" w:color="auto"/>
              <w:left w:val="single" w:sz="2" w:space="0" w:color="auto"/>
              <w:bottom w:val="single" w:sz="2" w:space="0" w:color="auto"/>
              <w:right w:val="single" w:sz="2" w:space="0" w:color="auto"/>
            </w:tcBorders>
            <w:vAlign w:val="center"/>
          </w:tcPr>
          <w:p w14:paraId="6A0044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664,420,821.47</w:t>
            </w:r>
          </w:p>
        </w:tc>
      </w:tr>
    </w:tbl>
    <w:p w14:paraId="3F2FA05A"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20" w:name="_Toc989254"/>
      <w:r w:rsidRPr="00F614F9">
        <w:rPr>
          <w:rFonts w:ascii="Times New Roman" w:eastAsia="宋体" w:hAnsi="Times New Roman" w:cs="宋体"/>
          <w:b/>
          <w:bCs/>
          <w:szCs w:val="21"/>
        </w:rPr>
        <w:t>（</w:t>
      </w:r>
      <w:r w:rsidRPr="00F614F9">
        <w:rPr>
          <w:rFonts w:ascii="Times New Roman" w:eastAsia="宋体" w:hAnsi="Times New Roman" w:cs="宋体"/>
          <w:b/>
          <w:bCs/>
          <w:szCs w:val="21"/>
        </w:rPr>
        <w:t>5</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未确认递延所得税资产的可抵扣亏损将于以下年度到期</w:t>
      </w:r>
      <w:bookmarkEnd w:id="420"/>
    </w:p>
    <w:p w14:paraId="2127806D"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1D26E7" w:rsidRPr="00F614F9" w14:paraId="38C9CD7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376A66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年份</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9D95D0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2D1EF0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w:t>
            </w:r>
            <w:proofErr w:type="gramStart"/>
            <w:r w:rsidRPr="00F614F9">
              <w:rPr>
                <w:rFonts w:ascii="Times New Roman" w:eastAsia="宋体" w:hAnsi="Times New Roman" w:cs="宋体"/>
                <w:sz w:val="18"/>
                <w:szCs w:val="18"/>
              </w:rPr>
              <w:t>初金额</w:t>
            </w:r>
            <w:proofErr w:type="gramEnd"/>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ACC404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备注</w:t>
            </w:r>
          </w:p>
        </w:tc>
      </w:tr>
      <w:tr w:rsidR="001D26E7" w:rsidRPr="00F614F9" w14:paraId="7F6A8793"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0DD002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295C173D"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CF439A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2,430,462.36</w:t>
            </w:r>
          </w:p>
        </w:tc>
        <w:tc>
          <w:tcPr>
            <w:tcW w:w="2410" w:type="dxa"/>
            <w:tcBorders>
              <w:top w:val="single" w:sz="2" w:space="0" w:color="auto"/>
              <w:left w:val="single" w:sz="2" w:space="0" w:color="auto"/>
              <w:bottom w:val="single" w:sz="2" w:space="0" w:color="auto"/>
              <w:right w:val="single" w:sz="2" w:space="0" w:color="auto"/>
            </w:tcBorders>
            <w:vAlign w:val="center"/>
          </w:tcPr>
          <w:p w14:paraId="50559CBB"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0872C0F5"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4E003D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11004F9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2,193,063.92</w:t>
            </w:r>
          </w:p>
        </w:tc>
        <w:tc>
          <w:tcPr>
            <w:tcW w:w="2410" w:type="dxa"/>
            <w:tcBorders>
              <w:top w:val="single" w:sz="2" w:space="0" w:color="auto"/>
              <w:left w:val="single" w:sz="2" w:space="0" w:color="auto"/>
              <w:bottom w:val="single" w:sz="2" w:space="0" w:color="auto"/>
              <w:right w:val="single" w:sz="2" w:space="0" w:color="auto"/>
            </w:tcBorders>
            <w:vAlign w:val="center"/>
          </w:tcPr>
          <w:p w14:paraId="53FADAD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2,193,063.92</w:t>
            </w:r>
          </w:p>
        </w:tc>
        <w:tc>
          <w:tcPr>
            <w:tcW w:w="2410" w:type="dxa"/>
            <w:tcBorders>
              <w:top w:val="single" w:sz="2" w:space="0" w:color="auto"/>
              <w:left w:val="single" w:sz="2" w:space="0" w:color="auto"/>
              <w:bottom w:val="single" w:sz="2" w:space="0" w:color="auto"/>
              <w:right w:val="single" w:sz="2" w:space="0" w:color="auto"/>
            </w:tcBorders>
            <w:vAlign w:val="center"/>
          </w:tcPr>
          <w:p w14:paraId="59AACC76"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6714C42B"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56134A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2025</w:t>
            </w:r>
            <w:r w:rsidRPr="00F614F9">
              <w:rPr>
                <w:rFonts w:ascii="Times New Roman" w:eastAsia="宋体" w:hAnsi="Times New Roman"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6D2E70C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34,787,996.46</w:t>
            </w:r>
          </w:p>
        </w:tc>
        <w:tc>
          <w:tcPr>
            <w:tcW w:w="2410" w:type="dxa"/>
            <w:tcBorders>
              <w:top w:val="single" w:sz="2" w:space="0" w:color="auto"/>
              <w:left w:val="single" w:sz="2" w:space="0" w:color="auto"/>
              <w:bottom w:val="single" w:sz="2" w:space="0" w:color="auto"/>
              <w:right w:val="single" w:sz="2" w:space="0" w:color="auto"/>
            </w:tcBorders>
            <w:vAlign w:val="center"/>
          </w:tcPr>
          <w:p w14:paraId="29A8F79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9,509,884.80</w:t>
            </w:r>
          </w:p>
        </w:tc>
        <w:tc>
          <w:tcPr>
            <w:tcW w:w="2410" w:type="dxa"/>
            <w:tcBorders>
              <w:top w:val="single" w:sz="2" w:space="0" w:color="auto"/>
              <w:left w:val="single" w:sz="2" w:space="0" w:color="auto"/>
              <w:bottom w:val="single" w:sz="2" w:space="0" w:color="auto"/>
              <w:right w:val="single" w:sz="2" w:space="0" w:color="auto"/>
            </w:tcBorders>
            <w:vAlign w:val="center"/>
          </w:tcPr>
          <w:p w14:paraId="522EC3A7"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0A2B7B8C"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2B6920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2026</w:t>
            </w:r>
            <w:r w:rsidRPr="00F614F9">
              <w:rPr>
                <w:rFonts w:ascii="Times New Roman" w:eastAsia="宋体" w:hAnsi="Times New Roman"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510D837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401,114,809.41</w:t>
            </w:r>
          </w:p>
        </w:tc>
        <w:tc>
          <w:tcPr>
            <w:tcW w:w="2410" w:type="dxa"/>
            <w:tcBorders>
              <w:top w:val="single" w:sz="2" w:space="0" w:color="auto"/>
              <w:left w:val="single" w:sz="2" w:space="0" w:color="auto"/>
              <w:bottom w:val="single" w:sz="2" w:space="0" w:color="auto"/>
              <w:right w:val="single" w:sz="2" w:space="0" w:color="auto"/>
            </w:tcBorders>
            <w:vAlign w:val="center"/>
          </w:tcPr>
          <w:p w14:paraId="0E79536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184,551,633.68</w:t>
            </w:r>
          </w:p>
        </w:tc>
        <w:tc>
          <w:tcPr>
            <w:tcW w:w="2410" w:type="dxa"/>
            <w:tcBorders>
              <w:top w:val="single" w:sz="2" w:space="0" w:color="auto"/>
              <w:left w:val="single" w:sz="2" w:space="0" w:color="auto"/>
              <w:bottom w:val="single" w:sz="2" w:space="0" w:color="auto"/>
              <w:right w:val="single" w:sz="2" w:space="0" w:color="auto"/>
            </w:tcBorders>
            <w:vAlign w:val="center"/>
          </w:tcPr>
          <w:p w14:paraId="5F819B30"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1268B733"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12F6E0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2027</w:t>
            </w:r>
            <w:r w:rsidRPr="00F614F9">
              <w:rPr>
                <w:rFonts w:ascii="Times New Roman" w:eastAsia="宋体" w:hAnsi="Times New Roman"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539D811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414,262,443.51</w:t>
            </w:r>
          </w:p>
        </w:tc>
        <w:tc>
          <w:tcPr>
            <w:tcW w:w="2410" w:type="dxa"/>
            <w:tcBorders>
              <w:top w:val="single" w:sz="2" w:space="0" w:color="auto"/>
              <w:left w:val="single" w:sz="2" w:space="0" w:color="auto"/>
              <w:bottom w:val="single" w:sz="2" w:space="0" w:color="auto"/>
              <w:right w:val="single" w:sz="2" w:space="0" w:color="auto"/>
            </w:tcBorders>
            <w:vAlign w:val="center"/>
          </w:tcPr>
          <w:p w14:paraId="5C6D910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334,906,122.74</w:t>
            </w:r>
          </w:p>
        </w:tc>
        <w:tc>
          <w:tcPr>
            <w:tcW w:w="2410" w:type="dxa"/>
            <w:tcBorders>
              <w:top w:val="single" w:sz="2" w:space="0" w:color="auto"/>
              <w:left w:val="single" w:sz="2" w:space="0" w:color="auto"/>
              <w:bottom w:val="single" w:sz="2" w:space="0" w:color="auto"/>
              <w:right w:val="single" w:sz="2" w:space="0" w:color="auto"/>
            </w:tcBorders>
            <w:vAlign w:val="center"/>
          </w:tcPr>
          <w:p w14:paraId="72611B7E"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1494C46D"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648CDE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2028</w:t>
            </w:r>
            <w:r w:rsidRPr="00F614F9">
              <w:rPr>
                <w:rFonts w:ascii="Times New Roman" w:eastAsia="宋体" w:hAnsi="Times New Roman"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421027D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911,772,310.66</w:t>
            </w:r>
          </w:p>
        </w:tc>
        <w:tc>
          <w:tcPr>
            <w:tcW w:w="2410" w:type="dxa"/>
            <w:tcBorders>
              <w:top w:val="single" w:sz="2" w:space="0" w:color="auto"/>
              <w:left w:val="single" w:sz="2" w:space="0" w:color="auto"/>
              <w:bottom w:val="single" w:sz="2" w:space="0" w:color="auto"/>
              <w:right w:val="single" w:sz="2" w:space="0" w:color="auto"/>
            </w:tcBorders>
            <w:vAlign w:val="center"/>
          </w:tcPr>
          <w:p w14:paraId="00D4D519"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FFFD4D4"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14C1186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A404EE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001FF4C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1,764,130,623.96</w:t>
            </w:r>
          </w:p>
        </w:tc>
        <w:tc>
          <w:tcPr>
            <w:tcW w:w="2410" w:type="dxa"/>
            <w:tcBorders>
              <w:top w:val="single" w:sz="2" w:space="0" w:color="auto"/>
              <w:left w:val="single" w:sz="2" w:space="0" w:color="auto"/>
              <w:bottom w:val="single" w:sz="2" w:space="0" w:color="auto"/>
              <w:right w:val="single" w:sz="2" w:space="0" w:color="auto"/>
            </w:tcBorders>
            <w:vAlign w:val="center"/>
          </w:tcPr>
          <w:p w14:paraId="64FEF9C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533,591,167.50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4C0D53C" w14:textId="77777777" w:rsidR="001D26E7" w:rsidRPr="00F614F9" w:rsidRDefault="001D26E7">
            <w:pPr>
              <w:rPr>
                <w:rFonts w:ascii="Times New Roman" w:hAnsi="Times New Roman"/>
              </w:rPr>
            </w:pPr>
          </w:p>
        </w:tc>
      </w:tr>
    </w:tbl>
    <w:p w14:paraId="4ED28E7F"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7EB17EDE" w14:textId="77777777" w:rsidR="00872599" w:rsidRPr="00F614F9" w:rsidRDefault="00000000">
      <w:pPr>
        <w:pStyle w:val="a3"/>
        <w:divId w:val="380249271"/>
        <w:rPr>
          <w:rFonts w:ascii="Times New Roman" w:hAnsi="Times New Roman"/>
          <w:sz w:val="18"/>
          <w:szCs w:val="18"/>
        </w:rPr>
      </w:pPr>
      <w:r w:rsidRPr="00F614F9">
        <w:rPr>
          <w:rFonts w:ascii="Times New Roman" w:hAnsi="Times New Roman" w:hint="eastAsia"/>
          <w:sz w:val="18"/>
          <w:szCs w:val="18"/>
        </w:rPr>
        <w:t>无</w:t>
      </w:r>
    </w:p>
    <w:p w14:paraId="7A5CF797" w14:textId="77777777" w:rsidR="001D26E7" w:rsidRPr="00F614F9" w:rsidRDefault="00000000">
      <w:pPr>
        <w:pStyle w:val="3"/>
        <w:spacing w:line="280" w:lineRule="exact"/>
        <w:jc w:val="left"/>
        <w:rPr>
          <w:rFonts w:ascii="Times New Roman" w:hAnsi="Times New Roman" w:cs="宋体"/>
          <w:b/>
          <w:bCs/>
        </w:rPr>
      </w:pPr>
      <w:bookmarkStart w:id="421" w:name="_Toc989255"/>
      <w:r w:rsidRPr="00F614F9">
        <w:rPr>
          <w:rFonts w:ascii="Times New Roman" w:hAnsi="Times New Roman" w:cs="宋体"/>
          <w:b/>
          <w:bCs/>
        </w:rPr>
        <w:t>30</w:t>
      </w:r>
      <w:r w:rsidRPr="00F614F9">
        <w:rPr>
          <w:rFonts w:ascii="Times New Roman" w:hAnsi="Times New Roman" w:cs="宋体"/>
          <w:b/>
          <w:bCs/>
        </w:rPr>
        <w:t>、其他非流动资产</w:t>
      </w:r>
      <w:bookmarkEnd w:id="421"/>
    </w:p>
    <w:p w14:paraId="5B936041"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1D26E7" w:rsidRPr="00F614F9" w14:paraId="1587ECD0"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FE075F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lastRenderedPageBreak/>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119F16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7B4EB52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61AB18C5"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A94AD06" w14:textId="77777777" w:rsidR="001D26E7" w:rsidRPr="00F614F9" w:rsidRDefault="001D26E7">
            <w:pPr>
              <w:rPr>
                <w:rFonts w:ascii="Times New Roman" w:hAnsi="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4BE814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B71EF7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CFD437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B11D06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5758EC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9F4714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r>
      <w:tr w:rsidR="001D26E7" w:rsidRPr="00F614F9" w14:paraId="170C6A7F"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BE2253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预付设备工程款</w:t>
            </w:r>
          </w:p>
        </w:tc>
        <w:tc>
          <w:tcPr>
            <w:tcW w:w="1377" w:type="dxa"/>
            <w:tcBorders>
              <w:top w:val="single" w:sz="2" w:space="0" w:color="auto"/>
              <w:left w:val="single" w:sz="2" w:space="0" w:color="auto"/>
              <w:bottom w:val="single" w:sz="2" w:space="0" w:color="auto"/>
              <w:right w:val="single" w:sz="2" w:space="0" w:color="auto"/>
            </w:tcBorders>
            <w:vAlign w:val="center"/>
          </w:tcPr>
          <w:p w14:paraId="2DB9AAA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18,588,707.98</w:t>
            </w:r>
          </w:p>
        </w:tc>
        <w:tc>
          <w:tcPr>
            <w:tcW w:w="1377" w:type="dxa"/>
            <w:tcBorders>
              <w:top w:val="single" w:sz="2" w:space="0" w:color="auto"/>
              <w:left w:val="single" w:sz="2" w:space="0" w:color="auto"/>
              <w:bottom w:val="single" w:sz="2" w:space="0" w:color="auto"/>
              <w:right w:val="single" w:sz="2" w:space="0" w:color="auto"/>
            </w:tcBorders>
            <w:vAlign w:val="center"/>
          </w:tcPr>
          <w:p w14:paraId="46D4D190"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D7855A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18,588,707.98</w:t>
            </w:r>
          </w:p>
        </w:tc>
        <w:tc>
          <w:tcPr>
            <w:tcW w:w="1377" w:type="dxa"/>
            <w:tcBorders>
              <w:top w:val="single" w:sz="2" w:space="0" w:color="auto"/>
              <w:left w:val="single" w:sz="2" w:space="0" w:color="auto"/>
              <w:bottom w:val="single" w:sz="2" w:space="0" w:color="auto"/>
              <w:right w:val="single" w:sz="2" w:space="0" w:color="auto"/>
            </w:tcBorders>
            <w:vAlign w:val="center"/>
          </w:tcPr>
          <w:p w14:paraId="3C7BE24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90,825,964.31</w:t>
            </w:r>
          </w:p>
        </w:tc>
        <w:tc>
          <w:tcPr>
            <w:tcW w:w="1377" w:type="dxa"/>
            <w:tcBorders>
              <w:top w:val="single" w:sz="2" w:space="0" w:color="auto"/>
              <w:left w:val="single" w:sz="2" w:space="0" w:color="auto"/>
              <w:bottom w:val="single" w:sz="2" w:space="0" w:color="auto"/>
              <w:right w:val="single" w:sz="2" w:space="0" w:color="auto"/>
            </w:tcBorders>
            <w:vAlign w:val="center"/>
          </w:tcPr>
          <w:p w14:paraId="77A4B78C"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5227C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90,825,964.31</w:t>
            </w:r>
          </w:p>
        </w:tc>
      </w:tr>
      <w:tr w:rsidR="001D26E7" w:rsidRPr="00F614F9" w14:paraId="3CB65EE6"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25E382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增值税留抵税额</w:t>
            </w:r>
          </w:p>
        </w:tc>
        <w:tc>
          <w:tcPr>
            <w:tcW w:w="1377" w:type="dxa"/>
            <w:tcBorders>
              <w:top w:val="single" w:sz="2" w:space="0" w:color="auto"/>
              <w:left w:val="single" w:sz="2" w:space="0" w:color="auto"/>
              <w:bottom w:val="single" w:sz="2" w:space="0" w:color="auto"/>
              <w:right w:val="single" w:sz="2" w:space="0" w:color="auto"/>
            </w:tcBorders>
            <w:vAlign w:val="center"/>
          </w:tcPr>
          <w:p w14:paraId="039CAB2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488,856,766.70</w:t>
            </w:r>
          </w:p>
        </w:tc>
        <w:tc>
          <w:tcPr>
            <w:tcW w:w="1377" w:type="dxa"/>
            <w:tcBorders>
              <w:top w:val="single" w:sz="2" w:space="0" w:color="auto"/>
              <w:left w:val="single" w:sz="2" w:space="0" w:color="auto"/>
              <w:bottom w:val="single" w:sz="2" w:space="0" w:color="auto"/>
              <w:right w:val="single" w:sz="2" w:space="0" w:color="auto"/>
            </w:tcBorders>
            <w:vAlign w:val="center"/>
          </w:tcPr>
          <w:p w14:paraId="2C5EA420"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5CB38D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488,856,766.70</w:t>
            </w:r>
          </w:p>
        </w:tc>
        <w:tc>
          <w:tcPr>
            <w:tcW w:w="1377" w:type="dxa"/>
            <w:tcBorders>
              <w:top w:val="single" w:sz="2" w:space="0" w:color="auto"/>
              <w:left w:val="single" w:sz="2" w:space="0" w:color="auto"/>
              <w:bottom w:val="single" w:sz="2" w:space="0" w:color="auto"/>
              <w:right w:val="single" w:sz="2" w:space="0" w:color="auto"/>
            </w:tcBorders>
            <w:vAlign w:val="center"/>
          </w:tcPr>
          <w:p w14:paraId="20515CF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452,659,003.56</w:t>
            </w:r>
          </w:p>
        </w:tc>
        <w:tc>
          <w:tcPr>
            <w:tcW w:w="1377" w:type="dxa"/>
            <w:tcBorders>
              <w:top w:val="single" w:sz="2" w:space="0" w:color="auto"/>
              <w:left w:val="single" w:sz="2" w:space="0" w:color="auto"/>
              <w:bottom w:val="single" w:sz="2" w:space="0" w:color="auto"/>
              <w:right w:val="single" w:sz="2" w:space="0" w:color="auto"/>
            </w:tcBorders>
            <w:vAlign w:val="center"/>
          </w:tcPr>
          <w:p w14:paraId="6C67372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EBCD14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452,659,003.56</w:t>
            </w:r>
          </w:p>
        </w:tc>
      </w:tr>
      <w:tr w:rsidR="001D26E7" w:rsidRPr="00F614F9" w14:paraId="79F8AD02"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B6374E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718953A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507,445,474.68</w:t>
            </w:r>
          </w:p>
        </w:tc>
        <w:tc>
          <w:tcPr>
            <w:tcW w:w="1377" w:type="dxa"/>
            <w:tcBorders>
              <w:top w:val="single" w:sz="2" w:space="0" w:color="auto"/>
              <w:left w:val="single" w:sz="2" w:space="0" w:color="auto"/>
              <w:bottom w:val="single" w:sz="2" w:space="0" w:color="auto"/>
              <w:right w:val="single" w:sz="2" w:space="0" w:color="auto"/>
            </w:tcBorders>
            <w:vAlign w:val="center"/>
          </w:tcPr>
          <w:p w14:paraId="3C5A35C9"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BCE21E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507,445,474.68</w:t>
            </w:r>
          </w:p>
        </w:tc>
        <w:tc>
          <w:tcPr>
            <w:tcW w:w="1377" w:type="dxa"/>
            <w:tcBorders>
              <w:top w:val="single" w:sz="2" w:space="0" w:color="auto"/>
              <w:left w:val="single" w:sz="2" w:space="0" w:color="auto"/>
              <w:bottom w:val="single" w:sz="2" w:space="0" w:color="auto"/>
              <w:right w:val="single" w:sz="2" w:space="0" w:color="auto"/>
            </w:tcBorders>
            <w:vAlign w:val="center"/>
          </w:tcPr>
          <w:p w14:paraId="5DF6A7F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543,484,967.87</w:t>
            </w:r>
          </w:p>
        </w:tc>
        <w:tc>
          <w:tcPr>
            <w:tcW w:w="1377" w:type="dxa"/>
            <w:tcBorders>
              <w:top w:val="single" w:sz="2" w:space="0" w:color="auto"/>
              <w:left w:val="single" w:sz="2" w:space="0" w:color="auto"/>
              <w:bottom w:val="single" w:sz="2" w:space="0" w:color="auto"/>
              <w:right w:val="single" w:sz="2" w:space="0" w:color="auto"/>
            </w:tcBorders>
            <w:vAlign w:val="center"/>
          </w:tcPr>
          <w:p w14:paraId="5A9709BF"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F5DBBC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543,484,967.87</w:t>
            </w:r>
          </w:p>
        </w:tc>
      </w:tr>
    </w:tbl>
    <w:p w14:paraId="54121418"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5499CBFD" w14:textId="77777777" w:rsidR="00872599" w:rsidRPr="00F614F9" w:rsidRDefault="00000000">
      <w:pPr>
        <w:pStyle w:val="a3"/>
        <w:divId w:val="875242320"/>
        <w:rPr>
          <w:rFonts w:ascii="Times New Roman" w:hAnsi="Times New Roman"/>
          <w:sz w:val="18"/>
          <w:szCs w:val="18"/>
        </w:rPr>
      </w:pPr>
      <w:r w:rsidRPr="00F614F9">
        <w:rPr>
          <w:rFonts w:ascii="Times New Roman" w:hAnsi="Times New Roman" w:hint="eastAsia"/>
          <w:sz w:val="18"/>
          <w:szCs w:val="18"/>
        </w:rPr>
        <w:t>无</w:t>
      </w:r>
    </w:p>
    <w:p w14:paraId="2B3378A3" w14:textId="77777777" w:rsidR="001D26E7" w:rsidRPr="00F614F9" w:rsidRDefault="00000000">
      <w:pPr>
        <w:pStyle w:val="3"/>
        <w:spacing w:line="280" w:lineRule="exact"/>
        <w:jc w:val="left"/>
        <w:rPr>
          <w:rFonts w:ascii="Times New Roman" w:hAnsi="Times New Roman" w:cs="宋体"/>
          <w:b/>
          <w:bCs/>
        </w:rPr>
      </w:pPr>
      <w:bookmarkStart w:id="422" w:name="_Toc989256"/>
      <w:r w:rsidRPr="00F614F9">
        <w:rPr>
          <w:rFonts w:ascii="Times New Roman" w:hAnsi="Times New Roman" w:cs="宋体"/>
          <w:b/>
          <w:bCs/>
        </w:rPr>
        <w:t>31</w:t>
      </w:r>
      <w:r w:rsidRPr="00F614F9">
        <w:rPr>
          <w:rFonts w:ascii="Times New Roman" w:hAnsi="Times New Roman" w:cs="宋体"/>
          <w:b/>
          <w:bCs/>
        </w:rPr>
        <w:t>、所有权或使用权受到限制的资产</w:t>
      </w:r>
      <w:bookmarkEnd w:id="422"/>
    </w:p>
    <w:p w14:paraId="70A7C2E1"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1D26E7" w:rsidRPr="00F614F9" w14:paraId="7D336C1C"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EEC1E6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3567E2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58317A7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w:t>
            </w:r>
          </w:p>
        </w:tc>
      </w:tr>
      <w:tr w:rsidR="001D26E7" w:rsidRPr="00F614F9" w14:paraId="4F2A9ADB"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8C76250" w14:textId="77777777" w:rsidR="001D26E7" w:rsidRPr="00F614F9" w:rsidRDefault="001D26E7">
            <w:pPr>
              <w:rPr>
                <w:rFonts w:ascii="Times New Roman" w:hAnsi="Times New Roman"/>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4135F8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6443D9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2FBC69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受限类型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FFF391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受限情况</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D3D3EA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19A939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21C134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受限类型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A1BFFA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受限情况</w:t>
            </w:r>
          </w:p>
        </w:tc>
      </w:tr>
      <w:tr w:rsidR="001D26E7" w:rsidRPr="00F614F9" w14:paraId="30BBD4D4"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083957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货币资金</w:t>
            </w:r>
          </w:p>
        </w:tc>
        <w:tc>
          <w:tcPr>
            <w:tcW w:w="1071" w:type="dxa"/>
            <w:tcBorders>
              <w:top w:val="single" w:sz="2" w:space="0" w:color="auto"/>
              <w:left w:val="single" w:sz="2" w:space="0" w:color="auto"/>
              <w:bottom w:val="single" w:sz="2" w:space="0" w:color="auto"/>
              <w:right w:val="single" w:sz="2" w:space="0" w:color="auto"/>
            </w:tcBorders>
            <w:vAlign w:val="center"/>
          </w:tcPr>
          <w:p w14:paraId="430971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489,257,520.12</w:t>
            </w:r>
          </w:p>
        </w:tc>
        <w:tc>
          <w:tcPr>
            <w:tcW w:w="1071" w:type="dxa"/>
            <w:tcBorders>
              <w:top w:val="single" w:sz="2" w:space="0" w:color="auto"/>
              <w:left w:val="single" w:sz="2" w:space="0" w:color="auto"/>
              <w:bottom w:val="single" w:sz="2" w:space="0" w:color="auto"/>
              <w:right w:val="single" w:sz="2" w:space="0" w:color="auto"/>
            </w:tcBorders>
            <w:vAlign w:val="center"/>
          </w:tcPr>
          <w:p w14:paraId="5C51978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489,257,520.12</w:t>
            </w:r>
          </w:p>
        </w:tc>
        <w:tc>
          <w:tcPr>
            <w:tcW w:w="1071" w:type="dxa"/>
            <w:tcBorders>
              <w:top w:val="single" w:sz="2" w:space="0" w:color="auto"/>
              <w:left w:val="single" w:sz="2" w:space="0" w:color="auto"/>
              <w:bottom w:val="single" w:sz="2" w:space="0" w:color="auto"/>
              <w:right w:val="single" w:sz="2" w:space="0" w:color="auto"/>
            </w:tcBorders>
            <w:vAlign w:val="center"/>
          </w:tcPr>
          <w:p w14:paraId="412FC91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保证金</w:t>
            </w:r>
          </w:p>
        </w:tc>
        <w:tc>
          <w:tcPr>
            <w:tcW w:w="1071" w:type="dxa"/>
            <w:tcBorders>
              <w:top w:val="single" w:sz="2" w:space="0" w:color="auto"/>
              <w:left w:val="single" w:sz="2" w:space="0" w:color="auto"/>
              <w:bottom w:val="single" w:sz="2" w:space="0" w:color="auto"/>
              <w:right w:val="single" w:sz="2" w:space="0" w:color="auto"/>
            </w:tcBorders>
            <w:vAlign w:val="center"/>
          </w:tcPr>
          <w:p w14:paraId="6142ABD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汇票及信用证保证金等</w:t>
            </w:r>
          </w:p>
        </w:tc>
        <w:tc>
          <w:tcPr>
            <w:tcW w:w="1071" w:type="dxa"/>
            <w:tcBorders>
              <w:top w:val="single" w:sz="2" w:space="0" w:color="auto"/>
              <w:left w:val="single" w:sz="2" w:space="0" w:color="auto"/>
              <w:bottom w:val="single" w:sz="2" w:space="0" w:color="auto"/>
              <w:right w:val="single" w:sz="2" w:space="0" w:color="auto"/>
            </w:tcBorders>
            <w:vAlign w:val="center"/>
          </w:tcPr>
          <w:p w14:paraId="55C7E05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494,802,679.51</w:t>
            </w:r>
          </w:p>
        </w:tc>
        <w:tc>
          <w:tcPr>
            <w:tcW w:w="1071" w:type="dxa"/>
            <w:tcBorders>
              <w:top w:val="single" w:sz="2" w:space="0" w:color="auto"/>
              <w:left w:val="single" w:sz="2" w:space="0" w:color="auto"/>
              <w:bottom w:val="single" w:sz="2" w:space="0" w:color="auto"/>
              <w:right w:val="single" w:sz="2" w:space="0" w:color="auto"/>
            </w:tcBorders>
            <w:vAlign w:val="center"/>
          </w:tcPr>
          <w:p w14:paraId="6FF6B6D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494,802,679.51</w:t>
            </w:r>
          </w:p>
        </w:tc>
        <w:tc>
          <w:tcPr>
            <w:tcW w:w="1071" w:type="dxa"/>
            <w:tcBorders>
              <w:top w:val="single" w:sz="2" w:space="0" w:color="auto"/>
              <w:left w:val="single" w:sz="2" w:space="0" w:color="auto"/>
              <w:bottom w:val="single" w:sz="2" w:space="0" w:color="auto"/>
              <w:right w:val="single" w:sz="2" w:space="0" w:color="auto"/>
            </w:tcBorders>
            <w:vAlign w:val="center"/>
          </w:tcPr>
          <w:p w14:paraId="66D0F6E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保证金</w:t>
            </w:r>
          </w:p>
        </w:tc>
        <w:tc>
          <w:tcPr>
            <w:tcW w:w="1071" w:type="dxa"/>
            <w:tcBorders>
              <w:top w:val="single" w:sz="2" w:space="0" w:color="auto"/>
              <w:left w:val="single" w:sz="2" w:space="0" w:color="auto"/>
              <w:bottom w:val="single" w:sz="2" w:space="0" w:color="auto"/>
              <w:right w:val="single" w:sz="2" w:space="0" w:color="auto"/>
            </w:tcBorders>
            <w:vAlign w:val="center"/>
          </w:tcPr>
          <w:p w14:paraId="799DAB2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汇票及信用证保证金等</w:t>
            </w:r>
          </w:p>
        </w:tc>
      </w:tr>
      <w:tr w:rsidR="001D26E7" w:rsidRPr="00F614F9" w14:paraId="45CBDF54"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0E0A4F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固定资产</w:t>
            </w:r>
          </w:p>
        </w:tc>
        <w:tc>
          <w:tcPr>
            <w:tcW w:w="1071" w:type="dxa"/>
            <w:tcBorders>
              <w:top w:val="single" w:sz="2" w:space="0" w:color="auto"/>
              <w:left w:val="single" w:sz="2" w:space="0" w:color="auto"/>
              <w:bottom w:val="single" w:sz="2" w:space="0" w:color="auto"/>
              <w:right w:val="single" w:sz="2" w:space="0" w:color="auto"/>
            </w:tcBorders>
            <w:vAlign w:val="center"/>
          </w:tcPr>
          <w:p w14:paraId="3524F99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397,921,345.71</w:t>
            </w:r>
          </w:p>
        </w:tc>
        <w:tc>
          <w:tcPr>
            <w:tcW w:w="1071" w:type="dxa"/>
            <w:tcBorders>
              <w:top w:val="single" w:sz="2" w:space="0" w:color="auto"/>
              <w:left w:val="single" w:sz="2" w:space="0" w:color="auto"/>
              <w:bottom w:val="single" w:sz="2" w:space="0" w:color="auto"/>
              <w:right w:val="single" w:sz="2" w:space="0" w:color="auto"/>
            </w:tcBorders>
            <w:vAlign w:val="center"/>
          </w:tcPr>
          <w:p w14:paraId="6688AEC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397,921,345.71</w:t>
            </w:r>
          </w:p>
        </w:tc>
        <w:tc>
          <w:tcPr>
            <w:tcW w:w="1071" w:type="dxa"/>
            <w:tcBorders>
              <w:top w:val="single" w:sz="2" w:space="0" w:color="auto"/>
              <w:left w:val="single" w:sz="2" w:space="0" w:color="auto"/>
              <w:bottom w:val="single" w:sz="2" w:space="0" w:color="auto"/>
              <w:right w:val="single" w:sz="2" w:space="0" w:color="auto"/>
            </w:tcBorders>
            <w:vAlign w:val="center"/>
          </w:tcPr>
          <w:p w14:paraId="24A5478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抵押</w:t>
            </w:r>
          </w:p>
        </w:tc>
        <w:tc>
          <w:tcPr>
            <w:tcW w:w="1071" w:type="dxa"/>
            <w:tcBorders>
              <w:top w:val="single" w:sz="2" w:space="0" w:color="auto"/>
              <w:left w:val="single" w:sz="2" w:space="0" w:color="auto"/>
              <w:bottom w:val="single" w:sz="2" w:space="0" w:color="auto"/>
              <w:right w:val="single" w:sz="2" w:space="0" w:color="auto"/>
            </w:tcBorders>
            <w:vAlign w:val="center"/>
          </w:tcPr>
          <w:p w14:paraId="73B6EED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借款抵押</w:t>
            </w:r>
          </w:p>
        </w:tc>
        <w:tc>
          <w:tcPr>
            <w:tcW w:w="1071" w:type="dxa"/>
            <w:tcBorders>
              <w:top w:val="single" w:sz="2" w:space="0" w:color="auto"/>
              <w:left w:val="single" w:sz="2" w:space="0" w:color="auto"/>
              <w:bottom w:val="single" w:sz="2" w:space="0" w:color="auto"/>
              <w:right w:val="single" w:sz="2" w:space="0" w:color="auto"/>
            </w:tcBorders>
            <w:vAlign w:val="center"/>
          </w:tcPr>
          <w:p w14:paraId="4BF4DF2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407,242,564.14</w:t>
            </w:r>
          </w:p>
        </w:tc>
        <w:tc>
          <w:tcPr>
            <w:tcW w:w="1071" w:type="dxa"/>
            <w:tcBorders>
              <w:top w:val="single" w:sz="2" w:space="0" w:color="auto"/>
              <w:left w:val="single" w:sz="2" w:space="0" w:color="auto"/>
              <w:bottom w:val="single" w:sz="2" w:space="0" w:color="auto"/>
              <w:right w:val="single" w:sz="2" w:space="0" w:color="auto"/>
            </w:tcBorders>
            <w:vAlign w:val="center"/>
          </w:tcPr>
          <w:p w14:paraId="0C20E41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407,242,564.14</w:t>
            </w:r>
          </w:p>
        </w:tc>
        <w:tc>
          <w:tcPr>
            <w:tcW w:w="1071" w:type="dxa"/>
            <w:tcBorders>
              <w:top w:val="single" w:sz="2" w:space="0" w:color="auto"/>
              <w:left w:val="single" w:sz="2" w:space="0" w:color="auto"/>
              <w:bottom w:val="single" w:sz="2" w:space="0" w:color="auto"/>
              <w:right w:val="single" w:sz="2" w:space="0" w:color="auto"/>
            </w:tcBorders>
            <w:vAlign w:val="center"/>
          </w:tcPr>
          <w:p w14:paraId="64DBC7F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抵押</w:t>
            </w:r>
          </w:p>
        </w:tc>
        <w:tc>
          <w:tcPr>
            <w:tcW w:w="1071" w:type="dxa"/>
            <w:tcBorders>
              <w:top w:val="single" w:sz="2" w:space="0" w:color="auto"/>
              <w:left w:val="single" w:sz="2" w:space="0" w:color="auto"/>
              <w:bottom w:val="single" w:sz="2" w:space="0" w:color="auto"/>
              <w:right w:val="single" w:sz="2" w:space="0" w:color="auto"/>
            </w:tcBorders>
            <w:vAlign w:val="center"/>
          </w:tcPr>
          <w:p w14:paraId="5E92EE4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借款抵押</w:t>
            </w:r>
          </w:p>
        </w:tc>
      </w:tr>
      <w:tr w:rsidR="001D26E7" w:rsidRPr="00F614F9" w14:paraId="0C61C5B2"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943629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无形资产</w:t>
            </w:r>
          </w:p>
        </w:tc>
        <w:tc>
          <w:tcPr>
            <w:tcW w:w="1071" w:type="dxa"/>
            <w:tcBorders>
              <w:top w:val="single" w:sz="2" w:space="0" w:color="auto"/>
              <w:left w:val="single" w:sz="2" w:space="0" w:color="auto"/>
              <w:bottom w:val="single" w:sz="2" w:space="0" w:color="auto"/>
              <w:right w:val="single" w:sz="2" w:space="0" w:color="auto"/>
            </w:tcBorders>
            <w:vAlign w:val="center"/>
          </w:tcPr>
          <w:p w14:paraId="692958B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44,956,401.00</w:t>
            </w:r>
          </w:p>
        </w:tc>
        <w:tc>
          <w:tcPr>
            <w:tcW w:w="1071" w:type="dxa"/>
            <w:tcBorders>
              <w:top w:val="single" w:sz="2" w:space="0" w:color="auto"/>
              <w:left w:val="single" w:sz="2" w:space="0" w:color="auto"/>
              <w:bottom w:val="single" w:sz="2" w:space="0" w:color="auto"/>
              <w:right w:val="single" w:sz="2" w:space="0" w:color="auto"/>
            </w:tcBorders>
            <w:vAlign w:val="center"/>
          </w:tcPr>
          <w:p w14:paraId="723CA6D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44,956,401.00</w:t>
            </w:r>
          </w:p>
        </w:tc>
        <w:tc>
          <w:tcPr>
            <w:tcW w:w="1071" w:type="dxa"/>
            <w:tcBorders>
              <w:top w:val="single" w:sz="2" w:space="0" w:color="auto"/>
              <w:left w:val="single" w:sz="2" w:space="0" w:color="auto"/>
              <w:bottom w:val="single" w:sz="2" w:space="0" w:color="auto"/>
              <w:right w:val="single" w:sz="2" w:space="0" w:color="auto"/>
            </w:tcBorders>
            <w:vAlign w:val="center"/>
          </w:tcPr>
          <w:p w14:paraId="1BD866F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抵押</w:t>
            </w:r>
          </w:p>
        </w:tc>
        <w:tc>
          <w:tcPr>
            <w:tcW w:w="1071" w:type="dxa"/>
            <w:tcBorders>
              <w:top w:val="single" w:sz="2" w:space="0" w:color="auto"/>
              <w:left w:val="single" w:sz="2" w:space="0" w:color="auto"/>
              <w:bottom w:val="single" w:sz="2" w:space="0" w:color="auto"/>
              <w:right w:val="single" w:sz="2" w:space="0" w:color="auto"/>
            </w:tcBorders>
            <w:vAlign w:val="center"/>
          </w:tcPr>
          <w:p w14:paraId="57F2A65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借款抵押</w:t>
            </w:r>
          </w:p>
        </w:tc>
        <w:tc>
          <w:tcPr>
            <w:tcW w:w="1071" w:type="dxa"/>
            <w:tcBorders>
              <w:top w:val="single" w:sz="2" w:space="0" w:color="auto"/>
              <w:left w:val="single" w:sz="2" w:space="0" w:color="auto"/>
              <w:bottom w:val="single" w:sz="2" w:space="0" w:color="auto"/>
              <w:right w:val="single" w:sz="2" w:space="0" w:color="auto"/>
            </w:tcBorders>
            <w:vAlign w:val="center"/>
          </w:tcPr>
          <w:p w14:paraId="12E4093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4,228,230.93</w:t>
            </w:r>
          </w:p>
        </w:tc>
        <w:tc>
          <w:tcPr>
            <w:tcW w:w="1071" w:type="dxa"/>
            <w:tcBorders>
              <w:top w:val="single" w:sz="2" w:space="0" w:color="auto"/>
              <w:left w:val="single" w:sz="2" w:space="0" w:color="auto"/>
              <w:bottom w:val="single" w:sz="2" w:space="0" w:color="auto"/>
              <w:right w:val="single" w:sz="2" w:space="0" w:color="auto"/>
            </w:tcBorders>
            <w:vAlign w:val="center"/>
          </w:tcPr>
          <w:p w14:paraId="5142198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4,228,230.93</w:t>
            </w:r>
          </w:p>
        </w:tc>
        <w:tc>
          <w:tcPr>
            <w:tcW w:w="1071" w:type="dxa"/>
            <w:tcBorders>
              <w:top w:val="single" w:sz="2" w:space="0" w:color="auto"/>
              <w:left w:val="single" w:sz="2" w:space="0" w:color="auto"/>
              <w:bottom w:val="single" w:sz="2" w:space="0" w:color="auto"/>
              <w:right w:val="single" w:sz="2" w:space="0" w:color="auto"/>
            </w:tcBorders>
            <w:vAlign w:val="center"/>
          </w:tcPr>
          <w:p w14:paraId="6FDA6A1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抵押</w:t>
            </w:r>
          </w:p>
        </w:tc>
        <w:tc>
          <w:tcPr>
            <w:tcW w:w="1071" w:type="dxa"/>
            <w:tcBorders>
              <w:top w:val="single" w:sz="2" w:space="0" w:color="auto"/>
              <w:left w:val="single" w:sz="2" w:space="0" w:color="auto"/>
              <w:bottom w:val="single" w:sz="2" w:space="0" w:color="auto"/>
              <w:right w:val="single" w:sz="2" w:space="0" w:color="auto"/>
            </w:tcBorders>
            <w:vAlign w:val="center"/>
          </w:tcPr>
          <w:p w14:paraId="292505F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借款抵押</w:t>
            </w:r>
          </w:p>
        </w:tc>
      </w:tr>
      <w:tr w:rsidR="00E20024" w:rsidRPr="00F614F9" w14:paraId="361CE3A2"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1DE9FAA8" w14:textId="77777777" w:rsidR="00E20024" w:rsidRPr="00F614F9" w:rsidRDefault="00E20024" w:rsidP="00E20024">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在建工程</w:t>
            </w:r>
          </w:p>
        </w:tc>
        <w:tc>
          <w:tcPr>
            <w:tcW w:w="1071" w:type="dxa"/>
            <w:tcBorders>
              <w:top w:val="single" w:sz="2" w:space="0" w:color="auto"/>
              <w:left w:val="single" w:sz="2" w:space="0" w:color="auto"/>
              <w:bottom w:val="single" w:sz="2" w:space="0" w:color="auto"/>
              <w:right w:val="single" w:sz="2" w:space="0" w:color="auto"/>
            </w:tcBorders>
            <w:vAlign w:val="center"/>
          </w:tcPr>
          <w:p w14:paraId="3441D354" w14:textId="77777777" w:rsidR="00E20024" w:rsidRPr="00F614F9" w:rsidRDefault="00E20024" w:rsidP="00E20024">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117,578,983.61</w:t>
            </w:r>
          </w:p>
        </w:tc>
        <w:tc>
          <w:tcPr>
            <w:tcW w:w="1071" w:type="dxa"/>
            <w:tcBorders>
              <w:top w:val="single" w:sz="2" w:space="0" w:color="auto"/>
              <w:left w:val="single" w:sz="2" w:space="0" w:color="auto"/>
              <w:bottom w:val="single" w:sz="2" w:space="0" w:color="auto"/>
              <w:right w:val="single" w:sz="2" w:space="0" w:color="auto"/>
            </w:tcBorders>
            <w:vAlign w:val="center"/>
          </w:tcPr>
          <w:p w14:paraId="5C54FE41" w14:textId="77777777" w:rsidR="00E20024" w:rsidRPr="00F614F9" w:rsidRDefault="00E20024" w:rsidP="00E20024">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117,578,983.61</w:t>
            </w:r>
          </w:p>
        </w:tc>
        <w:tc>
          <w:tcPr>
            <w:tcW w:w="1071" w:type="dxa"/>
            <w:tcBorders>
              <w:top w:val="single" w:sz="2" w:space="0" w:color="auto"/>
              <w:left w:val="single" w:sz="2" w:space="0" w:color="auto"/>
              <w:bottom w:val="single" w:sz="2" w:space="0" w:color="auto"/>
              <w:right w:val="single" w:sz="2" w:space="0" w:color="auto"/>
            </w:tcBorders>
            <w:vAlign w:val="center"/>
          </w:tcPr>
          <w:p w14:paraId="43AADB0E" w14:textId="77777777" w:rsidR="00E20024" w:rsidRPr="00F614F9" w:rsidRDefault="00E20024" w:rsidP="00E20024">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抵押</w:t>
            </w:r>
          </w:p>
        </w:tc>
        <w:tc>
          <w:tcPr>
            <w:tcW w:w="1071" w:type="dxa"/>
            <w:tcBorders>
              <w:top w:val="single" w:sz="2" w:space="0" w:color="auto"/>
              <w:left w:val="single" w:sz="2" w:space="0" w:color="auto"/>
              <w:bottom w:val="single" w:sz="2" w:space="0" w:color="auto"/>
              <w:right w:val="single" w:sz="2" w:space="0" w:color="auto"/>
            </w:tcBorders>
            <w:vAlign w:val="center"/>
          </w:tcPr>
          <w:p w14:paraId="0CA280F4" w14:textId="77777777" w:rsidR="00E20024" w:rsidRPr="00F614F9" w:rsidRDefault="00E20024" w:rsidP="00E20024">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借款抵押</w:t>
            </w:r>
          </w:p>
        </w:tc>
        <w:tc>
          <w:tcPr>
            <w:tcW w:w="1071" w:type="dxa"/>
            <w:tcBorders>
              <w:top w:val="single" w:sz="2" w:space="0" w:color="auto"/>
              <w:left w:val="single" w:sz="2" w:space="0" w:color="auto"/>
              <w:bottom w:val="single" w:sz="2" w:space="0" w:color="auto"/>
              <w:right w:val="single" w:sz="2" w:space="0" w:color="auto"/>
            </w:tcBorders>
            <w:vAlign w:val="center"/>
          </w:tcPr>
          <w:p w14:paraId="5139D473" w14:textId="77777777" w:rsidR="00E20024" w:rsidRPr="00F614F9" w:rsidRDefault="00E20024" w:rsidP="00E20024">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498,909.99</w:t>
            </w:r>
          </w:p>
        </w:tc>
        <w:tc>
          <w:tcPr>
            <w:tcW w:w="1071" w:type="dxa"/>
            <w:tcBorders>
              <w:top w:val="single" w:sz="2" w:space="0" w:color="auto"/>
              <w:left w:val="single" w:sz="2" w:space="0" w:color="auto"/>
              <w:bottom w:val="single" w:sz="2" w:space="0" w:color="auto"/>
              <w:right w:val="single" w:sz="2" w:space="0" w:color="auto"/>
            </w:tcBorders>
            <w:vAlign w:val="center"/>
          </w:tcPr>
          <w:p w14:paraId="32982861" w14:textId="77777777" w:rsidR="00E20024" w:rsidRPr="00F614F9" w:rsidRDefault="00E20024" w:rsidP="00E20024">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498,909.99</w:t>
            </w:r>
          </w:p>
        </w:tc>
        <w:tc>
          <w:tcPr>
            <w:tcW w:w="1071" w:type="dxa"/>
            <w:tcBorders>
              <w:top w:val="single" w:sz="2" w:space="0" w:color="auto"/>
              <w:left w:val="single" w:sz="2" w:space="0" w:color="auto"/>
              <w:bottom w:val="single" w:sz="2" w:space="0" w:color="auto"/>
              <w:right w:val="single" w:sz="2" w:space="0" w:color="auto"/>
            </w:tcBorders>
            <w:vAlign w:val="center"/>
          </w:tcPr>
          <w:p w14:paraId="1251DA99" w14:textId="77777777" w:rsidR="00E20024" w:rsidRPr="00F614F9" w:rsidRDefault="00E20024" w:rsidP="00E20024">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抵押</w:t>
            </w:r>
          </w:p>
        </w:tc>
        <w:tc>
          <w:tcPr>
            <w:tcW w:w="1071" w:type="dxa"/>
            <w:tcBorders>
              <w:top w:val="single" w:sz="2" w:space="0" w:color="auto"/>
              <w:left w:val="single" w:sz="2" w:space="0" w:color="auto"/>
              <w:bottom w:val="single" w:sz="2" w:space="0" w:color="auto"/>
              <w:right w:val="single" w:sz="2" w:space="0" w:color="auto"/>
            </w:tcBorders>
            <w:vAlign w:val="center"/>
          </w:tcPr>
          <w:p w14:paraId="693BCC63" w14:textId="77777777" w:rsidR="00E20024" w:rsidRPr="00F614F9" w:rsidRDefault="00E20024" w:rsidP="00E20024">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借款抵押</w:t>
            </w:r>
          </w:p>
        </w:tc>
      </w:tr>
      <w:tr w:rsidR="001D26E7" w:rsidRPr="00F614F9" w14:paraId="59FFFC48"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D55866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14:paraId="251130D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1,049,714,250.44</w:t>
            </w:r>
          </w:p>
        </w:tc>
        <w:tc>
          <w:tcPr>
            <w:tcW w:w="1071" w:type="dxa"/>
            <w:tcBorders>
              <w:top w:val="single" w:sz="2" w:space="0" w:color="auto"/>
              <w:left w:val="single" w:sz="2" w:space="0" w:color="auto"/>
              <w:bottom w:val="single" w:sz="2" w:space="0" w:color="auto"/>
              <w:right w:val="single" w:sz="2" w:space="0" w:color="auto"/>
            </w:tcBorders>
            <w:vAlign w:val="center"/>
          </w:tcPr>
          <w:p w14:paraId="1F8BC71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1,049,714,250.44</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0621B38" w14:textId="77777777" w:rsidR="001D26E7" w:rsidRPr="00F614F9" w:rsidRDefault="001D26E7">
            <w:pPr>
              <w:rPr>
                <w:rFonts w:ascii="Times New Roman" w:hAnsi="Times New Roman"/>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EBB06F6" w14:textId="77777777" w:rsidR="001D26E7" w:rsidRPr="00F614F9" w:rsidRDefault="001D26E7">
            <w:pPr>
              <w:rPr>
                <w:rFonts w:ascii="Times New Roman" w:hAnsi="Times New Roman"/>
              </w:rPr>
            </w:pPr>
          </w:p>
        </w:tc>
        <w:tc>
          <w:tcPr>
            <w:tcW w:w="1071" w:type="dxa"/>
            <w:tcBorders>
              <w:top w:val="single" w:sz="2" w:space="0" w:color="auto"/>
              <w:left w:val="single" w:sz="2" w:space="0" w:color="auto"/>
              <w:bottom w:val="single" w:sz="2" w:space="0" w:color="auto"/>
              <w:right w:val="single" w:sz="2" w:space="0" w:color="auto"/>
            </w:tcBorders>
            <w:vAlign w:val="center"/>
          </w:tcPr>
          <w:p w14:paraId="4807007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906,772,384.57</w:t>
            </w:r>
          </w:p>
        </w:tc>
        <w:tc>
          <w:tcPr>
            <w:tcW w:w="1071" w:type="dxa"/>
            <w:tcBorders>
              <w:top w:val="single" w:sz="2" w:space="0" w:color="auto"/>
              <w:left w:val="single" w:sz="2" w:space="0" w:color="auto"/>
              <w:bottom w:val="single" w:sz="2" w:space="0" w:color="auto"/>
              <w:right w:val="single" w:sz="2" w:space="0" w:color="auto"/>
            </w:tcBorders>
            <w:vAlign w:val="center"/>
          </w:tcPr>
          <w:p w14:paraId="4FAA44D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906,772,384.57</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22034B0" w14:textId="77777777" w:rsidR="001D26E7" w:rsidRPr="00F614F9" w:rsidRDefault="001D26E7">
            <w:pPr>
              <w:rPr>
                <w:rFonts w:ascii="Times New Roman" w:hAnsi="Times New Roman"/>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8922771" w14:textId="77777777" w:rsidR="001D26E7" w:rsidRPr="00F614F9" w:rsidRDefault="001D26E7">
            <w:pPr>
              <w:rPr>
                <w:rFonts w:ascii="Times New Roman" w:hAnsi="Times New Roman"/>
              </w:rPr>
            </w:pPr>
          </w:p>
        </w:tc>
      </w:tr>
    </w:tbl>
    <w:p w14:paraId="4C7E3504"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20C4B2A5" w14:textId="77777777" w:rsidR="00872599" w:rsidRPr="00F614F9" w:rsidRDefault="00000000">
      <w:pPr>
        <w:pStyle w:val="a3"/>
        <w:divId w:val="1742868518"/>
        <w:rPr>
          <w:rFonts w:ascii="Times New Roman" w:hAnsi="Times New Roman"/>
          <w:sz w:val="18"/>
          <w:szCs w:val="18"/>
        </w:rPr>
      </w:pPr>
      <w:r w:rsidRPr="00F614F9">
        <w:rPr>
          <w:rFonts w:ascii="Times New Roman" w:hAnsi="Times New Roman" w:hint="eastAsia"/>
          <w:sz w:val="18"/>
          <w:szCs w:val="18"/>
        </w:rPr>
        <w:t>无</w:t>
      </w:r>
    </w:p>
    <w:p w14:paraId="350635C4" w14:textId="77777777" w:rsidR="001D26E7" w:rsidRPr="00F614F9" w:rsidRDefault="00000000">
      <w:pPr>
        <w:pStyle w:val="3"/>
        <w:spacing w:line="280" w:lineRule="exact"/>
        <w:jc w:val="left"/>
        <w:rPr>
          <w:rFonts w:ascii="Times New Roman" w:hAnsi="Times New Roman" w:cs="宋体"/>
          <w:b/>
          <w:bCs/>
        </w:rPr>
      </w:pPr>
      <w:bookmarkStart w:id="423" w:name="_Toc989257"/>
      <w:r w:rsidRPr="00F614F9">
        <w:rPr>
          <w:rFonts w:ascii="Times New Roman" w:hAnsi="Times New Roman" w:cs="宋体"/>
          <w:b/>
          <w:bCs/>
        </w:rPr>
        <w:t>32</w:t>
      </w:r>
      <w:r w:rsidRPr="00F614F9">
        <w:rPr>
          <w:rFonts w:ascii="Times New Roman" w:hAnsi="Times New Roman" w:cs="宋体"/>
          <w:b/>
          <w:bCs/>
        </w:rPr>
        <w:t>、短期借款</w:t>
      </w:r>
      <w:bookmarkEnd w:id="423"/>
    </w:p>
    <w:p w14:paraId="4A49612A"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24" w:name="_Toc989258"/>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短期借款分类</w:t>
      </w:r>
      <w:bookmarkEnd w:id="424"/>
    </w:p>
    <w:p w14:paraId="7C21749A"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6123AA2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832AD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0E329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B6F00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4836065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43003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质押借款</w:t>
            </w:r>
          </w:p>
        </w:tc>
        <w:tc>
          <w:tcPr>
            <w:tcW w:w="3213" w:type="dxa"/>
            <w:tcBorders>
              <w:top w:val="single" w:sz="2" w:space="0" w:color="auto"/>
              <w:left w:val="single" w:sz="2" w:space="0" w:color="auto"/>
              <w:bottom w:val="single" w:sz="2" w:space="0" w:color="auto"/>
              <w:right w:val="single" w:sz="2" w:space="0" w:color="auto"/>
            </w:tcBorders>
            <w:vAlign w:val="center"/>
          </w:tcPr>
          <w:p w14:paraId="156D2A3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76,250,000.00</w:t>
            </w:r>
          </w:p>
        </w:tc>
        <w:tc>
          <w:tcPr>
            <w:tcW w:w="3213" w:type="dxa"/>
            <w:tcBorders>
              <w:top w:val="single" w:sz="2" w:space="0" w:color="auto"/>
              <w:left w:val="single" w:sz="2" w:space="0" w:color="auto"/>
              <w:bottom w:val="single" w:sz="2" w:space="0" w:color="auto"/>
              <w:right w:val="single" w:sz="2" w:space="0" w:color="auto"/>
            </w:tcBorders>
            <w:vAlign w:val="center"/>
          </w:tcPr>
          <w:p w14:paraId="17F90B5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1AAB1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9F093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抵押借款</w:t>
            </w:r>
          </w:p>
        </w:tc>
        <w:tc>
          <w:tcPr>
            <w:tcW w:w="3213" w:type="dxa"/>
            <w:tcBorders>
              <w:top w:val="single" w:sz="2" w:space="0" w:color="auto"/>
              <w:left w:val="single" w:sz="2" w:space="0" w:color="auto"/>
              <w:bottom w:val="single" w:sz="2" w:space="0" w:color="auto"/>
              <w:right w:val="single" w:sz="2" w:space="0" w:color="auto"/>
            </w:tcBorders>
            <w:vAlign w:val="center"/>
          </w:tcPr>
          <w:p w14:paraId="7F32086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350,000,000.00</w:t>
            </w:r>
          </w:p>
        </w:tc>
        <w:tc>
          <w:tcPr>
            <w:tcW w:w="3213" w:type="dxa"/>
            <w:tcBorders>
              <w:top w:val="single" w:sz="2" w:space="0" w:color="auto"/>
              <w:left w:val="single" w:sz="2" w:space="0" w:color="auto"/>
              <w:bottom w:val="single" w:sz="2" w:space="0" w:color="auto"/>
              <w:right w:val="single" w:sz="2" w:space="0" w:color="auto"/>
            </w:tcBorders>
            <w:vAlign w:val="center"/>
          </w:tcPr>
          <w:p w14:paraId="3D794DC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56,000,000.00</w:t>
            </w:r>
          </w:p>
        </w:tc>
      </w:tr>
      <w:tr w:rsidR="001D26E7" w:rsidRPr="00F614F9" w14:paraId="20556E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638C0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14:paraId="52001F4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732,000,000.00</w:t>
            </w:r>
          </w:p>
        </w:tc>
        <w:tc>
          <w:tcPr>
            <w:tcW w:w="3213" w:type="dxa"/>
            <w:tcBorders>
              <w:top w:val="single" w:sz="2" w:space="0" w:color="auto"/>
              <w:left w:val="single" w:sz="2" w:space="0" w:color="auto"/>
              <w:bottom w:val="single" w:sz="2" w:space="0" w:color="auto"/>
              <w:right w:val="single" w:sz="2" w:space="0" w:color="auto"/>
            </w:tcBorders>
            <w:vAlign w:val="center"/>
          </w:tcPr>
          <w:p w14:paraId="69BD5AE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798,119,147.79</w:t>
            </w:r>
          </w:p>
        </w:tc>
      </w:tr>
      <w:tr w:rsidR="001D26E7" w:rsidRPr="00F614F9" w14:paraId="3D2963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7312F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信用借款</w:t>
            </w:r>
          </w:p>
        </w:tc>
        <w:tc>
          <w:tcPr>
            <w:tcW w:w="3213" w:type="dxa"/>
            <w:tcBorders>
              <w:top w:val="single" w:sz="2" w:space="0" w:color="auto"/>
              <w:left w:val="single" w:sz="2" w:space="0" w:color="auto"/>
              <w:bottom w:val="single" w:sz="2" w:space="0" w:color="auto"/>
              <w:right w:val="single" w:sz="2" w:space="0" w:color="auto"/>
            </w:tcBorders>
            <w:vAlign w:val="center"/>
          </w:tcPr>
          <w:p w14:paraId="41AAA04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3,000,000.00</w:t>
            </w:r>
          </w:p>
        </w:tc>
        <w:tc>
          <w:tcPr>
            <w:tcW w:w="3213" w:type="dxa"/>
            <w:tcBorders>
              <w:top w:val="single" w:sz="2" w:space="0" w:color="auto"/>
              <w:left w:val="single" w:sz="2" w:space="0" w:color="auto"/>
              <w:bottom w:val="single" w:sz="2" w:space="0" w:color="auto"/>
              <w:right w:val="single" w:sz="2" w:space="0" w:color="auto"/>
            </w:tcBorders>
            <w:vAlign w:val="center"/>
          </w:tcPr>
          <w:p w14:paraId="49D2F5B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30,792,830.50</w:t>
            </w:r>
          </w:p>
        </w:tc>
      </w:tr>
      <w:tr w:rsidR="001D26E7" w:rsidRPr="00F614F9" w14:paraId="1CF70A8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7D4F61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应收票据贴现借款</w:t>
            </w:r>
          </w:p>
        </w:tc>
        <w:tc>
          <w:tcPr>
            <w:tcW w:w="3213" w:type="dxa"/>
            <w:tcBorders>
              <w:top w:val="single" w:sz="2" w:space="0" w:color="auto"/>
              <w:left w:val="single" w:sz="2" w:space="0" w:color="auto"/>
              <w:bottom w:val="single" w:sz="2" w:space="0" w:color="auto"/>
              <w:right w:val="single" w:sz="2" w:space="0" w:color="auto"/>
            </w:tcBorders>
            <w:vAlign w:val="center"/>
          </w:tcPr>
          <w:p w14:paraId="3FF1C95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691,906,863.13</w:t>
            </w:r>
          </w:p>
        </w:tc>
        <w:tc>
          <w:tcPr>
            <w:tcW w:w="3213" w:type="dxa"/>
            <w:tcBorders>
              <w:top w:val="single" w:sz="2" w:space="0" w:color="auto"/>
              <w:left w:val="single" w:sz="2" w:space="0" w:color="auto"/>
              <w:bottom w:val="single" w:sz="2" w:space="0" w:color="auto"/>
              <w:right w:val="single" w:sz="2" w:space="0" w:color="auto"/>
            </w:tcBorders>
            <w:vAlign w:val="center"/>
          </w:tcPr>
          <w:p w14:paraId="39C6DC1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628,660,018.42</w:t>
            </w:r>
          </w:p>
        </w:tc>
      </w:tr>
      <w:tr w:rsidR="001D26E7" w:rsidRPr="00F614F9" w14:paraId="52CDCA4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C5B5CD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应付短期借款利息</w:t>
            </w:r>
          </w:p>
        </w:tc>
        <w:tc>
          <w:tcPr>
            <w:tcW w:w="3213" w:type="dxa"/>
            <w:tcBorders>
              <w:top w:val="single" w:sz="2" w:space="0" w:color="auto"/>
              <w:left w:val="single" w:sz="2" w:space="0" w:color="auto"/>
              <w:bottom w:val="single" w:sz="2" w:space="0" w:color="auto"/>
              <w:right w:val="single" w:sz="2" w:space="0" w:color="auto"/>
            </w:tcBorders>
            <w:vAlign w:val="center"/>
          </w:tcPr>
          <w:p w14:paraId="6804A93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1,610,615.58</w:t>
            </w:r>
          </w:p>
        </w:tc>
        <w:tc>
          <w:tcPr>
            <w:tcW w:w="3213" w:type="dxa"/>
            <w:tcBorders>
              <w:top w:val="single" w:sz="2" w:space="0" w:color="auto"/>
              <w:left w:val="single" w:sz="2" w:space="0" w:color="auto"/>
              <w:bottom w:val="single" w:sz="2" w:space="0" w:color="auto"/>
              <w:right w:val="single" w:sz="2" w:space="0" w:color="auto"/>
            </w:tcBorders>
            <w:vAlign w:val="center"/>
          </w:tcPr>
          <w:p w14:paraId="15DCCDB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1,098,261.10</w:t>
            </w:r>
          </w:p>
        </w:tc>
      </w:tr>
      <w:tr w:rsidR="001D26E7" w:rsidRPr="00F614F9" w14:paraId="1E4BFE6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D651A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80816B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1,854,767,478.71</w:t>
            </w:r>
          </w:p>
        </w:tc>
        <w:tc>
          <w:tcPr>
            <w:tcW w:w="3213" w:type="dxa"/>
            <w:tcBorders>
              <w:top w:val="single" w:sz="2" w:space="0" w:color="auto"/>
              <w:left w:val="single" w:sz="2" w:space="0" w:color="auto"/>
              <w:bottom w:val="single" w:sz="2" w:space="0" w:color="auto"/>
              <w:right w:val="single" w:sz="2" w:space="0" w:color="auto"/>
            </w:tcBorders>
            <w:vAlign w:val="center"/>
          </w:tcPr>
          <w:p w14:paraId="595B4AA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1,514,670,257.81</w:t>
            </w:r>
          </w:p>
        </w:tc>
      </w:tr>
    </w:tbl>
    <w:p w14:paraId="646A7F91"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短期借款分类的说明：</w:t>
      </w:r>
    </w:p>
    <w:p w14:paraId="64ACBD95" w14:textId="77777777" w:rsidR="00872599" w:rsidRPr="00F614F9" w:rsidRDefault="00000000">
      <w:pPr>
        <w:pStyle w:val="a3"/>
        <w:divId w:val="1669360878"/>
        <w:rPr>
          <w:rFonts w:ascii="Times New Roman" w:hAnsi="Times New Roman"/>
          <w:sz w:val="18"/>
          <w:szCs w:val="18"/>
        </w:rPr>
      </w:pPr>
      <w:r w:rsidRPr="00F614F9">
        <w:rPr>
          <w:rFonts w:ascii="Times New Roman" w:hAnsi="Times New Roman" w:hint="eastAsia"/>
          <w:sz w:val="18"/>
          <w:szCs w:val="18"/>
        </w:rPr>
        <w:t>无</w:t>
      </w:r>
    </w:p>
    <w:p w14:paraId="51F1EA26"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25" w:name="_Toc989259"/>
      <w:r w:rsidRPr="00F614F9">
        <w:rPr>
          <w:rFonts w:ascii="Times New Roman" w:eastAsia="宋体" w:hAnsi="Times New Roman" w:cs="宋体"/>
          <w:b/>
          <w:bCs/>
          <w:szCs w:val="21"/>
        </w:rPr>
        <w:lastRenderedPageBreak/>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已逾期</w:t>
      </w:r>
      <w:proofErr w:type="gramStart"/>
      <w:r w:rsidRPr="00F614F9">
        <w:rPr>
          <w:rFonts w:ascii="Times New Roman" w:eastAsia="宋体" w:hAnsi="Times New Roman" w:cs="宋体"/>
          <w:b/>
          <w:bCs/>
          <w:szCs w:val="21"/>
        </w:rPr>
        <w:t>未偿</w:t>
      </w:r>
      <w:proofErr w:type="gramEnd"/>
      <w:r w:rsidRPr="00F614F9">
        <w:rPr>
          <w:rFonts w:ascii="Times New Roman" w:eastAsia="宋体" w:hAnsi="Times New Roman" w:cs="宋体"/>
          <w:b/>
          <w:bCs/>
          <w:szCs w:val="21"/>
        </w:rPr>
        <w:t>还的短期借款情况</w:t>
      </w:r>
      <w:bookmarkEnd w:id="425"/>
    </w:p>
    <w:p w14:paraId="48B098A8" w14:textId="77777777" w:rsidR="00872599" w:rsidRPr="00F614F9" w:rsidRDefault="00000000">
      <w:pPr>
        <w:pStyle w:val="a3"/>
        <w:divId w:val="246579072"/>
        <w:rPr>
          <w:rFonts w:ascii="Times New Roman" w:hAnsi="Times New Roman"/>
          <w:sz w:val="18"/>
          <w:szCs w:val="18"/>
        </w:rPr>
      </w:pPr>
      <w:r w:rsidRPr="00F614F9">
        <w:rPr>
          <w:rFonts w:ascii="Times New Roman" w:hAnsi="Times New Roman" w:hint="eastAsia"/>
          <w:sz w:val="18"/>
          <w:szCs w:val="18"/>
        </w:rPr>
        <w:t>无</w:t>
      </w:r>
    </w:p>
    <w:p w14:paraId="39DD519A" w14:textId="77777777" w:rsidR="001D26E7" w:rsidRPr="00F614F9" w:rsidRDefault="00000000">
      <w:pPr>
        <w:pStyle w:val="3"/>
        <w:spacing w:line="280" w:lineRule="exact"/>
        <w:jc w:val="left"/>
        <w:rPr>
          <w:rFonts w:ascii="Times New Roman" w:hAnsi="Times New Roman" w:cs="宋体"/>
          <w:b/>
          <w:bCs/>
        </w:rPr>
      </w:pPr>
      <w:bookmarkStart w:id="426" w:name="_Toc989260"/>
      <w:r w:rsidRPr="00F614F9">
        <w:rPr>
          <w:rFonts w:ascii="Times New Roman" w:hAnsi="Times New Roman" w:cs="宋体"/>
          <w:b/>
          <w:bCs/>
        </w:rPr>
        <w:t>33</w:t>
      </w:r>
      <w:r w:rsidRPr="00F614F9">
        <w:rPr>
          <w:rFonts w:ascii="Times New Roman" w:hAnsi="Times New Roman" w:cs="宋体"/>
          <w:b/>
          <w:bCs/>
        </w:rPr>
        <w:t>、交易性金融负债</w:t>
      </w:r>
      <w:bookmarkEnd w:id="426"/>
    </w:p>
    <w:p w14:paraId="7A906259" w14:textId="77777777" w:rsidR="00872599" w:rsidRPr="00F614F9" w:rsidRDefault="00000000">
      <w:pPr>
        <w:pStyle w:val="a3"/>
        <w:divId w:val="1220901277"/>
        <w:rPr>
          <w:rFonts w:ascii="Times New Roman" w:hAnsi="Times New Roman"/>
          <w:sz w:val="18"/>
          <w:szCs w:val="18"/>
        </w:rPr>
      </w:pPr>
      <w:r w:rsidRPr="00F614F9">
        <w:rPr>
          <w:rFonts w:ascii="Times New Roman" w:hAnsi="Times New Roman" w:hint="eastAsia"/>
          <w:sz w:val="18"/>
          <w:szCs w:val="18"/>
        </w:rPr>
        <w:t>无</w:t>
      </w:r>
    </w:p>
    <w:p w14:paraId="1019F5A2" w14:textId="77777777" w:rsidR="001D26E7" w:rsidRPr="00F614F9" w:rsidRDefault="00000000">
      <w:pPr>
        <w:pStyle w:val="3"/>
        <w:spacing w:line="280" w:lineRule="exact"/>
        <w:jc w:val="left"/>
        <w:rPr>
          <w:rFonts w:ascii="Times New Roman" w:hAnsi="Times New Roman" w:cs="宋体"/>
          <w:b/>
          <w:bCs/>
        </w:rPr>
      </w:pPr>
      <w:bookmarkStart w:id="427" w:name="_Toc989261"/>
      <w:r w:rsidRPr="00F614F9">
        <w:rPr>
          <w:rFonts w:ascii="Times New Roman" w:hAnsi="Times New Roman" w:cs="宋体"/>
          <w:b/>
          <w:bCs/>
        </w:rPr>
        <w:t>34</w:t>
      </w:r>
      <w:r w:rsidRPr="00F614F9">
        <w:rPr>
          <w:rFonts w:ascii="Times New Roman" w:hAnsi="Times New Roman" w:cs="宋体"/>
          <w:b/>
          <w:bCs/>
        </w:rPr>
        <w:t>、衍生金融负债</w:t>
      </w:r>
      <w:bookmarkEnd w:id="427"/>
    </w:p>
    <w:p w14:paraId="4EF100B9" w14:textId="77777777" w:rsidR="00872599" w:rsidRPr="00F614F9" w:rsidRDefault="00000000">
      <w:pPr>
        <w:pStyle w:val="a3"/>
        <w:divId w:val="1091973903"/>
        <w:rPr>
          <w:rFonts w:ascii="Times New Roman" w:hAnsi="Times New Roman"/>
          <w:sz w:val="18"/>
          <w:szCs w:val="18"/>
        </w:rPr>
      </w:pPr>
      <w:r w:rsidRPr="00F614F9">
        <w:rPr>
          <w:rFonts w:ascii="Times New Roman" w:hAnsi="Times New Roman" w:hint="eastAsia"/>
          <w:sz w:val="18"/>
          <w:szCs w:val="18"/>
        </w:rPr>
        <w:t>无</w:t>
      </w:r>
    </w:p>
    <w:p w14:paraId="0EB58DE1" w14:textId="77777777" w:rsidR="001D26E7" w:rsidRPr="00F614F9" w:rsidRDefault="00000000">
      <w:pPr>
        <w:pStyle w:val="3"/>
        <w:spacing w:line="280" w:lineRule="exact"/>
        <w:jc w:val="left"/>
        <w:rPr>
          <w:rFonts w:ascii="Times New Roman" w:hAnsi="Times New Roman" w:cs="宋体"/>
          <w:b/>
          <w:bCs/>
        </w:rPr>
      </w:pPr>
      <w:bookmarkStart w:id="428" w:name="_Toc989262"/>
      <w:r w:rsidRPr="00F614F9">
        <w:rPr>
          <w:rFonts w:ascii="Times New Roman" w:hAnsi="Times New Roman" w:cs="宋体"/>
          <w:b/>
          <w:bCs/>
        </w:rPr>
        <w:t>35</w:t>
      </w:r>
      <w:r w:rsidRPr="00F614F9">
        <w:rPr>
          <w:rFonts w:ascii="Times New Roman" w:hAnsi="Times New Roman" w:cs="宋体"/>
          <w:b/>
          <w:bCs/>
        </w:rPr>
        <w:t>、应付票据</w:t>
      </w:r>
      <w:bookmarkEnd w:id="428"/>
    </w:p>
    <w:p w14:paraId="6610ADF4"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4E09DE9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EE52D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种类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ECDCD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E1230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4BA874E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AC59D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vAlign w:val="center"/>
          </w:tcPr>
          <w:p w14:paraId="4DFF359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420,625,801.99</w:t>
            </w:r>
          </w:p>
        </w:tc>
        <w:tc>
          <w:tcPr>
            <w:tcW w:w="3213" w:type="dxa"/>
            <w:tcBorders>
              <w:top w:val="single" w:sz="2" w:space="0" w:color="auto"/>
              <w:left w:val="single" w:sz="2" w:space="0" w:color="auto"/>
              <w:bottom w:val="single" w:sz="2" w:space="0" w:color="auto"/>
              <w:right w:val="single" w:sz="2" w:space="0" w:color="auto"/>
            </w:tcBorders>
            <w:vAlign w:val="center"/>
          </w:tcPr>
          <w:p w14:paraId="52B6D8D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631,831,450.18</w:t>
            </w:r>
          </w:p>
        </w:tc>
      </w:tr>
      <w:tr w:rsidR="001D26E7" w:rsidRPr="00F614F9" w14:paraId="4AB8101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9AD8B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778501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420,625,801.99</w:t>
            </w:r>
          </w:p>
        </w:tc>
        <w:tc>
          <w:tcPr>
            <w:tcW w:w="3213" w:type="dxa"/>
            <w:tcBorders>
              <w:top w:val="single" w:sz="2" w:space="0" w:color="auto"/>
              <w:left w:val="single" w:sz="2" w:space="0" w:color="auto"/>
              <w:bottom w:val="single" w:sz="2" w:space="0" w:color="auto"/>
              <w:right w:val="single" w:sz="2" w:space="0" w:color="auto"/>
            </w:tcBorders>
            <w:vAlign w:val="center"/>
          </w:tcPr>
          <w:p w14:paraId="2DA5BF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631,831,450.18</w:t>
            </w:r>
          </w:p>
        </w:tc>
      </w:tr>
    </w:tbl>
    <w:p w14:paraId="124E28EF"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w:t>
      </w:r>
      <w:proofErr w:type="gramStart"/>
      <w:r w:rsidRPr="00F614F9">
        <w:rPr>
          <w:rFonts w:ascii="Times New Roman" w:eastAsia="宋体" w:hAnsi="Times New Roman" w:cs="宋体"/>
          <w:sz w:val="18"/>
          <w:szCs w:val="18"/>
        </w:rPr>
        <w:t>期末已</w:t>
      </w:r>
      <w:proofErr w:type="gramEnd"/>
      <w:r w:rsidRPr="00F614F9">
        <w:rPr>
          <w:rFonts w:ascii="Times New Roman" w:eastAsia="宋体" w:hAnsi="Times New Roman" w:cs="宋体"/>
          <w:sz w:val="18"/>
          <w:szCs w:val="18"/>
        </w:rPr>
        <w:t>到期未支付的应付票据总额为</w:t>
      </w:r>
      <w:r w:rsidRPr="00F614F9">
        <w:rPr>
          <w:rFonts w:ascii="Times New Roman" w:eastAsia="宋体" w:hAnsi="Times New Roman" w:cs="宋体"/>
          <w:sz w:val="18"/>
          <w:szCs w:val="18"/>
        </w:rPr>
        <w:t>0.00</w:t>
      </w:r>
      <w:r w:rsidRPr="00F614F9">
        <w:rPr>
          <w:rFonts w:ascii="Times New Roman" w:eastAsia="宋体" w:hAnsi="Times New Roman" w:cs="宋体"/>
          <w:sz w:val="18"/>
          <w:szCs w:val="18"/>
        </w:rPr>
        <w:t>元。</w:t>
      </w:r>
    </w:p>
    <w:p w14:paraId="5B8525D9" w14:textId="77777777" w:rsidR="001D26E7" w:rsidRPr="00F614F9" w:rsidRDefault="00000000">
      <w:pPr>
        <w:pStyle w:val="3"/>
        <w:spacing w:line="280" w:lineRule="exact"/>
        <w:jc w:val="left"/>
        <w:rPr>
          <w:rFonts w:ascii="Times New Roman" w:hAnsi="Times New Roman" w:cs="宋体"/>
          <w:b/>
          <w:bCs/>
        </w:rPr>
      </w:pPr>
      <w:bookmarkStart w:id="429" w:name="_Toc989263"/>
      <w:r w:rsidRPr="00F614F9">
        <w:rPr>
          <w:rFonts w:ascii="Times New Roman" w:hAnsi="Times New Roman" w:cs="宋体"/>
          <w:b/>
          <w:bCs/>
        </w:rPr>
        <w:t>36</w:t>
      </w:r>
      <w:r w:rsidRPr="00F614F9">
        <w:rPr>
          <w:rFonts w:ascii="Times New Roman" w:hAnsi="Times New Roman" w:cs="宋体"/>
          <w:b/>
          <w:bCs/>
        </w:rPr>
        <w:t>、应付账款</w:t>
      </w:r>
      <w:bookmarkEnd w:id="429"/>
    </w:p>
    <w:p w14:paraId="1E09EB8C"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430" w:name="_Toc989264"/>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应付账款列示</w:t>
      </w:r>
      <w:bookmarkEnd w:id="430"/>
    </w:p>
    <w:p w14:paraId="7D9E1B0B"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56BB2A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80764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45357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20E34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3C14BCA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55399B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应付材料</w:t>
            </w:r>
            <w:proofErr w:type="gramStart"/>
            <w:r w:rsidRPr="00F614F9">
              <w:rPr>
                <w:rFonts w:ascii="Times New Roman" w:eastAsia="宋体" w:hAnsi="Times New Roman" w:cs="宋体"/>
                <w:sz w:val="18"/>
                <w:szCs w:val="18"/>
              </w:rPr>
              <w:t>采购款</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14:paraId="533C694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321,573,682.53</w:t>
            </w:r>
          </w:p>
        </w:tc>
        <w:tc>
          <w:tcPr>
            <w:tcW w:w="3213" w:type="dxa"/>
            <w:tcBorders>
              <w:top w:val="single" w:sz="2" w:space="0" w:color="auto"/>
              <w:left w:val="single" w:sz="2" w:space="0" w:color="auto"/>
              <w:bottom w:val="single" w:sz="2" w:space="0" w:color="auto"/>
              <w:right w:val="single" w:sz="2" w:space="0" w:color="auto"/>
            </w:tcBorders>
            <w:vAlign w:val="center"/>
          </w:tcPr>
          <w:p w14:paraId="4F9FAF4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483,164,320.31</w:t>
            </w:r>
          </w:p>
        </w:tc>
      </w:tr>
      <w:tr w:rsidR="001D26E7" w:rsidRPr="00F614F9" w14:paraId="4732BF3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296BF9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应付固定资产</w:t>
            </w:r>
            <w:proofErr w:type="gramStart"/>
            <w:r w:rsidRPr="00F614F9">
              <w:rPr>
                <w:rFonts w:ascii="Times New Roman" w:eastAsia="宋体" w:hAnsi="Times New Roman" w:cs="宋体"/>
                <w:sz w:val="18"/>
                <w:szCs w:val="18"/>
              </w:rPr>
              <w:t>采购款</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14:paraId="6C40EB0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100,265,719.46</w:t>
            </w:r>
          </w:p>
        </w:tc>
        <w:tc>
          <w:tcPr>
            <w:tcW w:w="3213" w:type="dxa"/>
            <w:tcBorders>
              <w:top w:val="single" w:sz="2" w:space="0" w:color="auto"/>
              <w:left w:val="single" w:sz="2" w:space="0" w:color="auto"/>
              <w:bottom w:val="single" w:sz="2" w:space="0" w:color="auto"/>
              <w:right w:val="single" w:sz="2" w:space="0" w:color="auto"/>
            </w:tcBorders>
            <w:vAlign w:val="center"/>
          </w:tcPr>
          <w:p w14:paraId="1185705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91,424,812.59</w:t>
            </w:r>
          </w:p>
        </w:tc>
      </w:tr>
      <w:tr w:rsidR="001D26E7" w:rsidRPr="00F614F9" w14:paraId="05B413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DFBC5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249110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421,839,401.99</w:t>
            </w:r>
          </w:p>
        </w:tc>
        <w:tc>
          <w:tcPr>
            <w:tcW w:w="3213" w:type="dxa"/>
            <w:tcBorders>
              <w:top w:val="single" w:sz="2" w:space="0" w:color="auto"/>
              <w:left w:val="single" w:sz="2" w:space="0" w:color="auto"/>
              <w:bottom w:val="single" w:sz="2" w:space="0" w:color="auto"/>
              <w:right w:val="single" w:sz="2" w:space="0" w:color="auto"/>
            </w:tcBorders>
            <w:vAlign w:val="center"/>
          </w:tcPr>
          <w:p w14:paraId="681EEE9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574,589,132.90</w:t>
            </w:r>
          </w:p>
        </w:tc>
      </w:tr>
    </w:tbl>
    <w:p w14:paraId="685442B0"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431" w:name="_Toc989265"/>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2</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账龄超过</w:t>
      </w:r>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年或逾期的重要应付账款</w:t>
      </w:r>
      <w:bookmarkEnd w:id="431"/>
    </w:p>
    <w:p w14:paraId="038F471D" w14:textId="77777777" w:rsidR="00872599" w:rsidRPr="00F614F9" w:rsidRDefault="00000000">
      <w:pPr>
        <w:pStyle w:val="a3"/>
        <w:divId w:val="56589094"/>
        <w:rPr>
          <w:rFonts w:ascii="Times New Roman" w:hAnsi="Times New Roman"/>
          <w:sz w:val="18"/>
          <w:szCs w:val="18"/>
        </w:rPr>
      </w:pPr>
      <w:r w:rsidRPr="00F614F9">
        <w:rPr>
          <w:rFonts w:ascii="Times New Roman" w:hAnsi="Times New Roman" w:hint="eastAsia"/>
          <w:sz w:val="18"/>
          <w:szCs w:val="18"/>
        </w:rPr>
        <w:t>无</w:t>
      </w:r>
    </w:p>
    <w:p w14:paraId="2AA7C99A" w14:textId="77777777" w:rsidR="001D26E7" w:rsidRPr="00F614F9" w:rsidRDefault="00000000">
      <w:pPr>
        <w:pStyle w:val="3"/>
        <w:spacing w:line="280" w:lineRule="exact"/>
        <w:jc w:val="left"/>
        <w:rPr>
          <w:rFonts w:ascii="Times New Roman" w:hAnsi="Times New Roman" w:cs="宋体"/>
          <w:b/>
          <w:bCs/>
        </w:rPr>
      </w:pPr>
      <w:bookmarkStart w:id="432" w:name="_Toc989266"/>
      <w:r w:rsidRPr="00F614F9">
        <w:rPr>
          <w:rFonts w:ascii="Times New Roman" w:hAnsi="Times New Roman" w:cs="宋体"/>
          <w:b/>
          <w:bCs/>
        </w:rPr>
        <w:t>37</w:t>
      </w:r>
      <w:r w:rsidRPr="00F614F9">
        <w:rPr>
          <w:rFonts w:ascii="Times New Roman" w:hAnsi="Times New Roman" w:cs="宋体"/>
          <w:b/>
          <w:bCs/>
        </w:rPr>
        <w:t>、其他应付款</w:t>
      </w:r>
      <w:bookmarkEnd w:id="432"/>
    </w:p>
    <w:p w14:paraId="01EDD6EA"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679FE6D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5A8AC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8BB25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468D1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5283389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67185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1A1D19A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264,150,919.18</w:t>
            </w:r>
          </w:p>
        </w:tc>
        <w:tc>
          <w:tcPr>
            <w:tcW w:w="3213" w:type="dxa"/>
            <w:tcBorders>
              <w:top w:val="single" w:sz="2" w:space="0" w:color="auto"/>
              <w:left w:val="single" w:sz="2" w:space="0" w:color="auto"/>
              <w:bottom w:val="single" w:sz="2" w:space="0" w:color="auto"/>
              <w:right w:val="single" w:sz="2" w:space="0" w:color="auto"/>
            </w:tcBorders>
            <w:vAlign w:val="center"/>
          </w:tcPr>
          <w:p w14:paraId="696E962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227,027,091.46</w:t>
            </w:r>
          </w:p>
        </w:tc>
      </w:tr>
      <w:tr w:rsidR="001D26E7" w:rsidRPr="00F614F9" w14:paraId="71400D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201F8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E6649D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264,150,919.18</w:t>
            </w:r>
          </w:p>
        </w:tc>
        <w:tc>
          <w:tcPr>
            <w:tcW w:w="3213" w:type="dxa"/>
            <w:tcBorders>
              <w:top w:val="single" w:sz="2" w:space="0" w:color="auto"/>
              <w:left w:val="single" w:sz="2" w:space="0" w:color="auto"/>
              <w:bottom w:val="single" w:sz="2" w:space="0" w:color="auto"/>
              <w:right w:val="single" w:sz="2" w:space="0" w:color="auto"/>
            </w:tcBorders>
            <w:vAlign w:val="center"/>
          </w:tcPr>
          <w:p w14:paraId="152CC2F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227,027,091.46</w:t>
            </w:r>
          </w:p>
        </w:tc>
      </w:tr>
    </w:tbl>
    <w:p w14:paraId="415CED19"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433" w:name="_Toc989267"/>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应付利息</w:t>
      </w:r>
      <w:bookmarkEnd w:id="433"/>
    </w:p>
    <w:p w14:paraId="2500AA48" w14:textId="77777777" w:rsidR="00872599" w:rsidRPr="00F614F9" w:rsidRDefault="00000000">
      <w:pPr>
        <w:pStyle w:val="a3"/>
        <w:divId w:val="1789812286"/>
        <w:rPr>
          <w:rFonts w:ascii="Times New Roman" w:hAnsi="Times New Roman"/>
          <w:sz w:val="18"/>
          <w:szCs w:val="18"/>
        </w:rPr>
      </w:pPr>
      <w:r w:rsidRPr="00F614F9">
        <w:rPr>
          <w:rFonts w:ascii="Times New Roman" w:hAnsi="Times New Roman" w:hint="eastAsia"/>
          <w:sz w:val="18"/>
          <w:szCs w:val="18"/>
        </w:rPr>
        <w:t>无</w:t>
      </w:r>
    </w:p>
    <w:p w14:paraId="25914999"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434" w:name="_Toc989268"/>
      <w:r w:rsidRPr="00F614F9">
        <w:rPr>
          <w:rFonts w:ascii="Times New Roman" w:eastAsia="宋体" w:hAnsi="Times New Roman" w:cs="宋体"/>
          <w:b/>
          <w:bCs/>
          <w:sz w:val="18"/>
          <w:szCs w:val="18"/>
        </w:rPr>
        <w:lastRenderedPageBreak/>
        <w:t>（</w:t>
      </w:r>
      <w:r w:rsidRPr="00F614F9">
        <w:rPr>
          <w:rFonts w:ascii="Times New Roman" w:eastAsia="宋体" w:hAnsi="Times New Roman" w:cs="宋体"/>
          <w:b/>
          <w:bCs/>
          <w:sz w:val="18"/>
          <w:szCs w:val="18"/>
        </w:rPr>
        <w:t>2</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应付股利</w:t>
      </w:r>
      <w:bookmarkEnd w:id="434"/>
    </w:p>
    <w:p w14:paraId="51C14A53" w14:textId="77777777" w:rsidR="00872599" w:rsidRPr="00F614F9" w:rsidRDefault="00000000">
      <w:pPr>
        <w:pStyle w:val="a3"/>
        <w:divId w:val="1000235058"/>
        <w:rPr>
          <w:rFonts w:ascii="Times New Roman" w:hAnsi="Times New Roman"/>
          <w:sz w:val="18"/>
          <w:szCs w:val="18"/>
        </w:rPr>
      </w:pPr>
      <w:r w:rsidRPr="00F614F9">
        <w:rPr>
          <w:rFonts w:ascii="Times New Roman" w:hAnsi="Times New Roman" w:hint="eastAsia"/>
          <w:sz w:val="18"/>
          <w:szCs w:val="18"/>
        </w:rPr>
        <w:t>无</w:t>
      </w:r>
    </w:p>
    <w:p w14:paraId="7F4D2086"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435" w:name="_Toc989269"/>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3</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其他应付款</w:t>
      </w:r>
      <w:bookmarkEnd w:id="435"/>
    </w:p>
    <w:p w14:paraId="4CE5B4BB" w14:textId="77777777" w:rsidR="001D26E7" w:rsidRPr="00F614F9" w:rsidRDefault="00000000">
      <w:pPr>
        <w:keepNext/>
        <w:keepLines/>
        <w:spacing w:before="300" w:after="300" w:line="280" w:lineRule="exact"/>
        <w:outlineLvl w:val="4"/>
        <w:rPr>
          <w:rFonts w:ascii="Times New Roman" w:eastAsia="宋体" w:hAnsi="Times New Roman" w:cs="宋体"/>
          <w:b/>
          <w:bCs/>
          <w:sz w:val="18"/>
          <w:szCs w:val="18"/>
        </w:rPr>
      </w:pPr>
      <w:bookmarkStart w:id="436" w:name="_Toc989270"/>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按款项性质列示其他应付款</w:t>
      </w:r>
      <w:bookmarkEnd w:id="436"/>
    </w:p>
    <w:p w14:paraId="2353541C"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084AB3C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CE786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EE1D7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EE8AA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2F8923E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4E014E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保证金、押金</w:t>
            </w:r>
          </w:p>
        </w:tc>
        <w:tc>
          <w:tcPr>
            <w:tcW w:w="3213" w:type="dxa"/>
            <w:tcBorders>
              <w:top w:val="single" w:sz="2" w:space="0" w:color="auto"/>
              <w:left w:val="single" w:sz="2" w:space="0" w:color="auto"/>
              <w:bottom w:val="single" w:sz="2" w:space="0" w:color="auto"/>
              <w:right w:val="single" w:sz="2" w:space="0" w:color="auto"/>
            </w:tcBorders>
            <w:vAlign w:val="center"/>
          </w:tcPr>
          <w:p w14:paraId="138F284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87,802,528.45</w:t>
            </w:r>
          </w:p>
        </w:tc>
        <w:tc>
          <w:tcPr>
            <w:tcW w:w="3213" w:type="dxa"/>
            <w:tcBorders>
              <w:top w:val="single" w:sz="2" w:space="0" w:color="auto"/>
              <w:left w:val="single" w:sz="2" w:space="0" w:color="auto"/>
              <w:bottom w:val="single" w:sz="2" w:space="0" w:color="auto"/>
              <w:right w:val="single" w:sz="2" w:space="0" w:color="auto"/>
            </w:tcBorders>
            <w:vAlign w:val="center"/>
          </w:tcPr>
          <w:p w14:paraId="760817E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109,956,716.19</w:t>
            </w:r>
          </w:p>
        </w:tc>
      </w:tr>
      <w:tr w:rsidR="001D26E7" w:rsidRPr="00F614F9" w14:paraId="61C62E0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B321C1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预提费用</w:t>
            </w:r>
          </w:p>
        </w:tc>
        <w:tc>
          <w:tcPr>
            <w:tcW w:w="3213" w:type="dxa"/>
            <w:tcBorders>
              <w:top w:val="single" w:sz="2" w:space="0" w:color="auto"/>
              <w:left w:val="single" w:sz="2" w:space="0" w:color="auto"/>
              <w:bottom w:val="single" w:sz="2" w:space="0" w:color="auto"/>
              <w:right w:val="single" w:sz="2" w:space="0" w:color="auto"/>
            </w:tcBorders>
            <w:vAlign w:val="center"/>
          </w:tcPr>
          <w:p w14:paraId="0C6BB44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105,491,439.90</w:t>
            </w:r>
          </w:p>
        </w:tc>
        <w:tc>
          <w:tcPr>
            <w:tcW w:w="3213" w:type="dxa"/>
            <w:tcBorders>
              <w:top w:val="single" w:sz="2" w:space="0" w:color="auto"/>
              <w:left w:val="single" w:sz="2" w:space="0" w:color="auto"/>
              <w:bottom w:val="single" w:sz="2" w:space="0" w:color="auto"/>
              <w:right w:val="single" w:sz="2" w:space="0" w:color="auto"/>
            </w:tcBorders>
            <w:vAlign w:val="center"/>
          </w:tcPr>
          <w:p w14:paraId="1AEF1A0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92,451,458.66</w:t>
            </w:r>
          </w:p>
        </w:tc>
      </w:tr>
      <w:tr w:rsidR="001D26E7" w:rsidRPr="00F614F9" w14:paraId="0D16913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AE1625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应付子公司原股东股权收购款</w:t>
            </w:r>
          </w:p>
        </w:tc>
        <w:tc>
          <w:tcPr>
            <w:tcW w:w="3213" w:type="dxa"/>
            <w:tcBorders>
              <w:top w:val="single" w:sz="2" w:space="0" w:color="auto"/>
              <w:left w:val="single" w:sz="2" w:space="0" w:color="auto"/>
              <w:bottom w:val="single" w:sz="2" w:space="0" w:color="auto"/>
              <w:right w:val="single" w:sz="2" w:space="0" w:color="auto"/>
            </w:tcBorders>
            <w:vAlign w:val="center"/>
          </w:tcPr>
          <w:p w14:paraId="0386979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61,740,000.00</w:t>
            </w:r>
          </w:p>
        </w:tc>
        <w:tc>
          <w:tcPr>
            <w:tcW w:w="3213" w:type="dxa"/>
            <w:tcBorders>
              <w:top w:val="single" w:sz="2" w:space="0" w:color="auto"/>
              <w:left w:val="single" w:sz="2" w:space="0" w:color="auto"/>
              <w:bottom w:val="single" w:sz="2" w:space="0" w:color="auto"/>
              <w:right w:val="single" w:sz="2" w:space="0" w:color="auto"/>
            </w:tcBorders>
            <w:vAlign w:val="center"/>
          </w:tcPr>
          <w:p w14:paraId="5D7282F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16,453,809.04</w:t>
            </w:r>
          </w:p>
        </w:tc>
      </w:tr>
      <w:tr w:rsidR="001D26E7" w:rsidRPr="00F614F9" w14:paraId="1965DE4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5CE159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3E1F328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9,116,950.83</w:t>
            </w:r>
          </w:p>
        </w:tc>
        <w:tc>
          <w:tcPr>
            <w:tcW w:w="3213" w:type="dxa"/>
            <w:tcBorders>
              <w:top w:val="single" w:sz="2" w:space="0" w:color="auto"/>
              <w:left w:val="single" w:sz="2" w:space="0" w:color="auto"/>
              <w:bottom w:val="single" w:sz="2" w:space="0" w:color="auto"/>
              <w:right w:val="single" w:sz="2" w:space="0" w:color="auto"/>
            </w:tcBorders>
            <w:vAlign w:val="center"/>
          </w:tcPr>
          <w:p w14:paraId="4DE305E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8,165,107.57</w:t>
            </w:r>
          </w:p>
        </w:tc>
      </w:tr>
      <w:tr w:rsidR="001D26E7" w:rsidRPr="00F614F9" w14:paraId="62904BB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0D63E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0BF209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264,150,919.18</w:t>
            </w:r>
          </w:p>
        </w:tc>
        <w:tc>
          <w:tcPr>
            <w:tcW w:w="3213" w:type="dxa"/>
            <w:tcBorders>
              <w:top w:val="single" w:sz="2" w:space="0" w:color="auto"/>
              <w:left w:val="single" w:sz="2" w:space="0" w:color="auto"/>
              <w:bottom w:val="single" w:sz="2" w:space="0" w:color="auto"/>
              <w:right w:val="single" w:sz="2" w:space="0" w:color="auto"/>
            </w:tcBorders>
            <w:vAlign w:val="center"/>
          </w:tcPr>
          <w:p w14:paraId="7F51074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227,027,091.46</w:t>
            </w:r>
          </w:p>
        </w:tc>
      </w:tr>
    </w:tbl>
    <w:p w14:paraId="54B666B4" w14:textId="77777777" w:rsidR="001D26E7" w:rsidRPr="00F614F9" w:rsidRDefault="00000000">
      <w:pPr>
        <w:keepNext/>
        <w:keepLines/>
        <w:spacing w:before="300" w:after="300" w:line="280" w:lineRule="exact"/>
        <w:outlineLvl w:val="4"/>
        <w:rPr>
          <w:rFonts w:ascii="Times New Roman" w:eastAsia="宋体" w:hAnsi="Times New Roman" w:cs="宋体"/>
          <w:b/>
          <w:bCs/>
          <w:sz w:val="18"/>
          <w:szCs w:val="18"/>
        </w:rPr>
      </w:pPr>
      <w:bookmarkStart w:id="437" w:name="_Toc989271"/>
      <w:r w:rsidRPr="00F614F9">
        <w:rPr>
          <w:rFonts w:ascii="Times New Roman" w:eastAsia="宋体" w:hAnsi="Times New Roman" w:cs="宋体"/>
          <w:b/>
          <w:bCs/>
          <w:sz w:val="18"/>
          <w:szCs w:val="18"/>
        </w:rPr>
        <w:t>2</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账龄超过</w:t>
      </w:r>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年或逾期的重要其他应付款</w:t>
      </w:r>
      <w:bookmarkEnd w:id="437"/>
    </w:p>
    <w:p w14:paraId="748EE772"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26E52A6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51FB6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25483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4F9A74" w14:textId="77777777" w:rsidR="001D26E7" w:rsidRPr="00F614F9" w:rsidRDefault="00000000">
            <w:pPr>
              <w:spacing w:before="40" w:after="40" w:line="240" w:lineRule="exact"/>
              <w:jc w:val="center"/>
              <w:rPr>
                <w:rFonts w:ascii="Times New Roman" w:eastAsia="宋体" w:hAnsi="Times New Roman" w:cs="宋体"/>
                <w:sz w:val="18"/>
                <w:szCs w:val="18"/>
              </w:rPr>
            </w:pPr>
            <w:proofErr w:type="gramStart"/>
            <w:r w:rsidRPr="00F614F9">
              <w:rPr>
                <w:rFonts w:ascii="Times New Roman" w:eastAsia="宋体" w:hAnsi="Times New Roman" w:cs="宋体"/>
                <w:sz w:val="18"/>
                <w:szCs w:val="18"/>
              </w:rPr>
              <w:t>未偿</w:t>
            </w:r>
            <w:proofErr w:type="gramEnd"/>
            <w:r w:rsidRPr="00F614F9">
              <w:rPr>
                <w:rFonts w:ascii="Times New Roman" w:eastAsia="宋体" w:hAnsi="Times New Roman" w:cs="宋体"/>
                <w:sz w:val="18"/>
                <w:szCs w:val="18"/>
              </w:rPr>
              <w:t>还或结转的原因</w:t>
            </w:r>
          </w:p>
        </w:tc>
      </w:tr>
    </w:tbl>
    <w:p w14:paraId="4097CE10" w14:textId="77777777" w:rsidR="001D26E7" w:rsidRPr="00F614F9" w:rsidRDefault="00000000">
      <w:pPr>
        <w:keepNext/>
        <w:keepLines/>
        <w:spacing w:before="300" w:after="300" w:line="280" w:lineRule="exact"/>
        <w:outlineLvl w:val="4"/>
        <w:rPr>
          <w:rFonts w:ascii="Times New Roman" w:eastAsia="宋体" w:hAnsi="Times New Roman" w:cs="宋体"/>
          <w:b/>
          <w:bCs/>
          <w:sz w:val="18"/>
          <w:szCs w:val="18"/>
        </w:rPr>
      </w:pPr>
      <w:bookmarkStart w:id="438" w:name="_Toc989272"/>
      <w:r w:rsidRPr="00F614F9">
        <w:rPr>
          <w:rFonts w:ascii="Times New Roman" w:eastAsia="宋体" w:hAnsi="Times New Roman" w:cs="宋体"/>
          <w:b/>
          <w:bCs/>
          <w:sz w:val="18"/>
          <w:szCs w:val="18"/>
        </w:rPr>
        <w:t>3</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按交易对手方归集的期末余额前五名的其他应付款情况</w:t>
      </w:r>
      <w:bookmarkEnd w:id="438"/>
    </w:p>
    <w:p w14:paraId="1AC91B33"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30252FC5" w14:textId="77777777" w:rsidR="00872599" w:rsidRPr="00F614F9" w:rsidRDefault="00000000">
      <w:pPr>
        <w:pStyle w:val="a3"/>
        <w:divId w:val="802232978"/>
        <w:rPr>
          <w:rFonts w:ascii="Times New Roman" w:hAnsi="Times New Roman"/>
          <w:sz w:val="18"/>
          <w:szCs w:val="18"/>
        </w:rPr>
      </w:pPr>
      <w:r w:rsidRPr="00F614F9">
        <w:rPr>
          <w:rFonts w:ascii="Times New Roman" w:hAnsi="Times New Roman" w:hint="eastAsia"/>
          <w:sz w:val="18"/>
          <w:szCs w:val="18"/>
        </w:rPr>
        <w:t>无</w:t>
      </w:r>
    </w:p>
    <w:p w14:paraId="1DA673E8" w14:textId="77777777" w:rsidR="001D26E7" w:rsidRPr="00F614F9" w:rsidRDefault="00000000">
      <w:pPr>
        <w:pStyle w:val="3"/>
        <w:spacing w:line="280" w:lineRule="exact"/>
        <w:jc w:val="left"/>
        <w:rPr>
          <w:rFonts w:ascii="Times New Roman" w:hAnsi="Times New Roman" w:cs="宋体"/>
          <w:b/>
          <w:bCs/>
        </w:rPr>
      </w:pPr>
      <w:bookmarkStart w:id="439" w:name="_Toc989273"/>
      <w:r w:rsidRPr="00F614F9">
        <w:rPr>
          <w:rFonts w:ascii="Times New Roman" w:hAnsi="Times New Roman" w:cs="宋体"/>
          <w:b/>
          <w:bCs/>
        </w:rPr>
        <w:t>38</w:t>
      </w:r>
      <w:r w:rsidRPr="00F614F9">
        <w:rPr>
          <w:rFonts w:ascii="Times New Roman" w:hAnsi="Times New Roman" w:cs="宋体"/>
          <w:b/>
          <w:bCs/>
        </w:rPr>
        <w:t>、预收款项</w:t>
      </w:r>
      <w:bookmarkEnd w:id="439"/>
    </w:p>
    <w:p w14:paraId="15B94EDF" w14:textId="77777777" w:rsidR="00407C41" w:rsidRPr="00F614F9" w:rsidRDefault="00407C41" w:rsidP="00407C41">
      <w:pPr>
        <w:spacing w:before="40" w:after="40" w:line="240" w:lineRule="exact"/>
        <w:rPr>
          <w:rFonts w:ascii="Times New Roman" w:eastAsia="宋体" w:hAnsi="Times New Roman" w:cs="宋体"/>
          <w:sz w:val="18"/>
          <w:szCs w:val="18"/>
        </w:rPr>
      </w:pPr>
      <w:r w:rsidRPr="00F614F9">
        <w:rPr>
          <w:rFonts w:ascii="Times New Roman" w:eastAsia="宋体" w:hAnsi="Times New Roman" w:cs="宋体" w:hint="eastAsia"/>
          <w:sz w:val="18"/>
          <w:szCs w:val="18"/>
        </w:rPr>
        <w:t>无</w:t>
      </w:r>
    </w:p>
    <w:p w14:paraId="01136E59" w14:textId="77777777" w:rsidR="001D26E7" w:rsidRPr="00F614F9" w:rsidRDefault="00000000">
      <w:pPr>
        <w:pStyle w:val="3"/>
        <w:spacing w:line="280" w:lineRule="exact"/>
        <w:jc w:val="left"/>
        <w:rPr>
          <w:rFonts w:ascii="Times New Roman" w:hAnsi="Times New Roman" w:cs="宋体"/>
          <w:b/>
          <w:bCs/>
        </w:rPr>
      </w:pPr>
      <w:bookmarkStart w:id="440" w:name="_Toc989276"/>
      <w:r w:rsidRPr="00F614F9">
        <w:rPr>
          <w:rFonts w:ascii="Times New Roman" w:hAnsi="Times New Roman" w:cs="宋体"/>
          <w:b/>
          <w:bCs/>
        </w:rPr>
        <w:t>39</w:t>
      </w:r>
      <w:r w:rsidRPr="00F614F9">
        <w:rPr>
          <w:rFonts w:ascii="Times New Roman" w:hAnsi="Times New Roman" w:cs="宋体"/>
          <w:b/>
          <w:bCs/>
        </w:rPr>
        <w:t>、合同负债</w:t>
      </w:r>
      <w:bookmarkEnd w:id="440"/>
    </w:p>
    <w:p w14:paraId="617CFBAF"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473473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D060F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2584E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6783B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08E6C65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2465AD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预收货款</w:t>
            </w:r>
          </w:p>
        </w:tc>
        <w:tc>
          <w:tcPr>
            <w:tcW w:w="3213" w:type="dxa"/>
            <w:tcBorders>
              <w:top w:val="single" w:sz="2" w:space="0" w:color="auto"/>
              <w:left w:val="single" w:sz="2" w:space="0" w:color="auto"/>
              <w:bottom w:val="single" w:sz="2" w:space="0" w:color="auto"/>
              <w:right w:val="single" w:sz="2" w:space="0" w:color="auto"/>
            </w:tcBorders>
            <w:vAlign w:val="center"/>
          </w:tcPr>
          <w:p w14:paraId="2016A26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134,486,391.06</w:t>
            </w:r>
          </w:p>
        </w:tc>
        <w:tc>
          <w:tcPr>
            <w:tcW w:w="3213" w:type="dxa"/>
            <w:tcBorders>
              <w:top w:val="single" w:sz="2" w:space="0" w:color="auto"/>
              <w:left w:val="single" w:sz="2" w:space="0" w:color="auto"/>
              <w:bottom w:val="single" w:sz="2" w:space="0" w:color="auto"/>
              <w:right w:val="single" w:sz="2" w:space="0" w:color="auto"/>
            </w:tcBorders>
            <w:vAlign w:val="center"/>
          </w:tcPr>
          <w:p w14:paraId="1F61E04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185,629,725.61</w:t>
            </w:r>
          </w:p>
        </w:tc>
      </w:tr>
      <w:tr w:rsidR="001D26E7" w:rsidRPr="00F614F9" w14:paraId="00DF76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548FD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F1EEB7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134,486,391.06</w:t>
            </w:r>
          </w:p>
        </w:tc>
        <w:tc>
          <w:tcPr>
            <w:tcW w:w="3213" w:type="dxa"/>
            <w:tcBorders>
              <w:top w:val="single" w:sz="2" w:space="0" w:color="auto"/>
              <w:left w:val="single" w:sz="2" w:space="0" w:color="auto"/>
              <w:bottom w:val="single" w:sz="2" w:space="0" w:color="auto"/>
              <w:right w:val="single" w:sz="2" w:space="0" w:color="auto"/>
            </w:tcBorders>
            <w:vAlign w:val="center"/>
          </w:tcPr>
          <w:p w14:paraId="603C358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185,629,725.61</w:t>
            </w:r>
          </w:p>
        </w:tc>
      </w:tr>
    </w:tbl>
    <w:p w14:paraId="17C69F2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账龄超过</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年的重要合同负债</w:t>
      </w:r>
    </w:p>
    <w:p w14:paraId="39D38098" w14:textId="77777777" w:rsidR="00407C41" w:rsidRPr="00F614F9" w:rsidRDefault="00407C41" w:rsidP="00407C41">
      <w:pPr>
        <w:spacing w:before="40" w:after="40" w:line="240" w:lineRule="exact"/>
        <w:rPr>
          <w:rFonts w:ascii="Times New Roman" w:eastAsia="宋体" w:hAnsi="Times New Roman" w:cs="宋体"/>
          <w:sz w:val="18"/>
          <w:szCs w:val="18"/>
        </w:rPr>
      </w:pPr>
      <w:r w:rsidRPr="00F614F9">
        <w:rPr>
          <w:rFonts w:ascii="Times New Roman" w:eastAsia="宋体" w:hAnsi="Times New Roman" w:cs="宋体" w:hint="eastAsia"/>
          <w:sz w:val="18"/>
          <w:szCs w:val="18"/>
        </w:rPr>
        <w:t>无</w:t>
      </w:r>
    </w:p>
    <w:p w14:paraId="01F910C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报告期内账面价值发生重大变动的金额和原因</w:t>
      </w:r>
    </w:p>
    <w:p w14:paraId="4B04DA36" w14:textId="77777777" w:rsidR="00407C41" w:rsidRPr="00F614F9" w:rsidRDefault="00407C41" w:rsidP="00407C41">
      <w:pPr>
        <w:spacing w:before="40" w:after="40" w:line="240" w:lineRule="exact"/>
        <w:rPr>
          <w:rFonts w:ascii="Times New Roman" w:eastAsia="宋体" w:hAnsi="Times New Roman" w:cs="宋体"/>
          <w:sz w:val="18"/>
          <w:szCs w:val="18"/>
        </w:rPr>
      </w:pPr>
      <w:r w:rsidRPr="00F614F9">
        <w:rPr>
          <w:rFonts w:ascii="Times New Roman" w:eastAsia="宋体" w:hAnsi="Times New Roman" w:cs="宋体" w:hint="eastAsia"/>
          <w:sz w:val="18"/>
          <w:szCs w:val="18"/>
        </w:rPr>
        <w:t>无</w:t>
      </w:r>
    </w:p>
    <w:p w14:paraId="14342D80"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公司需遵守《深圳证券交易所上市公司自律监管指引第</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号</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行业信息披露》中食品及酒制造相关业的披露要求</w:t>
      </w:r>
    </w:p>
    <w:p w14:paraId="30C256DA" w14:textId="77777777" w:rsidR="001D26E7" w:rsidRPr="00F614F9" w:rsidRDefault="00407C41">
      <w:pPr>
        <w:rPr>
          <w:rFonts w:ascii="Times New Roman" w:hAnsi="Times New Roman"/>
        </w:rPr>
      </w:pPr>
      <w:r w:rsidRPr="00F614F9">
        <w:rPr>
          <w:rFonts w:ascii="Times New Roman" w:hAnsi="Times New Roman" w:hint="eastAsia"/>
        </w:rPr>
        <w:t>无</w:t>
      </w:r>
    </w:p>
    <w:p w14:paraId="2A8AAA62" w14:textId="77777777" w:rsidR="001D26E7" w:rsidRPr="00F614F9" w:rsidRDefault="00000000">
      <w:pPr>
        <w:pStyle w:val="3"/>
        <w:spacing w:line="280" w:lineRule="exact"/>
        <w:jc w:val="left"/>
        <w:rPr>
          <w:rFonts w:ascii="Times New Roman" w:hAnsi="Times New Roman" w:cs="宋体"/>
          <w:b/>
          <w:bCs/>
        </w:rPr>
      </w:pPr>
      <w:bookmarkStart w:id="441" w:name="_Toc989277"/>
      <w:r w:rsidRPr="00F614F9">
        <w:rPr>
          <w:rFonts w:ascii="Times New Roman" w:hAnsi="Times New Roman" w:cs="宋体"/>
          <w:b/>
          <w:bCs/>
        </w:rPr>
        <w:lastRenderedPageBreak/>
        <w:t>40</w:t>
      </w:r>
      <w:r w:rsidRPr="00F614F9">
        <w:rPr>
          <w:rFonts w:ascii="Times New Roman" w:hAnsi="Times New Roman" w:cs="宋体"/>
          <w:b/>
          <w:bCs/>
        </w:rPr>
        <w:t>、应付职工薪</w:t>
      </w:r>
      <w:proofErr w:type="gramStart"/>
      <w:r w:rsidRPr="00F614F9">
        <w:rPr>
          <w:rFonts w:ascii="Times New Roman" w:hAnsi="Times New Roman" w:cs="宋体"/>
          <w:b/>
          <w:bCs/>
        </w:rPr>
        <w:t>酬</w:t>
      </w:r>
      <w:bookmarkEnd w:id="441"/>
      <w:proofErr w:type="gramEnd"/>
    </w:p>
    <w:p w14:paraId="24B74C7E"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42" w:name="_Toc989278"/>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应付职工薪</w:t>
      </w:r>
      <w:proofErr w:type="gramStart"/>
      <w:r w:rsidRPr="00F614F9">
        <w:rPr>
          <w:rFonts w:ascii="Times New Roman" w:eastAsia="宋体" w:hAnsi="Times New Roman" w:cs="宋体"/>
          <w:b/>
          <w:bCs/>
          <w:szCs w:val="21"/>
        </w:rPr>
        <w:t>酬</w:t>
      </w:r>
      <w:proofErr w:type="gramEnd"/>
      <w:r w:rsidRPr="00F614F9">
        <w:rPr>
          <w:rFonts w:ascii="Times New Roman" w:eastAsia="宋体" w:hAnsi="Times New Roman" w:cs="宋体"/>
          <w:b/>
          <w:bCs/>
          <w:szCs w:val="21"/>
        </w:rPr>
        <w:t>列示</w:t>
      </w:r>
      <w:bookmarkEnd w:id="442"/>
    </w:p>
    <w:p w14:paraId="26FE3DEA"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1D26E7" w:rsidRPr="00F614F9" w14:paraId="18108DE8"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29A001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9015FA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4BF241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3D9884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B4F30D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r>
      <w:tr w:rsidR="001D26E7" w:rsidRPr="00F614F9" w14:paraId="2EDC618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E20B7C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一、短期薪酬</w:t>
            </w:r>
          </w:p>
        </w:tc>
        <w:tc>
          <w:tcPr>
            <w:tcW w:w="1928" w:type="dxa"/>
            <w:tcBorders>
              <w:top w:val="single" w:sz="2" w:space="0" w:color="auto"/>
              <w:left w:val="single" w:sz="2" w:space="0" w:color="auto"/>
              <w:bottom w:val="single" w:sz="2" w:space="0" w:color="auto"/>
              <w:right w:val="single" w:sz="2" w:space="0" w:color="auto"/>
            </w:tcBorders>
            <w:vAlign w:val="center"/>
          </w:tcPr>
          <w:p w14:paraId="583807F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38,034,174.23</w:t>
            </w:r>
          </w:p>
        </w:tc>
        <w:tc>
          <w:tcPr>
            <w:tcW w:w="1928" w:type="dxa"/>
            <w:tcBorders>
              <w:top w:val="single" w:sz="2" w:space="0" w:color="auto"/>
              <w:left w:val="single" w:sz="2" w:space="0" w:color="auto"/>
              <w:bottom w:val="single" w:sz="2" w:space="0" w:color="auto"/>
              <w:right w:val="single" w:sz="2" w:space="0" w:color="auto"/>
            </w:tcBorders>
            <w:vAlign w:val="center"/>
          </w:tcPr>
          <w:p w14:paraId="789770E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477,044,118.04</w:t>
            </w:r>
          </w:p>
        </w:tc>
        <w:tc>
          <w:tcPr>
            <w:tcW w:w="1928" w:type="dxa"/>
            <w:tcBorders>
              <w:top w:val="single" w:sz="2" w:space="0" w:color="auto"/>
              <w:left w:val="single" w:sz="2" w:space="0" w:color="auto"/>
              <w:bottom w:val="single" w:sz="2" w:space="0" w:color="auto"/>
              <w:right w:val="single" w:sz="2" w:space="0" w:color="auto"/>
            </w:tcBorders>
            <w:vAlign w:val="center"/>
          </w:tcPr>
          <w:p w14:paraId="64D3B27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473,754,967.94</w:t>
            </w:r>
          </w:p>
        </w:tc>
        <w:tc>
          <w:tcPr>
            <w:tcW w:w="1928" w:type="dxa"/>
            <w:tcBorders>
              <w:top w:val="single" w:sz="2" w:space="0" w:color="auto"/>
              <w:left w:val="single" w:sz="2" w:space="0" w:color="auto"/>
              <w:bottom w:val="single" w:sz="2" w:space="0" w:color="auto"/>
              <w:right w:val="single" w:sz="2" w:space="0" w:color="auto"/>
            </w:tcBorders>
            <w:vAlign w:val="center"/>
          </w:tcPr>
          <w:p w14:paraId="2871BFE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41,323,324.33</w:t>
            </w:r>
          </w:p>
        </w:tc>
      </w:tr>
      <w:tr w:rsidR="001D26E7" w:rsidRPr="00F614F9" w14:paraId="0EA55B1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7974D7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二、离职后福利</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设定提存计划</w:t>
            </w:r>
          </w:p>
        </w:tc>
        <w:tc>
          <w:tcPr>
            <w:tcW w:w="1928" w:type="dxa"/>
            <w:tcBorders>
              <w:top w:val="single" w:sz="2" w:space="0" w:color="auto"/>
              <w:left w:val="single" w:sz="2" w:space="0" w:color="auto"/>
              <w:bottom w:val="single" w:sz="2" w:space="0" w:color="auto"/>
              <w:right w:val="single" w:sz="2" w:space="0" w:color="auto"/>
            </w:tcBorders>
            <w:vAlign w:val="center"/>
          </w:tcPr>
          <w:p w14:paraId="6284AA7F"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68DAE2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29,362,699.69</w:t>
            </w:r>
          </w:p>
        </w:tc>
        <w:tc>
          <w:tcPr>
            <w:tcW w:w="1928" w:type="dxa"/>
            <w:tcBorders>
              <w:top w:val="single" w:sz="2" w:space="0" w:color="auto"/>
              <w:left w:val="single" w:sz="2" w:space="0" w:color="auto"/>
              <w:bottom w:val="single" w:sz="2" w:space="0" w:color="auto"/>
              <w:right w:val="single" w:sz="2" w:space="0" w:color="auto"/>
            </w:tcBorders>
            <w:vAlign w:val="center"/>
          </w:tcPr>
          <w:p w14:paraId="545F6DE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29,346,884.69</w:t>
            </w:r>
          </w:p>
        </w:tc>
        <w:tc>
          <w:tcPr>
            <w:tcW w:w="1928" w:type="dxa"/>
            <w:tcBorders>
              <w:top w:val="single" w:sz="2" w:space="0" w:color="auto"/>
              <w:left w:val="single" w:sz="2" w:space="0" w:color="auto"/>
              <w:bottom w:val="single" w:sz="2" w:space="0" w:color="auto"/>
              <w:right w:val="single" w:sz="2" w:space="0" w:color="auto"/>
            </w:tcBorders>
            <w:vAlign w:val="center"/>
          </w:tcPr>
          <w:p w14:paraId="6C081F4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15,815.00</w:t>
            </w:r>
          </w:p>
        </w:tc>
      </w:tr>
      <w:tr w:rsidR="001D26E7" w:rsidRPr="00F614F9" w14:paraId="0F3F16D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8A32DF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三、辞退福利</w:t>
            </w:r>
          </w:p>
        </w:tc>
        <w:tc>
          <w:tcPr>
            <w:tcW w:w="1928" w:type="dxa"/>
            <w:tcBorders>
              <w:top w:val="single" w:sz="2" w:space="0" w:color="auto"/>
              <w:left w:val="single" w:sz="2" w:space="0" w:color="auto"/>
              <w:bottom w:val="single" w:sz="2" w:space="0" w:color="auto"/>
              <w:right w:val="single" w:sz="2" w:space="0" w:color="auto"/>
            </w:tcBorders>
            <w:vAlign w:val="center"/>
          </w:tcPr>
          <w:p w14:paraId="2727E6BA"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0CB40D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3,326,390.48</w:t>
            </w:r>
          </w:p>
        </w:tc>
        <w:tc>
          <w:tcPr>
            <w:tcW w:w="1928" w:type="dxa"/>
            <w:tcBorders>
              <w:top w:val="single" w:sz="2" w:space="0" w:color="auto"/>
              <w:left w:val="single" w:sz="2" w:space="0" w:color="auto"/>
              <w:bottom w:val="single" w:sz="2" w:space="0" w:color="auto"/>
              <w:right w:val="single" w:sz="2" w:space="0" w:color="auto"/>
            </w:tcBorders>
            <w:vAlign w:val="center"/>
          </w:tcPr>
          <w:p w14:paraId="5082643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1,392,971.48</w:t>
            </w:r>
          </w:p>
        </w:tc>
        <w:tc>
          <w:tcPr>
            <w:tcW w:w="1928" w:type="dxa"/>
            <w:tcBorders>
              <w:top w:val="single" w:sz="2" w:space="0" w:color="auto"/>
              <w:left w:val="single" w:sz="2" w:space="0" w:color="auto"/>
              <w:bottom w:val="single" w:sz="2" w:space="0" w:color="auto"/>
              <w:right w:val="single" w:sz="2" w:space="0" w:color="auto"/>
            </w:tcBorders>
            <w:vAlign w:val="center"/>
          </w:tcPr>
          <w:p w14:paraId="354ABCF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1,933,419.00</w:t>
            </w:r>
          </w:p>
        </w:tc>
      </w:tr>
      <w:tr w:rsidR="001D26E7" w:rsidRPr="00F614F9" w14:paraId="6FEC3D8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25AD1F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71352D7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38,034,174.23</w:t>
            </w:r>
          </w:p>
        </w:tc>
        <w:tc>
          <w:tcPr>
            <w:tcW w:w="1928" w:type="dxa"/>
            <w:tcBorders>
              <w:top w:val="single" w:sz="2" w:space="0" w:color="auto"/>
              <w:left w:val="single" w:sz="2" w:space="0" w:color="auto"/>
              <w:bottom w:val="single" w:sz="2" w:space="0" w:color="auto"/>
              <w:right w:val="single" w:sz="2" w:space="0" w:color="auto"/>
            </w:tcBorders>
            <w:vAlign w:val="center"/>
          </w:tcPr>
          <w:p w14:paraId="201D43E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509,733,208.21</w:t>
            </w:r>
          </w:p>
        </w:tc>
        <w:tc>
          <w:tcPr>
            <w:tcW w:w="1928" w:type="dxa"/>
            <w:tcBorders>
              <w:top w:val="single" w:sz="2" w:space="0" w:color="auto"/>
              <w:left w:val="single" w:sz="2" w:space="0" w:color="auto"/>
              <w:bottom w:val="single" w:sz="2" w:space="0" w:color="auto"/>
              <w:right w:val="single" w:sz="2" w:space="0" w:color="auto"/>
            </w:tcBorders>
            <w:vAlign w:val="center"/>
          </w:tcPr>
          <w:p w14:paraId="1DC315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504,494,824.11</w:t>
            </w:r>
          </w:p>
        </w:tc>
        <w:tc>
          <w:tcPr>
            <w:tcW w:w="1928" w:type="dxa"/>
            <w:tcBorders>
              <w:top w:val="single" w:sz="2" w:space="0" w:color="auto"/>
              <w:left w:val="single" w:sz="2" w:space="0" w:color="auto"/>
              <w:bottom w:val="single" w:sz="2" w:space="0" w:color="auto"/>
              <w:right w:val="single" w:sz="2" w:space="0" w:color="auto"/>
            </w:tcBorders>
            <w:vAlign w:val="center"/>
          </w:tcPr>
          <w:p w14:paraId="6027BF8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43,272,558.33</w:t>
            </w:r>
          </w:p>
        </w:tc>
      </w:tr>
    </w:tbl>
    <w:p w14:paraId="5501D59C"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43" w:name="_Toc989279"/>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短期薪酬列示</w:t>
      </w:r>
      <w:bookmarkEnd w:id="443"/>
    </w:p>
    <w:p w14:paraId="426CB2E4"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1D26E7" w:rsidRPr="00F614F9" w14:paraId="1721D83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F1799E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7786B9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1C55C6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B7774C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0C7AC1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r>
      <w:tr w:rsidR="001D26E7" w:rsidRPr="00F614F9" w14:paraId="7AA7AA1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8711C2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、工资、奖金、津贴和补贴</w:t>
            </w:r>
          </w:p>
        </w:tc>
        <w:tc>
          <w:tcPr>
            <w:tcW w:w="1928" w:type="dxa"/>
            <w:tcBorders>
              <w:top w:val="single" w:sz="2" w:space="0" w:color="auto"/>
              <w:left w:val="single" w:sz="2" w:space="0" w:color="auto"/>
              <w:bottom w:val="single" w:sz="2" w:space="0" w:color="auto"/>
              <w:right w:val="single" w:sz="2" w:space="0" w:color="auto"/>
            </w:tcBorders>
            <w:vAlign w:val="center"/>
          </w:tcPr>
          <w:p w14:paraId="76522AB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38,021,674.23</w:t>
            </w:r>
          </w:p>
        </w:tc>
        <w:tc>
          <w:tcPr>
            <w:tcW w:w="1928" w:type="dxa"/>
            <w:tcBorders>
              <w:top w:val="single" w:sz="2" w:space="0" w:color="auto"/>
              <w:left w:val="single" w:sz="2" w:space="0" w:color="auto"/>
              <w:bottom w:val="single" w:sz="2" w:space="0" w:color="auto"/>
              <w:right w:val="single" w:sz="2" w:space="0" w:color="auto"/>
            </w:tcBorders>
            <w:vAlign w:val="center"/>
          </w:tcPr>
          <w:p w14:paraId="493E3FF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439,256,460.40</w:t>
            </w:r>
          </w:p>
        </w:tc>
        <w:tc>
          <w:tcPr>
            <w:tcW w:w="1928" w:type="dxa"/>
            <w:tcBorders>
              <w:top w:val="single" w:sz="2" w:space="0" w:color="auto"/>
              <w:left w:val="single" w:sz="2" w:space="0" w:color="auto"/>
              <w:bottom w:val="single" w:sz="2" w:space="0" w:color="auto"/>
              <w:right w:val="single" w:sz="2" w:space="0" w:color="auto"/>
            </w:tcBorders>
            <w:vAlign w:val="center"/>
          </w:tcPr>
          <w:p w14:paraId="7428E6A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435,965,131.50</w:t>
            </w:r>
          </w:p>
        </w:tc>
        <w:tc>
          <w:tcPr>
            <w:tcW w:w="1928" w:type="dxa"/>
            <w:tcBorders>
              <w:top w:val="single" w:sz="2" w:space="0" w:color="auto"/>
              <w:left w:val="single" w:sz="2" w:space="0" w:color="auto"/>
              <w:bottom w:val="single" w:sz="2" w:space="0" w:color="auto"/>
              <w:right w:val="single" w:sz="2" w:space="0" w:color="auto"/>
            </w:tcBorders>
            <w:vAlign w:val="center"/>
          </w:tcPr>
          <w:p w14:paraId="6024B10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41,313,003.13</w:t>
            </w:r>
          </w:p>
        </w:tc>
      </w:tr>
      <w:tr w:rsidR="001D26E7" w:rsidRPr="00F614F9" w14:paraId="5AAF207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D35F53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、职工福利费</w:t>
            </w:r>
          </w:p>
        </w:tc>
        <w:tc>
          <w:tcPr>
            <w:tcW w:w="1928" w:type="dxa"/>
            <w:tcBorders>
              <w:top w:val="single" w:sz="2" w:space="0" w:color="auto"/>
              <w:left w:val="single" w:sz="2" w:space="0" w:color="auto"/>
              <w:bottom w:val="single" w:sz="2" w:space="0" w:color="auto"/>
              <w:right w:val="single" w:sz="2" w:space="0" w:color="auto"/>
            </w:tcBorders>
            <w:vAlign w:val="center"/>
          </w:tcPr>
          <w:p w14:paraId="6A0C7746"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B4898C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18,601,956.18</w:t>
            </w:r>
          </w:p>
        </w:tc>
        <w:tc>
          <w:tcPr>
            <w:tcW w:w="1928" w:type="dxa"/>
            <w:tcBorders>
              <w:top w:val="single" w:sz="2" w:space="0" w:color="auto"/>
              <w:left w:val="single" w:sz="2" w:space="0" w:color="auto"/>
              <w:bottom w:val="single" w:sz="2" w:space="0" w:color="auto"/>
              <w:right w:val="single" w:sz="2" w:space="0" w:color="auto"/>
            </w:tcBorders>
            <w:vAlign w:val="center"/>
          </w:tcPr>
          <w:p w14:paraId="2B1A477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18,601,956.18</w:t>
            </w:r>
          </w:p>
        </w:tc>
        <w:tc>
          <w:tcPr>
            <w:tcW w:w="1928" w:type="dxa"/>
            <w:tcBorders>
              <w:top w:val="single" w:sz="2" w:space="0" w:color="auto"/>
              <w:left w:val="single" w:sz="2" w:space="0" w:color="auto"/>
              <w:bottom w:val="single" w:sz="2" w:space="0" w:color="auto"/>
              <w:right w:val="single" w:sz="2" w:space="0" w:color="auto"/>
            </w:tcBorders>
            <w:vAlign w:val="center"/>
          </w:tcPr>
          <w:p w14:paraId="2A35529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BDFEE1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B7D170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、社会保险费</w:t>
            </w:r>
          </w:p>
        </w:tc>
        <w:tc>
          <w:tcPr>
            <w:tcW w:w="1928" w:type="dxa"/>
            <w:tcBorders>
              <w:top w:val="single" w:sz="2" w:space="0" w:color="auto"/>
              <w:left w:val="single" w:sz="2" w:space="0" w:color="auto"/>
              <w:bottom w:val="single" w:sz="2" w:space="0" w:color="auto"/>
              <w:right w:val="single" w:sz="2" w:space="0" w:color="auto"/>
            </w:tcBorders>
            <w:vAlign w:val="center"/>
          </w:tcPr>
          <w:p w14:paraId="58E917F2"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14885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14,908,257.09</w:t>
            </w:r>
          </w:p>
        </w:tc>
        <w:tc>
          <w:tcPr>
            <w:tcW w:w="1928" w:type="dxa"/>
            <w:tcBorders>
              <w:top w:val="single" w:sz="2" w:space="0" w:color="auto"/>
              <w:left w:val="single" w:sz="2" w:space="0" w:color="auto"/>
              <w:bottom w:val="single" w:sz="2" w:space="0" w:color="auto"/>
              <w:right w:val="single" w:sz="2" w:space="0" w:color="auto"/>
            </w:tcBorders>
            <w:vAlign w:val="center"/>
          </w:tcPr>
          <w:p w14:paraId="56417F4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14,900,635.89</w:t>
            </w:r>
          </w:p>
        </w:tc>
        <w:tc>
          <w:tcPr>
            <w:tcW w:w="1928" w:type="dxa"/>
            <w:tcBorders>
              <w:top w:val="single" w:sz="2" w:space="0" w:color="auto"/>
              <w:left w:val="single" w:sz="2" w:space="0" w:color="auto"/>
              <w:bottom w:val="single" w:sz="2" w:space="0" w:color="auto"/>
              <w:right w:val="single" w:sz="2" w:space="0" w:color="auto"/>
            </w:tcBorders>
            <w:vAlign w:val="center"/>
          </w:tcPr>
          <w:p w14:paraId="29BCD26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7,621.20</w:t>
            </w:r>
          </w:p>
        </w:tc>
      </w:tr>
      <w:tr w:rsidR="001D26E7" w:rsidRPr="00F614F9" w14:paraId="7F0AB544"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8BEB9AE"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其中：医疗保险费</w:t>
            </w:r>
          </w:p>
        </w:tc>
        <w:tc>
          <w:tcPr>
            <w:tcW w:w="1928" w:type="dxa"/>
            <w:tcBorders>
              <w:top w:val="single" w:sz="2" w:space="0" w:color="auto"/>
              <w:left w:val="single" w:sz="2" w:space="0" w:color="auto"/>
              <w:bottom w:val="single" w:sz="2" w:space="0" w:color="auto"/>
              <w:right w:val="single" w:sz="2" w:space="0" w:color="auto"/>
            </w:tcBorders>
            <w:vAlign w:val="center"/>
          </w:tcPr>
          <w:p w14:paraId="77E63EAB"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6FF2CF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13,470,674.23</w:t>
            </w:r>
          </w:p>
        </w:tc>
        <w:tc>
          <w:tcPr>
            <w:tcW w:w="1928" w:type="dxa"/>
            <w:tcBorders>
              <w:top w:val="single" w:sz="2" w:space="0" w:color="auto"/>
              <w:left w:val="single" w:sz="2" w:space="0" w:color="auto"/>
              <w:bottom w:val="single" w:sz="2" w:space="0" w:color="auto"/>
              <w:right w:val="single" w:sz="2" w:space="0" w:color="auto"/>
            </w:tcBorders>
            <w:vAlign w:val="center"/>
          </w:tcPr>
          <w:p w14:paraId="166DE45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13,463,179.53</w:t>
            </w:r>
          </w:p>
        </w:tc>
        <w:tc>
          <w:tcPr>
            <w:tcW w:w="1928" w:type="dxa"/>
            <w:tcBorders>
              <w:top w:val="single" w:sz="2" w:space="0" w:color="auto"/>
              <w:left w:val="single" w:sz="2" w:space="0" w:color="auto"/>
              <w:bottom w:val="single" w:sz="2" w:space="0" w:color="auto"/>
              <w:right w:val="single" w:sz="2" w:space="0" w:color="auto"/>
            </w:tcBorders>
            <w:vAlign w:val="center"/>
          </w:tcPr>
          <w:p w14:paraId="10DCBB5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7,494.70</w:t>
            </w:r>
          </w:p>
        </w:tc>
      </w:tr>
      <w:tr w:rsidR="001D26E7" w:rsidRPr="00F614F9" w14:paraId="7DB0698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8D8DD4D" w14:textId="77777777" w:rsidR="001D26E7" w:rsidRPr="00F614F9" w:rsidRDefault="00000000">
            <w:pPr>
              <w:spacing w:before="40" w:after="40" w:line="240" w:lineRule="exact"/>
              <w:ind w:firstLineChars="500" w:firstLine="900"/>
              <w:rPr>
                <w:rFonts w:ascii="Times New Roman" w:eastAsia="宋体" w:hAnsi="Times New Roman" w:cs="宋体"/>
                <w:sz w:val="18"/>
                <w:szCs w:val="18"/>
              </w:rPr>
            </w:pPr>
            <w:r w:rsidRPr="00F614F9">
              <w:rPr>
                <w:rFonts w:ascii="Times New Roman" w:eastAsia="宋体" w:hAnsi="Times New Roman" w:cs="宋体"/>
                <w:sz w:val="18"/>
                <w:szCs w:val="18"/>
              </w:rPr>
              <w:t>工伤保险费</w:t>
            </w:r>
          </w:p>
        </w:tc>
        <w:tc>
          <w:tcPr>
            <w:tcW w:w="1928" w:type="dxa"/>
            <w:tcBorders>
              <w:top w:val="single" w:sz="2" w:space="0" w:color="auto"/>
              <w:left w:val="single" w:sz="2" w:space="0" w:color="auto"/>
              <w:bottom w:val="single" w:sz="2" w:space="0" w:color="auto"/>
              <w:right w:val="single" w:sz="2" w:space="0" w:color="auto"/>
            </w:tcBorders>
            <w:vAlign w:val="center"/>
          </w:tcPr>
          <w:p w14:paraId="12AEA685"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137041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1,436,944.40</w:t>
            </w:r>
          </w:p>
        </w:tc>
        <w:tc>
          <w:tcPr>
            <w:tcW w:w="1928" w:type="dxa"/>
            <w:tcBorders>
              <w:top w:val="single" w:sz="2" w:space="0" w:color="auto"/>
              <w:left w:val="single" w:sz="2" w:space="0" w:color="auto"/>
              <w:bottom w:val="single" w:sz="2" w:space="0" w:color="auto"/>
              <w:right w:val="single" w:sz="2" w:space="0" w:color="auto"/>
            </w:tcBorders>
            <w:vAlign w:val="center"/>
          </w:tcPr>
          <w:p w14:paraId="46A50D5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1,436,817.90</w:t>
            </w:r>
          </w:p>
        </w:tc>
        <w:tc>
          <w:tcPr>
            <w:tcW w:w="1928" w:type="dxa"/>
            <w:tcBorders>
              <w:top w:val="single" w:sz="2" w:space="0" w:color="auto"/>
              <w:left w:val="single" w:sz="2" w:space="0" w:color="auto"/>
              <w:bottom w:val="single" w:sz="2" w:space="0" w:color="auto"/>
              <w:right w:val="single" w:sz="2" w:space="0" w:color="auto"/>
            </w:tcBorders>
            <w:vAlign w:val="center"/>
          </w:tcPr>
          <w:p w14:paraId="44FECAA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126.50</w:t>
            </w:r>
          </w:p>
        </w:tc>
      </w:tr>
      <w:tr w:rsidR="001D26E7" w:rsidRPr="00F614F9" w14:paraId="5386669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3CCBD6C" w14:textId="77777777" w:rsidR="001D26E7" w:rsidRPr="00F614F9" w:rsidRDefault="00000000">
            <w:pPr>
              <w:spacing w:before="40" w:after="40" w:line="240" w:lineRule="exact"/>
              <w:ind w:firstLineChars="500" w:firstLine="900"/>
              <w:rPr>
                <w:rFonts w:ascii="Times New Roman" w:eastAsia="宋体" w:hAnsi="Times New Roman" w:cs="宋体"/>
                <w:sz w:val="18"/>
                <w:szCs w:val="18"/>
              </w:rPr>
            </w:pPr>
            <w:r w:rsidRPr="00F614F9">
              <w:rPr>
                <w:rFonts w:ascii="Times New Roman" w:eastAsia="宋体" w:hAnsi="Times New Roman" w:cs="宋体"/>
                <w:sz w:val="18"/>
                <w:szCs w:val="18"/>
              </w:rPr>
              <w:t>生育保险费</w:t>
            </w:r>
          </w:p>
        </w:tc>
        <w:tc>
          <w:tcPr>
            <w:tcW w:w="1928" w:type="dxa"/>
            <w:tcBorders>
              <w:top w:val="single" w:sz="2" w:space="0" w:color="auto"/>
              <w:left w:val="single" w:sz="2" w:space="0" w:color="auto"/>
              <w:bottom w:val="single" w:sz="2" w:space="0" w:color="auto"/>
              <w:right w:val="single" w:sz="2" w:space="0" w:color="auto"/>
            </w:tcBorders>
            <w:vAlign w:val="center"/>
          </w:tcPr>
          <w:p w14:paraId="108BDBBD"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0798CB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638.46</w:t>
            </w:r>
          </w:p>
        </w:tc>
        <w:tc>
          <w:tcPr>
            <w:tcW w:w="1928" w:type="dxa"/>
            <w:tcBorders>
              <w:top w:val="single" w:sz="2" w:space="0" w:color="auto"/>
              <w:left w:val="single" w:sz="2" w:space="0" w:color="auto"/>
              <w:bottom w:val="single" w:sz="2" w:space="0" w:color="auto"/>
              <w:right w:val="single" w:sz="2" w:space="0" w:color="auto"/>
            </w:tcBorders>
            <w:vAlign w:val="center"/>
          </w:tcPr>
          <w:p w14:paraId="32193FD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638.46</w:t>
            </w:r>
          </w:p>
        </w:tc>
        <w:tc>
          <w:tcPr>
            <w:tcW w:w="1928" w:type="dxa"/>
            <w:tcBorders>
              <w:top w:val="single" w:sz="2" w:space="0" w:color="auto"/>
              <w:left w:val="single" w:sz="2" w:space="0" w:color="auto"/>
              <w:bottom w:val="single" w:sz="2" w:space="0" w:color="auto"/>
              <w:right w:val="single" w:sz="2" w:space="0" w:color="auto"/>
            </w:tcBorders>
            <w:vAlign w:val="center"/>
          </w:tcPr>
          <w:p w14:paraId="0DB4289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7A0798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619EBF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、住房公积金</w:t>
            </w:r>
          </w:p>
        </w:tc>
        <w:tc>
          <w:tcPr>
            <w:tcW w:w="1928" w:type="dxa"/>
            <w:tcBorders>
              <w:top w:val="single" w:sz="2" w:space="0" w:color="auto"/>
              <w:left w:val="single" w:sz="2" w:space="0" w:color="auto"/>
              <w:bottom w:val="single" w:sz="2" w:space="0" w:color="auto"/>
              <w:right w:val="single" w:sz="2" w:space="0" w:color="auto"/>
            </w:tcBorders>
            <w:vAlign w:val="center"/>
          </w:tcPr>
          <w:p w14:paraId="0B7D74E4"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6F9F75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3,503,329.00</w:t>
            </w:r>
          </w:p>
        </w:tc>
        <w:tc>
          <w:tcPr>
            <w:tcW w:w="1928" w:type="dxa"/>
            <w:tcBorders>
              <w:top w:val="single" w:sz="2" w:space="0" w:color="auto"/>
              <w:left w:val="single" w:sz="2" w:space="0" w:color="auto"/>
              <w:bottom w:val="single" w:sz="2" w:space="0" w:color="auto"/>
              <w:right w:val="single" w:sz="2" w:space="0" w:color="auto"/>
            </w:tcBorders>
            <w:vAlign w:val="center"/>
          </w:tcPr>
          <w:p w14:paraId="1E938EE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3,500,629.00</w:t>
            </w:r>
          </w:p>
        </w:tc>
        <w:tc>
          <w:tcPr>
            <w:tcW w:w="1928" w:type="dxa"/>
            <w:tcBorders>
              <w:top w:val="single" w:sz="2" w:space="0" w:color="auto"/>
              <w:left w:val="single" w:sz="2" w:space="0" w:color="auto"/>
              <w:bottom w:val="single" w:sz="2" w:space="0" w:color="auto"/>
              <w:right w:val="single" w:sz="2" w:space="0" w:color="auto"/>
            </w:tcBorders>
            <w:vAlign w:val="center"/>
          </w:tcPr>
          <w:p w14:paraId="1DDD8E1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2,700.00</w:t>
            </w:r>
          </w:p>
        </w:tc>
      </w:tr>
      <w:tr w:rsidR="001D26E7" w:rsidRPr="00F614F9" w14:paraId="260F275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262BE8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5</w:t>
            </w:r>
            <w:r w:rsidRPr="00F614F9">
              <w:rPr>
                <w:rFonts w:ascii="Times New Roman" w:eastAsia="宋体" w:hAnsi="Times New Roman" w:cs="宋体"/>
                <w:sz w:val="18"/>
                <w:szCs w:val="18"/>
              </w:rPr>
              <w:t>、工会经费和职工教育经费</w:t>
            </w:r>
          </w:p>
        </w:tc>
        <w:tc>
          <w:tcPr>
            <w:tcW w:w="1928" w:type="dxa"/>
            <w:tcBorders>
              <w:top w:val="single" w:sz="2" w:space="0" w:color="auto"/>
              <w:left w:val="single" w:sz="2" w:space="0" w:color="auto"/>
              <w:bottom w:val="single" w:sz="2" w:space="0" w:color="auto"/>
              <w:right w:val="single" w:sz="2" w:space="0" w:color="auto"/>
            </w:tcBorders>
            <w:vAlign w:val="center"/>
          </w:tcPr>
          <w:p w14:paraId="613336E0"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4CD0B5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474,115.37</w:t>
            </w:r>
          </w:p>
        </w:tc>
        <w:tc>
          <w:tcPr>
            <w:tcW w:w="1928" w:type="dxa"/>
            <w:tcBorders>
              <w:top w:val="single" w:sz="2" w:space="0" w:color="auto"/>
              <w:left w:val="single" w:sz="2" w:space="0" w:color="auto"/>
              <w:bottom w:val="single" w:sz="2" w:space="0" w:color="auto"/>
              <w:right w:val="single" w:sz="2" w:space="0" w:color="auto"/>
            </w:tcBorders>
            <w:vAlign w:val="center"/>
          </w:tcPr>
          <w:p w14:paraId="4937D10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474,115.37</w:t>
            </w:r>
          </w:p>
        </w:tc>
        <w:tc>
          <w:tcPr>
            <w:tcW w:w="1928" w:type="dxa"/>
            <w:tcBorders>
              <w:top w:val="single" w:sz="2" w:space="0" w:color="auto"/>
              <w:left w:val="single" w:sz="2" w:space="0" w:color="auto"/>
              <w:bottom w:val="single" w:sz="2" w:space="0" w:color="auto"/>
              <w:right w:val="single" w:sz="2" w:space="0" w:color="auto"/>
            </w:tcBorders>
            <w:vAlign w:val="center"/>
          </w:tcPr>
          <w:p w14:paraId="7D5AF8F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D5BD9D8"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E6583E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8</w:t>
            </w:r>
            <w:r w:rsidRPr="00F614F9">
              <w:rPr>
                <w:rFonts w:ascii="Times New Roman" w:eastAsia="宋体" w:hAnsi="Times New Roman" w:cs="宋体"/>
                <w:sz w:val="18"/>
                <w:szCs w:val="18"/>
              </w:rPr>
              <w:t>、其他短期薪酬</w:t>
            </w:r>
          </w:p>
        </w:tc>
        <w:tc>
          <w:tcPr>
            <w:tcW w:w="1928" w:type="dxa"/>
            <w:tcBorders>
              <w:top w:val="single" w:sz="2" w:space="0" w:color="auto"/>
              <w:left w:val="single" w:sz="2" w:space="0" w:color="auto"/>
              <w:bottom w:val="single" w:sz="2" w:space="0" w:color="auto"/>
              <w:right w:val="single" w:sz="2" w:space="0" w:color="auto"/>
            </w:tcBorders>
            <w:vAlign w:val="center"/>
          </w:tcPr>
          <w:p w14:paraId="0783324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12,500.00</w:t>
            </w:r>
          </w:p>
        </w:tc>
        <w:tc>
          <w:tcPr>
            <w:tcW w:w="1928" w:type="dxa"/>
            <w:tcBorders>
              <w:top w:val="single" w:sz="2" w:space="0" w:color="auto"/>
              <w:left w:val="single" w:sz="2" w:space="0" w:color="auto"/>
              <w:bottom w:val="single" w:sz="2" w:space="0" w:color="auto"/>
              <w:right w:val="single" w:sz="2" w:space="0" w:color="auto"/>
            </w:tcBorders>
            <w:vAlign w:val="center"/>
          </w:tcPr>
          <w:p w14:paraId="4F2DA2F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300,000.00</w:t>
            </w:r>
          </w:p>
        </w:tc>
        <w:tc>
          <w:tcPr>
            <w:tcW w:w="1928" w:type="dxa"/>
            <w:tcBorders>
              <w:top w:val="single" w:sz="2" w:space="0" w:color="auto"/>
              <w:left w:val="single" w:sz="2" w:space="0" w:color="auto"/>
              <w:bottom w:val="single" w:sz="2" w:space="0" w:color="auto"/>
              <w:right w:val="single" w:sz="2" w:space="0" w:color="auto"/>
            </w:tcBorders>
            <w:vAlign w:val="center"/>
          </w:tcPr>
          <w:p w14:paraId="24D0D1C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312,500.00</w:t>
            </w:r>
          </w:p>
        </w:tc>
        <w:tc>
          <w:tcPr>
            <w:tcW w:w="1928" w:type="dxa"/>
            <w:tcBorders>
              <w:top w:val="single" w:sz="2" w:space="0" w:color="auto"/>
              <w:left w:val="single" w:sz="2" w:space="0" w:color="auto"/>
              <w:bottom w:val="single" w:sz="2" w:space="0" w:color="auto"/>
              <w:right w:val="single" w:sz="2" w:space="0" w:color="auto"/>
            </w:tcBorders>
            <w:vAlign w:val="center"/>
          </w:tcPr>
          <w:p w14:paraId="7A0C1A5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86BD71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7C103B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12B871E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38,034,174.23</w:t>
            </w:r>
          </w:p>
        </w:tc>
        <w:tc>
          <w:tcPr>
            <w:tcW w:w="1928" w:type="dxa"/>
            <w:tcBorders>
              <w:top w:val="single" w:sz="2" w:space="0" w:color="auto"/>
              <w:left w:val="single" w:sz="2" w:space="0" w:color="auto"/>
              <w:bottom w:val="single" w:sz="2" w:space="0" w:color="auto"/>
              <w:right w:val="single" w:sz="2" w:space="0" w:color="auto"/>
            </w:tcBorders>
            <w:vAlign w:val="center"/>
          </w:tcPr>
          <w:p w14:paraId="48F760E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477,044,118.04</w:t>
            </w:r>
          </w:p>
        </w:tc>
        <w:tc>
          <w:tcPr>
            <w:tcW w:w="1928" w:type="dxa"/>
            <w:tcBorders>
              <w:top w:val="single" w:sz="2" w:space="0" w:color="auto"/>
              <w:left w:val="single" w:sz="2" w:space="0" w:color="auto"/>
              <w:bottom w:val="single" w:sz="2" w:space="0" w:color="auto"/>
              <w:right w:val="single" w:sz="2" w:space="0" w:color="auto"/>
            </w:tcBorders>
            <w:vAlign w:val="center"/>
          </w:tcPr>
          <w:p w14:paraId="554D1C3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473,754,967.94</w:t>
            </w:r>
          </w:p>
        </w:tc>
        <w:tc>
          <w:tcPr>
            <w:tcW w:w="1928" w:type="dxa"/>
            <w:tcBorders>
              <w:top w:val="single" w:sz="2" w:space="0" w:color="auto"/>
              <w:left w:val="single" w:sz="2" w:space="0" w:color="auto"/>
              <w:bottom w:val="single" w:sz="2" w:space="0" w:color="auto"/>
              <w:right w:val="single" w:sz="2" w:space="0" w:color="auto"/>
            </w:tcBorders>
            <w:vAlign w:val="center"/>
          </w:tcPr>
          <w:p w14:paraId="0A3F45F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41,323,324.33</w:t>
            </w:r>
          </w:p>
        </w:tc>
      </w:tr>
    </w:tbl>
    <w:p w14:paraId="1C287131"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44" w:name="_Toc989280"/>
      <w:r w:rsidRPr="00F614F9">
        <w:rPr>
          <w:rFonts w:ascii="Times New Roman" w:eastAsia="宋体" w:hAnsi="Times New Roman" w:cs="宋体"/>
          <w:b/>
          <w:bCs/>
          <w:szCs w:val="21"/>
        </w:rPr>
        <w:t>（</w:t>
      </w:r>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设定提存计划列示</w:t>
      </w:r>
      <w:bookmarkEnd w:id="444"/>
    </w:p>
    <w:p w14:paraId="568B2FBA"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1D26E7" w:rsidRPr="00F614F9" w14:paraId="50640786"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4B2E4F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E077F6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0AF3C7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DAF042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E3F607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r>
      <w:tr w:rsidR="001D26E7" w:rsidRPr="00F614F9" w14:paraId="28A1896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881812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、基本养老保险</w:t>
            </w:r>
          </w:p>
        </w:tc>
        <w:tc>
          <w:tcPr>
            <w:tcW w:w="1928" w:type="dxa"/>
            <w:tcBorders>
              <w:top w:val="single" w:sz="2" w:space="0" w:color="auto"/>
              <w:left w:val="single" w:sz="2" w:space="0" w:color="auto"/>
              <w:bottom w:val="single" w:sz="2" w:space="0" w:color="auto"/>
              <w:right w:val="single" w:sz="2" w:space="0" w:color="auto"/>
            </w:tcBorders>
            <w:vAlign w:val="center"/>
          </w:tcPr>
          <w:p w14:paraId="0B44E7CD"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D7D582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28,141,272.91</w:t>
            </w:r>
          </w:p>
        </w:tc>
        <w:tc>
          <w:tcPr>
            <w:tcW w:w="1928" w:type="dxa"/>
            <w:tcBorders>
              <w:top w:val="single" w:sz="2" w:space="0" w:color="auto"/>
              <w:left w:val="single" w:sz="2" w:space="0" w:color="auto"/>
              <w:bottom w:val="single" w:sz="2" w:space="0" w:color="auto"/>
              <w:right w:val="single" w:sz="2" w:space="0" w:color="auto"/>
            </w:tcBorders>
            <w:vAlign w:val="center"/>
          </w:tcPr>
          <w:p w14:paraId="7CAB77E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28,126,090.51</w:t>
            </w:r>
          </w:p>
        </w:tc>
        <w:tc>
          <w:tcPr>
            <w:tcW w:w="1928" w:type="dxa"/>
            <w:tcBorders>
              <w:top w:val="single" w:sz="2" w:space="0" w:color="auto"/>
              <w:left w:val="single" w:sz="2" w:space="0" w:color="auto"/>
              <w:bottom w:val="single" w:sz="2" w:space="0" w:color="auto"/>
              <w:right w:val="single" w:sz="2" w:space="0" w:color="auto"/>
            </w:tcBorders>
            <w:vAlign w:val="center"/>
          </w:tcPr>
          <w:p w14:paraId="5922D71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15,182.40</w:t>
            </w:r>
          </w:p>
        </w:tc>
      </w:tr>
      <w:tr w:rsidR="001D26E7" w:rsidRPr="00F614F9" w14:paraId="6C93F2E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82139A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、失业保险费</w:t>
            </w:r>
          </w:p>
        </w:tc>
        <w:tc>
          <w:tcPr>
            <w:tcW w:w="1928" w:type="dxa"/>
            <w:tcBorders>
              <w:top w:val="single" w:sz="2" w:space="0" w:color="auto"/>
              <w:left w:val="single" w:sz="2" w:space="0" w:color="auto"/>
              <w:bottom w:val="single" w:sz="2" w:space="0" w:color="auto"/>
              <w:right w:val="single" w:sz="2" w:space="0" w:color="auto"/>
            </w:tcBorders>
            <w:vAlign w:val="center"/>
          </w:tcPr>
          <w:p w14:paraId="0DAD20C6"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5CEF76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1,221,426.78</w:t>
            </w:r>
          </w:p>
        </w:tc>
        <w:tc>
          <w:tcPr>
            <w:tcW w:w="1928" w:type="dxa"/>
            <w:tcBorders>
              <w:top w:val="single" w:sz="2" w:space="0" w:color="auto"/>
              <w:left w:val="single" w:sz="2" w:space="0" w:color="auto"/>
              <w:bottom w:val="single" w:sz="2" w:space="0" w:color="auto"/>
              <w:right w:val="single" w:sz="2" w:space="0" w:color="auto"/>
            </w:tcBorders>
            <w:vAlign w:val="center"/>
          </w:tcPr>
          <w:p w14:paraId="2FF5784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1,220,794.18</w:t>
            </w:r>
          </w:p>
        </w:tc>
        <w:tc>
          <w:tcPr>
            <w:tcW w:w="1928" w:type="dxa"/>
            <w:tcBorders>
              <w:top w:val="single" w:sz="2" w:space="0" w:color="auto"/>
              <w:left w:val="single" w:sz="2" w:space="0" w:color="auto"/>
              <w:bottom w:val="single" w:sz="2" w:space="0" w:color="auto"/>
              <w:right w:val="single" w:sz="2" w:space="0" w:color="auto"/>
            </w:tcBorders>
            <w:vAlign w:val="center"/>
          </w:tcPr>
          <w:p w14:paraId="77149B3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632.60</w:t>
            </w:r>
          </w:p>
        </w:tc>
      </w:tr>
      <w:tr w:rsidR="001D26E7" w:rsidRPr="00F614F9" w14:paraId="6BE86A4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2DBA63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3F83B13E"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A3372A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29,362,699.69</w:t>
            </w:r>
          </w:p>
        </w:tc>
        <w:tc>
          <w:tcPr>
            <w:tcW w:w="1928" w:type="dxa"/>
            <w:tcBorders>
              <w:top w:val="single" w:sz="2" w:space="0" w:color="auto"/>
              <w:left w:val="single" w:sz="2" w:space="0" w:color="auto"/>
              <w:bottom w:val="single" w:sz="2" w:space="0" w:color="auto"/>
              <w:right w:val="single" w:sz="2" w:space="0" w:color="auto"/>
            </w:tcBorders>
            <w:vAlign w:val="center"/>
          </w:tcPr>
          <w:p w14:paraId="62C1C34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29,346,884.69</w:t>
            </w:r>
          </w:p>
        </w:tc>
        <w:tc>
          <w:tcPr>
            <w:tcW w:w="1928" w:type="dxa"/>
            <w:tcBorders>
              <w:top w:val="single" w:sz="2" w:space="0" w:color="auto"/>
              <w:left w:val="single" w:sz="2" w:space="0" w:color="auto"/>
              <w:bottom w:val="single" w:sz="2" w:space="0" w:color="auto"/>
              <w:right w:val="single" w:sz="2" w:space="0" w:color="auto"/>
            </w:tcBorders>
            <w:vAlign w:val="center"/>
          </w:tcPr>
          <w:p w14:paraId="3E6CB85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15,815.00</w:t>
            </w:r>
          </w:p>
        </w:tc>
      </w:tr>
    </w:tbl>
    <w:p w14:paraId="4E42C225"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721EEBDE" w14:textId="77777777" w:rsidR="00872599" w:rsidRPr="00F614F9" w:rsidRDefault="00000000">
      <w:pPr>
        <w:pStyle w:val="a3"/>
        <w:divId w:val="534925190"/>
        <w:rPr>
          <w:rFonts w:ascii="Times New Roman" w:hAnsi="Times New Roman"/>
          <w:sz w:val="18"/>
          <w:szCs w:val="18"/>
        </w:rPr>
      </w:pPr>
      <w:r w:rsidRPr="00F614F9">
        <w:rPr>
          <w:rFonts w:ascii="Times New Roman" w:hAnsi="Times New Roman" w:hint="eastAsia"/>
          <w:sz w:val="18"/>
          <w:szCs w:val="18"/>
        </w:rPr>
        <w:t>无</w:t>
      </w:r>
    </w:p>
    <w:p w14:paraId="274B891A" w14:textId="77777777" w:rsidR="001D26E7" w:rsidRPr="00F614F9" w:rsidRDefault="00000000">
      <w:pPr>
        <w:pStyle w:val="3"/>
        <w:spacing w:line="280" w:lineRule="exact"/>
        <w:jc w:val="left"/>
        <w:rPr>
          <w:rFonts w:ascii="Times New Roman" w:hAnsi="Times New Roman" w:cs="宋体"/>
          <w:b/>
          <w:bCs/>
        </w:rPr>
      </w:pPr>
      <w:bookmarkStart w:id="445" w:name="_Toc989281"/>
      <w:r w:rsidRPr="00F614F9">
        <w:rPr>
          <w:rFonts w:ascii="Times New Roman" w:hAnsi="Times New Roman" w:cs="宋体"/>
          <w:b/>
          <w:bCs/>
        </w:rPr>
        <w:t>41</w:t>
      </w:r>
      <w:r w:rsidRPr="00F614F9">
        <w:rPr>
          <w:rFonts w:ascii="Times New Roman" w:hAnsi="Times New Roman" w:cs="宋体"/>
          <w:b/>
          <w:bCs/>
        </w:rPr>
        <w:t>、应交税费</w:t>
      </w:r>
      <w:bookmarkEnd w:id="445"/>
    </w:p>
    <w:p w14:paraId="17D78230"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19891EF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AA39D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78BA4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8E135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6E6A6BF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75B73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14:paraId="0B023F0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5,263,271.57</w:t>
            </w:r>
          </w:p>
        </w:tc>
        <w:tc>
          <w:tcPr>
            <w:tcW w:w="3213" w:type="dxa"/>
            <w:tcBorders>
              <w:top w:val="single" w:sz="2" w:space="0" w:color="auto"/>
              <w:left w:val="single" w:sz="2" w:space="0" w:color="auto"/>
              <w:bottom w:val="single" w:sz="2" w:space="0" w:color="auto"/>
              <w:right w:val="single" w:sz="2" w:space="0" w:color="auto"/>
            </w:tcBorders>
            <w:vAlign w:val="center"/>
          </w:tcPr>
          <w:p w14:paraId="7039A48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1,551,138.74</w:t>
            </w:r>
          </w:p>
        </w:tc>
      </w:tr>
      <w:tr w:rsidR="001D26E7" w:rsidRPr="00F614F9" w14:paraId="626B8C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BDE71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消费税</w:t>
            </w:r>
          </w:p>
        </w:tc>
        <w:tc>
          <w:tcPr>
            <w:tcW w:w="3213" w:type="dxa"/>
            <w:tcBorders>
              <w:top w:val="single" w:sz="2" w:space="0" w:color="auto"/>
              <w:left w:val="single" w:sz="2" w:space="0" w:color="auto"/>
              <w:bottom w:val="single" w:sz="2" w:space="0" w:color="auto"/>
              <w:right w:val="single" w:sz="2" w:space="0" w:color="auto"/>
            </w:tcBorders>
            <w:vAlign w:val="center"/>
          </w:tcPr>
          <w:p w14:paraId="2756FB8E"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EFD31C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30A491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ECFE2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14:paraId="68DFD2C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1,292,913.17</w:t>
            </w:r>
          </w:p>
        </w:tc>
        <w:tc>
          <w:tcPr>
            <w:tcW w:w="3213" w:type="dxa"/>
            <w:tcBorders>
              <w:top w:val="single" w:sz="2" w:space="0" w:color="auto"/>
              <w:left w:val="single" w:sz="2" w:space="0" w:color="auto"/>
              <w:bottom w:val="single" w:sz="2" w:space="0" w:color="auto"/>
              <w:right w:val="single" w:sz="2" w:space="0" w:color="auto"/>
            </w:tcBorders>
            <w:vAlign w:val="center"/>
          </w:tcPr>
          <w:p w14:paraId="6DA6BCC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3,366,633.79</w:t>
            </w:r>
          </w:p>
        </w:tc>
      </w:tr>
      <w:tr w:rsidR="001D26E7" w:rsidRPr="00F614F9" w14:paraId="6C20F3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6273C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个人所得税</w:t>
            </w:r>
          </w:p>
        </w:tc>
        <w:tc>
          <w:tcPr>
            <w:tcW w:w="3213" w:type="dxa"/>
            <w:tcBorders>
              <w:top w:val="single" w:sz="2" w:space="0" w:color="auto"/>
              <w:left w:val="single" w:sz="2" w:space="0" w:color="auto"/>
              <w:bottom w:val="single" w:sz="2" w:space="0" w:color="auto"/>
              <w:right w:val="single" w:sz="2" w:space="0" w:color="auto"/>
            </w:tcBorders>
            <w:vAlign w:val="center"/>
          </w:tcPr>
          <w:p w14:paraId="400103A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347,547.55</w:t>
            </w:r>
          </w:p>
        </w:tc>
        <w:tc>
          <w:tcPr>
            <w:tcW w:w="3213" w:type="dxa"/>
            <w:tcBorders>
              <w:top w:val="single" w:sz="2" w:space="0" w:color="auto"/>
              <w:left w:val="single" w:sz="2" w:space="0" w:color="auto"/>
              <w:bottom w:val="single" w:sz="2" w:space="0" w:color="auto"/>
              <w:right w:val="single" w:sz="2" w:space="0" w:color="auto"/>
            </w:tcBorders>
            <w:vAlign w:val="center"/>
          </w:tcPr>
          <w:p w14:paraId="01F6978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448,325.13</w:t>
            </w:r>
          </w:p>
        </w:tc>
      </w:tr>
      <w:tr w:rsidR="001D26E7" w:rsidRPr="00F614F9" w14:paraId="5FE0CCF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30626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14:paraId="263BE94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265,102.78</w:t>
            </w:r>
          </w:p>
        </w:tc>
        <w:tc>
          <w:tcPr>
            <w:tcW w:w="3213" w:type="dxa"/>
            <w:tcBorders>
              <w:top w:val="single" w:sz="2" w:space="0" w:color="auto"/>
              <w:left w:val="single" w:sz="2" w:space="0" w:color="auto"/>
              <w:bottom w:val="single" w:sz="2" w:space="0" w:color="auto"/>
              <w:right w:val="single" w:sz="2" w:space="0" w:color="auto"/>
            </w:tcBorders>
            <w:vAlign w:val="center"/>
          </w:tcPr>
          <w:p w14:paraId="6370224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108,599.34</w:t>
            </w:r>
          </w:p>
        </w:tc>
      </w:tr>
      <w:tr w:rsidR="001D26E7" w:rsidRPr="00F614F9" w14:paraId="3017E60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E234C1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14:paraId="3B2BB31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1,551,668.96</w:t>
            </w:r>
          </w:p>
        </w:tc>
        <w:tc>
          <w:tcPr>
            <w:tcW w:w="3213" w:type="dxa"/>
            <w:tcBorders>
              <w:top w:val="single" w:sz="2" w:space="0" w:color="auto"/>
              <w:left w:val="single" w:sz="2" w:space="0" w:color="auto"/>
              <w:bottom w:val="single" w:sz="2" w:space="0" w:color="auto"/>
              <w:right w:val="single" w:sz="2" w:space="0" w:color="auto"/>
            </w:tcBorders>
            <w:vAlign w:val="center"/>
          </w:tcPr>
          <w:p w14:paraId="1682B9A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1,475,170.80</w:t>
            </w:r>
          </w:p>
        </w:tc>
      </w:tr>
      <w:tr w:rsidR="001D26E7" w:rsidRPr="00F614F9" w14:paraId="4126F76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FE139A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14:paraId="1E6E30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1,198,463.79</w:t>
            </w:r>
          </w:p>
        </w:tc>
        <w:tc>
          <w:tcPr>
            <w:tcW w:w="3213" w:type="dxa"/>
            <w:tcBorders>
              <w:top w:val="single" w:sz="2" w:space="0" w:color="auto"/>
              <w:left w:val="single" w:sz="2" w:space="0" w:color="auto"/>
              <w:bottom w:val="single" w:sz="2" w:space="0" w:color="auto"/>
              <w:right w:val="single" w:sz="2" w:space="0" w:color="auto"/>
            </w:tcBorders>
            <w:vAlign w:val="center"/>
          </w:tcPr>
          <w:p w14:paraId="045161F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1,225,623.65</w:t>
            </w:r>
          </w:p>
        </w:tc>
      </w:tr>
      <w:tr w:rsidR="001D26E7" w:rsidRPr="00F614F9" w14:paraId="227D81F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EEDDB4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14:paraId="5601D06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2,702,777.31</w:t>
            </w:r>
          </w:p>
        </w:tc>
        <w:tc>
          <w:tcPr>
            <w:tcW w:w="3213" w:type="dxa"/>
            <w:tcBorders>
              <w:top w:val="single" w:sz="2" w:space="0" w:color="auto"/>
              <w:left w:val="single" w:sz="2" w:space="0" w:color="auto"/>
              <w:bottom w:val="single" w:sz="2" w:space="0" w:color="auto"/>
              <w:right w:val="single" w:sz="2" w:space="0" w:color="auto"/>
            </w:tcBorders>
            <w:vAlign w:val="center"/>
          </w:tcPr>
          <w:p w14:paraId="1EA45C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3,432,645.40</w:t>
            </w:r>
          </w:p>
        </w:tc>
      </w:tr>
      <w:tr w:rsidR="001D26E7" w:rsidRPr="00F614F9" w14:paraId="5748680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3F027B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14:paraId="6F31684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218,882.12</w:t>
            </w:r>
          </w:p>
        </w:tc>
        <w:tc>
          <w:tcPr>
            <w:tcW w:w="3213" w:type="dxa"/>
            <w:tcBorders>
              <w:top w:val="single" w:sz="2" w:space="0" w:color="auto"/>
              <w:left w:val="single" w:sz="2" w:space="0" w:color="auto"/>
              <w:bottom w:val="single" w:sz="2" w:space="0" w:color="auto"/>
              <w:right w:val="single" w:sz="2" w:space="0" w:color="auto"/>
            </w:tcBorders>
            <w:vAlign w:val="center"/>
          </w:tcPr>
          <w:p w14:paraId="557A7E3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77,570.96</w:t>
            </w:r>
          </w:p>
        </w:tc>
      </w:tr>
      <w:tr w:rsidR="001D26E7" w:rsidRPr="00F614F9" w14:paraId="53A6651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FCBDE4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水资源税</w:t>
            </w:r>
          </w:p>
        </w:tc>
        <w:tc>
          <w:tcPr>
            <w:tcW w:w="3213" w:type="dxa"/>
            <w:tcBorders>
              <w:top w:val="single" w:sz="2" w:space="0" w:color="auto"/>
              <w:left w:val="single" w:sz="2" w:space="0" w:color="auto"/>
              <w:bottom w:val="single" w:sz="2" w:space="0" w:color="auto"/>
              <w:right w:val="single" w:sz="2" w:space="0" w:color="auto"/>
            </w:tcBorders>
            <w:vAlign w:val="center"/>
          </w:tcPr>
          <w:p w14:paraId="1B1A84A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100,495.40</w:t>
            </w:r>
          </w:p>
        </w:tc>
        <w:tc>
          <w:tcPr>
            <w:tcW w:w="3213" w:type="dxa"/>
            <w:tcBorders>
              <w:top w:val="single" w:sz="2" w:space="0" w:color="auto"/>
              <w:left w:val="single" w:sz="2" w:space="0" w:color="auto"/>
              <w:bottom w:val="single" w:sz="2" w:space="0" w:color="auto"/>
              <w:right w:val="single" w:sz="2" w:space="0" w:color="auto"/>
            </w:tcBorders>
            <w:vAlign w:val="center"/>
          </w:tcPr>
          <w:p w14:paraId="635F21F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109,084.50</w:t>
            </w:r>
          </w:p>
        </w:tc>
      </w:tr>
      <w:tr w:rsidR="001D26E7" w:rsidRPr="00F614F9" w14:paraId="3F965B4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180AF7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环保税</w:t>
            </w:r>
          </w:p>
        </w:tc>
        <w:tc>
          <w:tcPr>
            <w:tcW w:w="3213" w:type="dxa"/>
            <w:tcBorders>
              <w:top w:val="single" w:sz="2" w:space="0" w:color="auto"/>
              <w:left w:val="single" w:sz="2" w:space="0" w:color="auto"/>
              <w:bottom w:val="single" w:sz="2" w:space="0" w:color="auto"/>
              <w:right w:val="single" w:sz="2" w:space="0" w:color="auto"/>
            </w:tcBorders>
            <w:vAlign w:val="center"/>
          </w:tcPr>
          <w:p w14:paraId="30D95EF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6,600.94</w:t>
            </w:r>
          </w:p>
        </w:tc>
        <w:tc>
          <w:tcPr>
            <w:tcW w:w="3213" w:type="dxa"/>
            <w:tcBorders>
              <w:top w:val="single" w:sz="2" w:space="0" w:color="auto"/>
              <w:left w:val="single" w:sz="2" w:space="0" w:color="auto"/>
              <w:bottom w:val="single" w:sz="2" w:space="0" w:color="auto"/>
              <w:right w:val="single" w:sz="2" w:space="0" w:color="auto"/>
            </w:tcBorders>
            <w:vAlign w:val="center"/>
          </w:tcPr>
          <w:p w14:paraId="1E1C528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6,271.27</w:t>
            </w:r>
          </w:p>
        </w:tc>
      </w:tr>
      <w:tr w:rsidR="001D26E7" w:rsidRPr="00F614F9" w14:paraId="4427E74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39B8E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F760E5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12,947,723.59</w:t>
            </w:r>
          </w:p>
        </w:tc>
        <w:tc>
          <w:tcPr>
            <w:tcW w:w="3213" w:type="dxa"/>
            <w:tcBorders>
              <w:top w:val="single" w:sz="2" w:space="0" w:color="auto"/>
              <w:left w:val="single" w:sz="2" w:space="0" w:color="auto"/>
              <w:bottom w:val="single" w:sz="2" w:space="0" w:color="auto"/>
              <w:right w:val="single" w:sz="2" w:space="0" w:color="auto"/>
            </w:tcBorders>
            <w:vAlign w:val="center"/>
          </w:tcPr>
          <w:p w14:paraId="1F1001F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11,801,063.58</w:t>
            </w:r>
          </w:p>
        </w:tc>
      </w:tr>
    </w:tbl>
    <w:p w14:paraId="49DF5485"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17BA5D18" w14:textId="77777777" w:rsidR="00872599" w:rsidRPr="00F614F9" w:rsidRDefault="00000000">
      <w:pPr>
        <w:pStyle w:val="a3"/>
        <w:divId w:val="2005552624"/>
        <w:rPr>
          <w:rFonts w:ascii="Times New Roman" w:hAnsi="Times New Roman"/>
          <w:sz w:val="18"/>
          <w:szCs w:val="18"/>
        </w:rPr>
      </w:pPr>
      <w:r w:rsidRPr="00F614F9">
        <w:rPr>
          <w:rFonts w:ascii="Times New Roman" w:hAnsi="Times New Roman" w:hint="eastAsia"/>
          <w:sz w:val="18"/>
          <w:szCs w:val="18"/>
        </w:rPr>
        <w:t>无</w:t>
      </w:r>
    </w:p>
    <w:p w14:paraId="63920EF9" w14:textId="77777777" w:rsidR="001D26E7" w:rsidRPr="00F614F9" w:rsidRDefault="00000000">
      <w:pPr>
        <w:pStyle w:val="3"/>
        <w:spacing w:line="280" w:lineRule="exact"/>
        <w:jc w:val="left"/>
        <w:rPr>
          <w:rFonts w:ascii="Times New Roman" w:hAnsi="Times New Roman" w:cs="宋体"/>
          <w:b/>
          <w:bCs/>
        </w:rPr>
      </w:pPr>
      <w:bookmarkStart w:id="446" w:name="_Toc989282"/>
      <w:r w:rsidRPr="00F614F9">
        <w:rPr>
          <w:rFonts w:ascii="Times New Roman" w:hAnsi="Times New Roman" w:cs="宋体"/>
          <w:b/>
          <w:bCs/>
        </w:rPr>
        <w:t>42</w:t>
      </w:r>
      <w:r w:rsidRPr="00F614F9">
        <w:rPr>
          <w:rFonts w:ascii="Times New Roman" w:hAnsi="Times New Roman" w:cs="宋体"/>
          <w:b/>
          <w:bCs/>
        </w:rPr>
        <w:t>、持有待售负债</w:t>
      </w:r>
      <w:bookmarkEnd w:id="446"/>
    </w:p>
    <w:p w14:paraId="75555B91" w14:textId="77777777" w:rsidR="00872599" w:rsidRPr="00F614F9" w:rsidRDefault="00000000">
      <w:pPr>
        <w:pStyle w:val="a3"/>
        <w:divId w:val="1716463359"/>
        <w:rPr>
          <w:rFonts w:ascii="Times New Roman" w:hAnsi="Times New Roman"/>
          <w:sz w:val="18"/>
          <w:szCs w:val="18"/>
        </w:rPr>
      </w:pPr>
      <w:r w:rsidRPr="00F614F9">
        <w:rPr>
          <w:rFonts w:ascii="Times New Roman" w:hAnsi="Times New Roman" w:hint="eastAsia"/>
          <w:sz w:val="18"/>
          <w:szCs w:val="18"/>
        </w:rPr>
        <w:t>无</w:t>
      </w:r>
    </w:p>
    <w:p w14:paraId="66A6C634" w14:textId="77777777" w:rsidR="001D26E7" w:rsidRPr="00F614F9" w:rsidRDefault="00000000">
      <w:pPr>
        <w:pStyle w:val="3"/>
        <w:spacing w:line="280" w:lineRule="exact"/>
        <w:jc w:val="left"/>
        <w:rPr>
          <w:rFonts w:ascii="Times New Roman" w:hAnsi="Times New Roman" w:cs="宋体"/>
          <w:b/>
          <w:bCs/>
        </w:rPr>
      </w:pPr>
      <w:bookmarkStart w:id="447" w:name="_Toc989283"/>
      <w:r w:rsidRPr="00F614F9">
        <w:rPr>
          <w:rFonts w:ascii="Times New Roman" w:hAnsi="Times New Roman" w:cs="宋体"/>
          <w:b/>
          <w:bCs/>
        </w:rPr>
        <w:t>43</w:t>
      </w:r>
      <w:r w:rsidRPr="00F614F9">
        <w:rPr>
          <w:rFonts w:ascii="Times New Roman" w:hAnsi="Times New Roman" w:cs="宋体"/>
          <w:b/>
          <w:bCs/>
        </w:rPr>
        <w:t>、一年内到期的非流动负债</w:t>
      </w:r>
      <w:bookmarkEnd w:id="447"/>
    </w:p>
    <w:p w14:paraId="270EB4E6"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6BA5D67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3EA6A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8B6ED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280DC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0E2BD4A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22B75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一年内到期的长期借款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52E0E3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140,000,000.00</w:t>
            </w:r>
          </w:p>
        </w:tc>
        <w:tc>
          <w:tcPr>
            <w:tcW w:w="3213" w:type="dxa"/>
            <w:tcBorders>
              <w:top w:val="single" w:sz="2" w:space="0" w:color="auto"/>
              <w:left w:val="single" w:sz="2" w:space="0" w:color="auto"/>
              <w:bottom w:val="single" w:sz="2" w:space="0" w:color="auto"/>
              <w:right w:val="single" w:sz="2" w:space="0" w:color="auto"/>
            </w:tcBorders>
            <w:vAlign w:val="center"/>
          </w:tcPr>
          <w:p w14:paraId="1879A7E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131,000,000.00</w:t>
            </w:r>
          </w:p>
        </w:tc>
      </w:tr>
      <w:tr w:rsidR="001D26E7" w:rsidRPr="00F614F9" w14:paraId="6D54F3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894B2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一年内到期的长期应付款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281409A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32,660,766.11</w:t>
            </w:r>
          </w:p>
        </w:tc>
        <w:tc>
          <w:tcPr>
            <w:tcW w:w="3213" w:type="dxa"/>
            <w:tcBorders>
              <w:top w:val="single" w:sz="2" w:space="0" w:color="auto"/>
              <w:left w:val="single" w:sz="2" w:space="0" w:color="auto"/>
              <w:bottom w:val="single" w:sz="2" w:space="0" w:color="auto"/>
              <w:right w:val="single" w:sz="2" w:space="0" w:color="auto"/>
            </w:tcBorders>
            <w:vAlign w:val="center"/>
          </w:tcPr>
          <w:p w14:paraId="23C23AC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4,094,285.62</w:t>
            </w:r>
          </w:p>
        </w:tc>
      </w:tr>
      <w:tr w:rsidR="001D26E7" w:rsidRPr="00F614F9" w14:paraId="3D6F345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FE0E7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237EFBE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6,273,586.22</w:t>
            </w:r>
          </w:p>
        </w:tc>
        <w:tc>
          <w:tcPr>
            <w:tcW w:w="3213" w:type="dxa"/>
            <w:tcBorders>
              <w:top w:val="single" w:sz="2" w:space="0" w:color="auto"/>
              <w:left w:val="single" w:sz="2" w:space="0" w:color="auto"/>
              <w:bottom w:val="single" w:sz="2" w:space="0" w:color="auto"/>
              <w:right w:val="single" w:sz="2" w:space="0" w:color="auto"/>
            </w:tcBorders>
            <w:vAlign w:val="center"/>
          </w:tcPr>
          <w:p w14:paraId="59917CD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10,463,132.73</w:t>
            </w:r>
          </w:p>
        </w:tc>
      </w:tr>
      <w:tr w:rsidR="001D26E7" w:rsidRPr="00F614F9" w14:paraId="2233AAA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E3817E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一年内应付的长期借款利息</w:t>
            </w:r>
          </w:p>
        </w:tc>
        <w:tc>
          <w:tcPr>
            <w:tcW w:w="3213" w:type="dxa"/>
            <w:tcBorders>
              <w:top w:val="single" w:sz="2" w:space="0" w:color="auto"/>
              <w:left w:val="single" w:sz="2" w:space="0" w:color="auto"/>
              <w:bottom w:val="single" w:sz="2" w:space="0" w:color="auto"/>
              <w:right w:val="single" w:sz="2" w:space="0" w:color="auto"/>
            </w:tcBorders>
            <w:vAlign w:val="center"/>
          </w:tcPr>
          <w:p w14:paraId="78FA673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495,294.22</w:t>
            </w:r>
          </w:p>
        </w:tc>
        <w:tc>
          <w:tcPr>
            <w:tcW w:w="3213" w:type="dxa"/>
            <w:tcBorders>
              <w:top w:val="single" w:sz="2" w:space="0" w:color="auto"/>
              <w:left w:val="single" w:sz="2" w:space="0" w:color="auto"/>
              <w:bottom w:val="single" w:sz="2" w:space="0" w:color="auto"/>
              <w:right w:val="single" w:sz="2" w:space="0" w:color="auto"/>
            </w:tcBorders>
            <w:vAlign w:val="center"/>
          </w:tcPr>
          <w:p w14:paraId="39558DF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288,028.13</w:t>
            </w:r>
          </w:p>
        </w:tc>
      </w:tr>
      <w:tr w:rsidR="001D26E7" w:rsidRPr="00F614F9" w14:paraId="0474068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276AF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A3E6CF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179,429,646.55</w:t>
            </w:r>
          </w:p>
        </w:tc>
        <w:tc>
          <w:tcPr>
            <w:tcW w:w="3213" w:type="dxa"/>
            <w:tcBorders>
              <w:top w:val="single" w:sz="2" w:space="0" w:color="auto"/>
              <w:left w:val="single" w:sz="2" w:space="0" w:color="auto"/>
              <w:bottom w:val="single" w:sz="2" w:space="0" w:color="auto"/>
              <w:right w:val="single" w:sz="2" w:space="0" w:color="auto"/>
            </w:tcBorders>
            <w:vAlign w:val="center"/>
          </w:tcPr>
          <w:p w14:paraId="17E6987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145,845,446.48</w:t>
            </w:r>
          </w:p>
        </w:tc>
      </w:tr>
    </w:tbl>
    <w:p w14:paraId="722BB8E4"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1260FE17" w14:textId="77777777" w:rsidR="00872599" w:rsidRPr="00F614F9" w:rsidRDefault="00000000">
      <w:pPr>
        <w:pStyle w:val="a3"/>
        <w:divId w:val="360784381"/>
        <w:rPr>
          <w:rFonts w:ascii="Times New Roman" w:hAnsi="Times New Roman"/>
          <w:sz w:val="18"/>
          <w:szCs w:val="18"/>
        </w:rPr>
      </w:pPr>
      <w:r w:rsidRPr="00F614F9">
        <w:rPr>
          <w:rFonts w:ascii="Times New Roman" w:hAnsi="Times New Roman" w:hint="eastAsia"/>
          <w:sz w:val="18"/>
          <w:szCs w:val="18"/>
        </w:rPr>
        <w:t>无</w:t>
      </w:r>
    </w:p>
    <w:p w14:paraId="2E006431" w14:textId="77777777" w:rsidR="001D26E7" w:rsidRPr="00F614F9" w:rsidRDefault="00000000">
      <w:pPr>
        <w:pStyle w:val="3"/>
        <w:spacing w:line="280" w:lineRule="exact"/>
        <w:jc w:val="left"/>
        <w:rPr>
          <w:rFonts w:ascii="Times New Roman" w:hAnsi="Times New Roman" w:cs="宋体"/>
          <w:b/>
          <w:bCs/>
        </w:rPr>
      </w:pPr>
      <w:bookmarkStart w:id="448" w:name="_Toc989284"/>
      <w:r w:rsidRPr="00F614F9">
        <w:rPr>
          <w:rFonts w:ascii="Times New Roman" w:hAnsi="Times New Roman" w:cs="宋体"/>
          <w:b/>
          <w:bCs/>
        </w:rPr>
        <w:t>44</w:t>
      </w:r>
      <w:r w:rsidRPr="00F614F9">
        <w:rPr>
          <w:rFonts w:ascii="Times New Roman" w:hAnsi="Times New Roman" w:cs="宋体"/>
          <w:b/>
          <w:bCs/>
        </w:rPr>
        <w:t>、其他流动负债</w:t>
      </w:r>
      <w:bookmarkEnd w:id="448"/>
    </w:p>
    <w:p w14:paraId="6010693E"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49FD4C7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A2474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94CA1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193B1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1A79810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56BE41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待转销项税额</w:t>
            </w:r>
          </w:p>
        </w:tc>
        <w:tc>
          <w:tcPr>
            <w:tcW w:w="3213" w:type="dxa"/>
            <w:tcBorders>
              <w:top w:val="single" w:sz="2" w:space="0" w:color="auto"/>
              <w:left w:val="single" w:sz="2" w:space="0" w:color="auto"/>
              <w:bottom w:val="single" w:sz="2" w:space="0" w:color="auto"/>
              <w:right w:val="single" w:sz="2" w:space="0" w:color="auto"/>
            </w:tcBorders>
            <w:vAlign w:val="center"/>
          </w:tcPr>
          <w:p w14:paraId="67197B2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11,571,937.30</w:t>
            </w:r>
          </w:p>
        </w:tc>
        <w:tc>
          <w:tcPr>
            <w:tcW w:w="3213" w:type="dxa"/>
            <w:tcBorders>
              <w:top w:val="single" w:sz="2" w:space="0" w:color="auto"/>
              <w:left w:val="single" w:sz="2" w:space="0" w:color="auto"/>
              <w:bottom w:val="single" w:sz="2" w:space="0" w:color="auto"/>
              <w:right w:val="single" w:sz="2" w:space="0" w:color="auto"/>
            </w:tcBorders>
            <w:vAlign w:val="center"/>
          </w:tcPr>
          <w:p w14:paraId="57956CB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15,948,516.17</w:t>
            </w:r>
          </w:p>
        </w:tc>
      </w:tr>
      <w:tr w:rsidR="001D26E7" w:rsidRPr="00F614F9" w14:paraId="5DF138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56BDE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4BF5BA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11,571,937.30</w:t>
            </w:r>
          </w:p>
        </w:tc>
        <w:tc>
          <w:tcPr>
            <w:tcW w:w="3213" w:type="dxa"/>
            <w:tcBorders>
              <w:top w:val="single" w:sz="2" w:space="0" w:color="auto"/>
              <w:left w:val="single" w:sz="2" w:space="0" w:color="auto"/>
              <w:bottom w:val="single" w:sz="2" w:space="0" w:color="auto"/>
              <w:right w:val="single" w:sz="2" w:space="0" w:color="auto"/>
            </w:tcBorders>
            <w:vAlign w:val="center"/>
          </w:tcPr>
          <w:p w14:paraId="0C2AB86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15,948,516.17</w:t>
            </w:r>
          </w:p>
        </w:tc>
      </w:tr>
    </w:tbl>
    <w:p w14:paraId="0A1F29EA"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短期应付债券的增减变动：</w:t>
      </w:r>
    </w:p>
    <w:p w14:paraId="6897AF40"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9"/>
        <w:gridCol w:w="689"/>
        <w:gridCol w:w="689"/>
        <w:gridCol w:w="689"/>
        <w:gridCol w:w="689"/>
        <w:gridCol w:w="689"/>
        <w:gridCol w:w="689"/>
        <w:gridCol w:w="688"/>
        <w:gridCol w:w="688"/>
        <w:gridCol w:w="688"/>
        <w:gridCol w:w="688"/>
        <w:gridCol w:w="688"/>
        <w:gridCol w:w="688"/>
        <w:gridCol w:w="688"/>
      </w:tblGrid>
      <w:tr w:rsidR="001D26E7" w:rsidRPr="00F614F9" w14:paraId="27EA84D9" w14:textId="77777777">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1E2B21C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债券名称</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77BB04D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面值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5CB48AA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票面利率</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1537586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发行日期</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0747EC7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债券期限</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6D478B2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发行金额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6CB1ABD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771AF15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本期发行</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5FAA398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按面值计提利息</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206EBC0D" w14:textId="77777777" w:rsidR="001D26E7" w:rsidRPr="00F614F9" w:rsidRDefault="00000000">
            <w:pPr>
              <w:spacing w:before="40" w:after="40" w:line="240" w:lineRule="exact"/>
              <w:jc w:val="center"/>
              <w:rPr>
                <w:rFonts w:ascii="Times New Roman" w:eastAsia="宋体" w:hAnsi="Times New Roman" w:cs="宋体"/>
                <w:sz w:val="18"/>
                <w:szCs w:val="18"/>
              </w:rPr>
            </w:pPr>
            <w:proofErr w:type="gramStart"/>
            <w:r w:rsidRPr="00F614F9">
              <w:rPr>
                <w:rFonts w:ascii="Times New Roman" w:eastAsia="宋体" w:hAnsi="Times New Roman" w:cs="宋体"/>
                <w:sz w:val="18"/>
                <w:szCs w:val="18"/>
              </w:rPr>
              <w:t>溢</w:t>
            </w:r>
            <w:proofErr w:type="gramEnd"/>
            <w:r w:rsidRPr="00F614F9">
              <w:rPr>
                <w:rFonts w:ascii="Times New Roman" w:eastAsia="宋体" w:hAnsi="Times New Roman" w:cs="宋体"/>
                <w:sz w:val="18"/>
                <w:szCs w:val="18"/>
              </w:rPr>
              <w:t>折价摊销</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533112C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本期偿还</w:t>
            </w:r>
          </w:p>
        </w:tc>
        <w:tc>
          <w:tcPr>
            <w:tcW w:w="689" w:type="dxa"/>
            <w:tcBorders>
              <w:top w:val="single" w:sz="2" w:space="0" w:color="auto"/>
              <w:left w:val="single" w:sz="2" w:space="0" w:color="auto"/>
              <w:bottom w:val="single" w:sz="2" w:space="0" w:color="auto"/>
              <w:right w:val="single" w:sz="2" w:space="0" w:color="auto"/>
            </w:tcBorders>
            <w:vAlign w:val="center"/>
          </w:tcPr>
          <w:p w14:paraId="1CAAC7F2" w14:textId="77777777" w:rsidR="001D26E7" w:rsidRPr="00F614F9" w:rsidRDefault="001D26E7">
            <w:pPr>
              <w:spacing w:line="240" w:lineRule="exact"/>
              <w:jc w:val="center"/>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5EC54C5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520F16C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是否违约</w:t>
            </w:r>
          </w:p>
        </w:tc>
      </w:tr>
      <w:tr w:rsidR="001D26E7" w:rsidRPr="00F614F9" w14:paraId="3347C0F8" w14:textId="77777777">
        <w:trPr>
          <w:trHeight w:val="240"/>
        </w:trPr>
        <w:tc>
          <w:tcPr>
            <w:tcW w:w="689" w:type="dxa"/>
            <w:tcBorders>
              <w:top w:val="single" w:sz="2" w:space="0" w:color="auto"/>
              <w:left w:val="single" w:sz="2" w:space="0" w:color="auto"/>
              <w:bottom w:val="single" w:sz="2" w:space="0" w:color="auto"/>
              <w:right w:val="single" w:sz="2" w:space="0" w:color="auto"/>
            </w:tcBorders>
            <w:vAlign w:val="center"/>
          </w:tcPr>
          <w:p w14:paraId="6AF75285" w14:textId="77777777" w:rsidR="001D26E7" w:rsidRPr="00F614F9" w:rsidRDefault="001D26E7">
            <w:pPr>
              <w:spacing w:line="240" w:lineRule="exac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2D25A26B" w14:textId="77777777" w:rsidR="001D26E7" w:rsidRPr="00F614F9" w:rsidRDefault="001D26E7">
            <w:pPr>
              <w:spacing w:line="240" w:lineRule="exact"/>
              <w:jc w:val="righ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17D49E24" w14:textId="77777777" w:rsidR="001D26E7" w:rsidRPr="00F614F9" w:rsidRDefault="001D26E7">
            <w:pPr>
              <w:spacing w:line="240" w:lineRule="exact"/>
              <w:jc w:val="righ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52C3988E" w14:textId="77777777" w:rsidR="001D26E7" w:rsidRPr="00F614F9" w:rsidRDefault="001D26E7">
            <w:pPr>
              <w:spacing w:line="240" w:lineRule="exac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34C05262" w14:textId="77777777" w:rsidR="001D26E7" w:rsidRPr="00F614F9" w:rsidRDefault="001D26E7">
            <w:pPr>
              <w:spacing w:line="240" w:lineRule="exac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5125486D" w14:textId="77777777" w:rsidR="001D26E7" w:rsidRPr="00F614F9" w:rsidRDefault="001D26E7">
            <w:pPr>
              <w:spacing w:line="240" w:lineRule="exact"/>
              <w:jc w:val="righ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1E585ABC" w14:textId="77777777" w:rsidR="001D26E7" w:rsidRPr="00F614F9" w:rsidRDefault="001D26E7">
            <w:pPr>
              <w:spacing w:line="240" w:lineRule="exact"/>
              <w:jc w:val="righ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3E9DAFAB" w14:textId="77777777" w:rsidR="001D26E7" w:rsidRPr="00F614F9" w:rsidRDefault="001D26E7">
            <w:pPr>
              <w:spacing w:line="240" w:lineRule="exact"/>
              <w:jc w:val="righ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42691700" w14:textId="77777777" w:rsidR="001D26E7" w:rsidRPr="00F614F9" w:rsidRDefault="001D26E7">
            <w:pPr>
              <w:spacing w:line="240" w:lineRule="exact"/>
              <w:jc w:val="righ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54A439B5" w14:textId="77777777" w:rsidR="001D26E7" w:rsidRPr="00F614F9" w:rsidRDefault="001D26E7">
            <w:pPr>
              <w:spacing w:line="240" w:lineRule="exact"/>
              <w:jc w:val="righ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3B46C55F" w14:textId="77777777" w:rsidR="001D26E7" w:rsidRPr="00F614F9" w:rsidRDefault="001D26E7">
            <w:pPr>
              <w:spacing w:line="240" w:lineRule="exact"/>
              <w:jc w:val="righ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250EA794" w14:textId="77777777" w:rsidR="001D26E7" w:rsidRPr="00F614F9" w:rsidRDefault="001D26E7">
            <w:pPr>
              <w:spacing w:line="240" w:lineRule="exact"/>
              <w:jc w:val="righ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3E3F98FB" w14:textId="77777777" w:rsidR="001D26E7" w:rsidRPr="00F614F9" w:rsidRDefault="001D26E7">
            <w:pPr>
              <w:spacing w:line="240" w:lineRule="exact"/>
              <w:jc w:val="righ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28DCA236"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5A03B6D5" w14:textId="77777777">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62C2AB4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合计</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6131C40B" w14:textId="77777777" w:rsidR="001D26E7" w:rsidRPr="00F614F9" w:rsidRDefault="001D26E7">
            <w:pPr>
              <w:rPr>
                <w:rFonts w:ascii="Times New Roman" w:hAnsi="Times New Roman"/>
              </w:rPr>
            </w:pP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4D3AC07F" w14:textId="77777777" w:rsidR="001D26E7" w:rsidRPr="00F614F9" w:rsidRDefault="001D26E7">
            <w:pPr>
              <w:rPr>
                <w:rFonts w:ascii="Times New Roman" w:hAnsi="Times New Roman"/>
              </w:rPr>
            </w:pP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61F7B48E" w14:textId="77777777" w:rsidR="001D26E7" w:rsidRPr="00F614F9" w:rsidRDefault="001D26E7">
            <w:pPr>
              <w:rPr>
                <w:rFonts w:ascii="Times New Roman" w:hAnsi="Times New Roman"/>
              </w:rPr>
            </w:pP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76D6A56B" w14:textId="77777777" w:rsidR="001D26E7" w:rsidRPr="00F614F9" w:rsidRDefault="001D26E7">
            <w:pPr>
              <w:rPr>
                <w:rFonts w:ascii="Times New Roman" w:hAnsi="Times New Roman"/>
              </w:rPr>
            </w:pPr>
          </w:p>
        </w:tc>
        <w:tc>
          <w:tcPr>
            <w:tcW w:w="689" w:type="dxa"/>
            <w:tcBorders>
              <w:top w:val="single" w:sz="2" w:space="0" w:color="auto"/>
              <w:left w:val="single" w:sz="2" w:space="0" w:color="auto"/>
              <w:bottom w:val="single" w:sz="2" w:space="0" w:color="auto"/>
              <w:right w:val="single" w:sz="2" w:space="0" w:color="auto"/>
            </w:tcBorders>
            <w:vAlign w:val="center"/>
          </w:tcPr>
          <w:p w14:paraId="2394E10D" w14:textId="77777777" w:rsidR="001D26E7" w:rsidRPr="00F614F9" w:rsidRDefault="001D26E7">
            <w:pPr>
              <w:spacing w:line="240" w:lineRule="exact"/>
              <w:jc w:val="righ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218A67D9" w14:textId="77777777" w:rsidR="001D26E7" w:rsidRPr="00F614F9" w:rsidRDefault="001D26E7">
            <w:pPr>
              <w:spacing w:line="240" w:lineRule="exact"/>
              <w:jc w:val="righ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55BEA52E" w14:textId="77777777" w:rsidR="001D26E7" w:rsidRPr="00F614F9" w:rsidRDefault="001D26E7">
            <w:pPr>
              <w:spacing w:line="240" w:lineRule="exact"/>
              <w:jc w:val="righ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0DD3BC24" w14:textId="77777777" w:rsidR="001D26E7" w:rsidRPr="00F614F9" w:rsidRDefault="001D26E7">
            <w:pPr>
              <w:spacing w:line="240" w:lineRule="exact"/>
              <w:jc w:val="righ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0EE5702C" w14:textId="77777777" w:rsidR="001D26E7" w:rsidRPr="00F614F9" w:rsidRDefault="001D26E7">
            <w:pPr>
              <w:spacing w:line="240" w:lineRule="exact"/>
              <w:jc w:val="righ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130CF937" w14:textId="77777777" w:rsidR="001D26E7" w:rsidRPr="00F614F9" w:rsidRDefault="001D26E7">
            <w:pPr>
              <w:spacing w:line="240" w:lineRule="exact"/>
              <w:jc w:val="righ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73C1736A" w14:textId="77777777" w:rsidR="001D26E7" w:rsidRPr="00F614F9" w:rsidRDefault="001D26E7">
            <w:pPr>
              <w:spacing w:line="240" w:lineRule="exact"/>
              <w:jc w:val="righ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5F75B1CD" w14:textId="77777777" w:rsidR="001D26E7" w:rsidRPr="00F614F9" w:rsidRDefault="001D26E7">
            <w:pPr>
              <w:spacing w:line="240" w:lineRule="exact"/>
              <w:jc w:val="righ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4132EEE6" w14:textId="77777777" w:rsidR="001D26E7" w:rsidRPr="00F614F9" w:rsidRDefault="001D26E7">
            <w:pPr>
              <w:rPr>
                <w:rFonts w:ascii="Times New Roman" w:hAnsi="Times New Roman"/>
              </w:rPr>
            </w:pPr>
          </w:p>
        </w:tc>
      </w:tr>
    </w:tbl>
    <w:p w14:paraId="5B89FBF1"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57934256" w14:textId="77777777" w:rsidR="00872599" w:rsidRPr="00F614F9" w:rsidRDefault="00000000">
      <w:pPr>
        <w:pStyle w:val="a3"/>
        <w:divId w:val="1180774204"/>
        <w:rPr>
          <w:rFonts w:ascii="Times New Roman" w:hAnsi="Times New Roman"/>
          <w:sz w:val="18"/>
          <w:szCs w:val="18"/>
        </w:rPr>
      </w:pPr>
      <w:r w:rsidRPr="00F614F9">
        <w:rPr>
          <w:rFonts w:ascii="Times New Roman" w:hAnsi="Times New Roman" w:hint="eastAsia"/>
          <w:sz w:val="18"/>
          <w:szCs w:val="18"/>
        </w:rPr>
        <w:t>无</w:t>
      </w:r>
    </w:p>
    <w:p w14:paraId="4764CBC3" w14:textId="77777777" w:rsidR="001D26E7" w:rsidRPr="00F614F9" w:rsidRDefault="00000000">
      <w:pPr>
        <w:pStyle w:val="3"/>
        <w:spacing w:line="280" w:lineRule="exact"/>
        <w:jc w:val="left"/>
        <w:rPr>
          <w:rFonts w:ascii="Times New Roman" w:hAnsi="Times New Roman" w:cs="宋体"/>
          <w:b/>
          <w:bCs/>
        </w:rPr>
      </w:pPr>
      <w:bookmarkStart w:id="449" w:name="_Toc989285"/>
      <w:r w:rsidRPr="00F614F9">
        <w:rPr>
          <w:rFonts w:ascii="Times New Roman" w:hAnsi="Times New Roman" w:cs="宋体"/>
          <w:b/>
          <w:bCs/>
        </w:rPr>
        <w:t>45</w:t>
      </w:r>
      <w:r w:rsidRPr="00F614F9">
        <w:rPr>
          <w:rFonts w:ascii="Times New Roman" w:hAnsi="Times New Roman" w:cs="宋体"/>
          <w:b/>
          <w:bCs/>
        </w:rPr>
        <w:t>、长期借款</w:t>
      </w:r>
      <w:bookmarkEnd w:id="449"/>
    </w:p>
    <w:p w14:paraId="00E9CE9C"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450" w:name="_Toc989286"/>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长期借款分类</w:t>
      </w:r>
      <w:bookmarkEnd w:id="450"/>
    </w:p>
    <w:p w14:paraId="24A7F730"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24EC12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C2AEF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BF772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4C3DC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37F54F0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8427B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抵押借款</w:t>
            </w:r>
          </w:p>
        </w:tc>
        <w:tc>
          <w:tcPr>
            <w:tcW w:w="3213" w:type="dxa"/>
            <w:tcBorders>
              <w:top w:val="single" w:sz="2" w:space="0" w:color="auto"/>
              <w:left w:val="single" w:sz="2" w:space="0" w:color="auto"/>
              <w:bottom w:val="single" w:sz="2" w:space="0" w:color="auto"/>
              <w:right w:val="single" w:sz="2" w:space="0" w:color="auto"/>
            </w:tcBorders>
            <w:vAlign w:val="center"/>
          </w:tcPr>
          <w:p w14:paraId="5BF47FD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262,202,925.48</w:t>
            </w:r>
          </w:p>
        </w:tc>
        <w:tc>
          <w:tcPr>
            <w:tcW w:w="3213" w:type="dxa"/>
            <w:tcBorders>
              <w:top w:val="single" w:sz="2" w:space="0" w:color="auto"/>
              <w:left w:val="single" w:sz="2" w:space="0" w:color="auto"/>
              <w:bottom w:val="single" w:sz="2" w:space="0" w:color="auto"/>
              <w:right w:val="single" w:sz="2" w:space="0" w:color="auto"/>
            </w:tcBorders>
            <w:vAlign w:val="center"/>
          </w:tcPr>
          <w:p w14:paraId="4DD9CF5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220,500,000.00</w:t>
            </w:r>
          </w:p>
        </w:tc>
      </w:tr>
      <w:tr w:rsidR="001D26E7" w:rsidRPr="00F614F9" w14:paraId="4018573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E6498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14:paraId="15A0063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204,000,000.00</w:t>
            </w:r>
          </w:p>
        </w:tc>
        <w:tc>
          <w:tcPr>
            <w:tcW w:w="3213" w:type="dxa"/>
            <w:tcBorders>
              <w:top w:val="single" w:sz="2" w:space="0" w:color="auto"/>
              <w:left w:val="single" w:sz="2" w:space="0" w:color="auto"/>
              <w:bottom w:val="single" w:sz="2" w:space="0" w:color="auto"/>
              <w:right w:val="single" w:sz="2" w:space="0" w:color="auto"/>
            </w:tcBorders>
            <w:vAlign w:val="center"/>
          </w:tcPr>
          <w:p w14:paraId="371BC9C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68,000,000.00</w:t>
            </w:r>
          </w:p>
        </w:tc>
      </w:tr>
      <w:tr w:rsidR="001D26E7" w:rsidRPr="00F614F9" w14:paraId="37101A2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0D6D23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减：一年内到期的长期借款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4C4B5DC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-140,000,000.00</w:t>
            </w:r>
          </w:p>
        </w:tc>
        <w:tc>
          <w:tcPr>
            <w:tcW w:w="3213" w:type="dxa"/>
            <w:tcBorders>
              <w:top w:val="single" w:sz="2" w:space="0" w:color="auto"/>
              <w:left w:val="single" w:sz="2" w:space="0" w:color="auto"/>
              <w:bottom w:val="single" w:sz="2" w:space="0" w:color="auto"/>
              <w:right w:val="single" w:sz="2" w:space="0" w:color="auto"/>
            </w:tcBorders>
            <w:vAlign w:val="center"/>
          </w:tcPr>
          <w:p w14:paraId="02594DF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-131,000,000.00</w:t>
            </w:r>
          </w:p>
        </w:tc>
      </w:tr>
      <w:tr w:rsidR="001D26E7" w:rsidRPr="00F614F9" w14:paraId="46F841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C715F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3A29B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326,202,925.48</w:t>
            </w:r>
          </w:p>
        </w:tc>
        <w:tc>
          <w:tcPr>
            <w:tcW w:w="3213" w:type="dxa"/>
            <w:tcBorders>
              <w:top w:val="single" w:sz="2" w:space="0" w:color="auto"/>
              <w:left w:val="single" w:sz="2" w:space="0" w:color="auto"/>
              <w:bottom w:val="single" w:sz="2" w:space="0" w:color="auto"/>
              <w:right w:val="single" w:sz="2" w:space="0" w:color="auto"/>
            </w:tcBorders>
            <w:vAlign w:val="center"/>
          </w:tcPr>
          <w:p w14:paraId="603406D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157,500,000.00</w:t>
            </w:r>
          </w:p>
        </w:tc>
      </w:tr>
    </w:tbl>
    <w:p w14:paraId="3CE91C9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长期借款分类的说明：</w:t>
      </w:r>
    </w:p>
    <w:p w14:paraId="55FB6E87" w14:textId="77777777" w:rsidR="00872599" w:rsidRPr="00F614F9" w:rsidRDefault="00000000">
      <w:pPr>
        <w:pStyle w:val="a3"/>
        <w:spacing w:before="0" w:beforeAutospacing="0" w:after="0" w:afterAutospacing="0"/>
        <w:ind w:firstLine="360"/>
        <w:jc w:val="both"/>
        <w:divId w:val="1984190760"/>
        <w:rPr>
          <w:rFonts w:ascii="Times New Roman" w:hAnsi="Times New Roman" w:cs="Calibri"/>
          <w:sz w:val="21"/>
          <w:szCs w:val="21"/>
        </w:rPr>
      </w:pPr>
      <w:r w:rsidRPr="00F614F9">
        <w:rPr>
          <w:rFonts w:ascii="Times New Roman" w:hAnsi="Times New Roman" w:cs="Calibri" w:hint="eastAsia"/>
          <w:sz w:val="18"/>
          <w:szCs w:val="18"/>
        </w:rPr>
        <w:t>抵押借款的抵押资产类别以及金额，</w:t>
      </w:r>
      <w:r w:rsidRPr="00F614F9">
        <w:rPr>
          <w:rFonts w:ascii="Times New Roman" w:hAnsi="Times New Roman" w:cs="Calibri" w:hint="eastAsia"/>
          <w:sz w:val="18"/>
          <w:szCs w:val="18"/>
        </w:rPr>
        <w:t xml:space="preserve"> </w:t>
      </w:r>
      <w:r w:rsidRPr="00F614F9">
        <w:rPr>
          <w:rFonts w:ascii="Times New Roman" w:hAnsi="Times New Roman" w:cs="Calibri" w:hint="eastAsia"/>
          <w:sz w:val="18"/>
          <w:szCs w:val="18"/>
        </w:rPr>
        <w:t>参见附注七、</w:t>
      </w:r>
      <w:r w:rsidRPr="00F614F9">
        <w:rPr>
          <w:rFonts w:ascii="Times New Roman" w:hAnsi="Times New Roman" w:cs="Calibri" w:hint="eastAsia"/>
          <w:sz w:val="18"/>
          <w:szCs w:val="18"/>
        </w:rPr>
        <w:t xml:space="preserve"> 31</w:t>
      </w:r>
      <w:r w:rsidRPr="00F614F9">
        <w:rPr>
          <w:rFonts w:ascii="Times New Roman" w:hAnsi="Times New Roman" w:cs="Calibri" w:hint="eastAsia"/>
          <w:sz w:val="18"/>
          <w:szCs w:val="18"/>
        </w:rPr>
        <w:t>。</w:t>
      </w:r>
    </w:p>
    <w:p w14:paraId="29CC136D"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其他说明，包括利率区间：</w:t>
      </w:r>
    </w:p>
    <w:p w14:paraId="15120308" w14:textId="77777777" w:rsidR="00872599" w:rsidRPr="00F614F9" w:rsidRDefault="00000000">
      <w:pPr>
        <w:pStyle w:val="a3"/>
        <w:spacing w:before="0" w:beforeAutospacing="0" w:after="0" w:afterAutospacing="0"/>
        <w:ind w:firstLine="360"/>
        <w:jc w:val="both"/>
        <w:divId w:val="311369404"/>
        <w:rPr>
          <w:rFonts w:ascii="Times New Roman" w:hAnsi="Times New Roman" w:cs="Calibri"/>
          <w:sz w:val="21"/>
          <w:szCs w:val="21"/>
        </w:rPr>
      </w:pPr>
      <w:r w:rsidRPr="00F614F9">
        <w:rPr>
          <w:rFonts w:ascii="Times New Roman" w:hAnsi="Times New Roman" w:cs="Calibri" w:hint="eastAsia"/>
          <w:sz w:val="18"/>
          <w:szCs w:val="18"/>
        </w:rPr>
        <w:t>长期借款利率区间为</w:t>
      </w:r>
      <w:proofErr w:type="gramStart"/>
      <w:r w:rsidRPr="00F614F9">
        <w:rPr>
          <w:rFonts w:ascii="Times New Roman" w:hAnsi="Times New Roman" w:cs="Calibri" w:hint="eastAsia"/>
          <w:sz w:val="18"/>
          <w:szCs w:val="18"/>
        </w:rPr>
        <w:t>年化利率</w:t>
      </w:r>
      <w:proofErr w:type="gramEnd"/>
      <w:r w:rsidRPr="00F614F9">
        <w:rPr>
          <w:rFonts w:ascii="Times New Roman" w:hAnsi="Times New Roman" w:cs="Calibri" w:hint="eastAsia"/>
          <w:sz w:val="18"/>
          <w:szCs w:val="18"/>
        </w:rPr>
        <w:t>3.60%-4.70%</w:t>
      </w:r>
      <w:r w:rsidRPr="00F614F9">
        <w:rPr>
          <w:rFonts w:ascii="Times New Roman" w:hAnsi="Times New Roman" w:cs="Calibri" w:hint="eastAsia"/>
          <w:sz w:val="18"/>
          <w:szCs w:val="18"/>
        </w:rPr>
        <w:t>。</w:t>
      </w:r>
    </w:p>
    <w:p w14:paraId="6F0B19DA" w14:textId="77777777" w:rsidR="001D26E7" w:rsidRPr="00F614F9" w:rsidRDefault="00000000">
      <w:pPr>
        <w:pStyle w:val="3"/>
        <w:spacing w:line="280" w:lineRule="exact"/>
        <w:jc w:val="left"/>
        <w:rPr>
          <w:rFonts w:ascii="Times New Roman" w:hAnsi="Times New Roman" w:cs="宋体"/>
          <w:b/>
          <w:bCs/>
        </w:rPr>
      </w:pPr>
      <w:bookmarkStart w:id="451" w:name="_Toc989287"/>
      <w:r w:rsidRPr="00F614F9">
        <w:rPr>
          <w:rFonts w:ascii="Times New Roman" w:hAnsi="Times New Roman" w:cs="宋体"/>
          <w:b/>
          <w:bCs/>
        </w:rPr>
        <w:t>46</w:t>
      </w:r>
      <w:r w:rsidRPr="00F614F9">
        <w:rPr>
          <w:rFonts w:ascii="Times New Roman" w:hAnsi="Times New Roman" w:cs="宋体"/>
          <w:b/>
          <w:bCs/>
        </w:rPr>
        <w:t>、应付债券</w:t>
      </w:r>
      <w:bookmarkEnd w:id="451"/>
    </w:p>
    <w:p w14:paraId="17EBB922"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52" w:name="_Toc989288"/>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应付债券</w:t>
      </w:r>
      <w:bookmarkEnd w:id="452"/>
    </w:p>
    <w:p w14:paraId="492A076C"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6DC1303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6B8B4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CC1DB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9C71A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06D2423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762B2C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可转换公司债</w:t>
            </w:r>
            <w:proofErr w:type="gramStart"/>
            <w:r w:rsidRPr="00F614F9">
              <w:rPr>
                <w:rFonts w:ascii="Times New Roman" w:eastAsia="宋体" w:hAnsi="Times New Roman" w:cs="宋体"/>
                <w:sz w:val="18"/>
                <w:szCs w:val="18"/>
              </w:rPr>
              <w:t>券</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14:paraId="107224A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892,370,341.46</w:t>
            </w:r>
          </w:p>
        </w:tc>
        <w:tc>
          <w:tcPr>
            <w:tcW w:w="3213" w:type="dxa"/>
            <w:tcBorders>
              <w:top w:val="single" w:sz="2" w:space="0" w:color="auto"/>
              <w:left w:val="single" w:sz="2" w:space="0" w:color="auto"/>
              <w:bottom w:val="single" w:sz="2" w:space="0" w:color="auto"/>
              <w:right w:val="single" w:sz="2" w:space="0" w:color="auto"/>
            </w:tcBorders>
            <w:vAlign w:val="center"/>
          </w:tcPr>
          <w:p w14:paraId="05F4439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856,507,705.96</w:t>
            </w:r>
          </w:p>
        </w:tc>
      </w:tr>
      <w:tr w:rsidR="001D26E7" w:rsidRPr="00F614F9" w14:paraId="3FEEBB4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B43E91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可转换公司债</w:t>
            </w:r>
            <w:proofErr w:type="gramStart"/>
            <w:r w:rsidRPr="00F614F9">
              <w:rPr>
                <w:rFonts w:ascii="Times New Roman" w:eastAsia="宋体" w:hAnsi="Times New Roman" w:cs="宋体"/>
                <w:sz w:val="18"/>
                <w:szCs w:val="18"/>
              </w:rPr>
              <w:t>券</w:t>
            </w:r>
            <w:proofErr w:type="gramEnd"/>
            <w:r w:rsidRPr="00F614F9">
              <w:rPr>
                <w:rFonts w:ascii="Times New Roman" w:eastAsia="宋体" w:hAnsi="Times New Roman" w:cs="宋体"/>
                <w:sz w:val="18"/>
                <w:szCs w:val="18"/>
              </w:rPr>
              <w:t>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0751E36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6,668,924.28</w:t>
            </w:r>
          </w:p>
        </w:tc>
        <w:tc>
          <w:tcPr>
            <w:tcW w:w="3213" w:type="dxa"/>
            <w:tcBorders>
              <w:top w:val="single" w:sz="2" w:space="0" w:color="auto"/>
              <w:left w:val="single" w:sz="2" w:space="0" w:color="auto"/>
              <w:bottom w:val="single" w:sz="2" w:space="0" w:color="auto"/>
              <w:right w:val="single" w:sz="2" w:space="0" w:color="auto"/>
            </w:tcBorders>
            <w:vAlign w:val="center"/>
          </w:tcPr>
          <w:p w14:paraId="6B8DF4A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4,458,118.94</w:t>
            </w:r>
          </w:p>
        </w:tc>
      </w:tr>
      <w:tr w:rsidR="001D26E7" w:rsidRPr="00F614F9" w14:paraId="2A2869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925C5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DED6A7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899,039,265.74</w:t>
            </w:r>
          </w:p>
        </w:tc>
        <w:tc>
          <w:tcPr>
            <w:tcW w:w="3213" w:type="dxa"/>
            <w:tcBorders>
              <w:top w:val="single" w:sz="2" w:space="0" w:color="auto"/>
              <w:left w:val="single" w:sz="2" w:space="0" w:color="auto"/>
              <w:bottom w:val="single" w:sz="2" w:space="0" w:color="auto"/>
              <w:right w:val="single" w:sz="2" w:space="0" w:color="auto"/>
            </w:tcBorders>
            <w:vAlign w:val="center"/>
          </w:tcPr>
          <w:p w14:paraId="581B4B6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860,965,824.90</w:t>
            </w:r>
          </w:p>
        </w:tc>
      </w:tr>
    </w:tbl>
    <w:p w14:paraId="6B73F206"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53" w:name="_Toc989289"/>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应付债券的增减变动（不包括划分为金融负债的优先股、永续债等其他金融工具）</w:t>
      </w:r>
      <w:bookmarkEnd w:id="453"/>
    </w:p>
    <w:p w14:paraId="5A18BCF9"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9"/>
        <w:gridCol w:w="689"/>
        <w:gridCol w:w="689"/>
        <w:gridCol w:w="689"/>
        <w:gridCol w:w="689"/>
        <w:gridCol w:w="689"/>
        <w:gridCol w:w="689"/>
        <w:gridCol w:w="688"/>
        <w:gridCol w:w="688"/>
        <w:gridCol w:w="688"/>
        <w:gridCol w:w="688"/>
        <w:gridCol w:w="688"/>
        <w:gridCol w:w="688"/>
        <w:gridCol w:w="688"/>
      </w:tblGrid>
      <w:tr w:rsidR="001D26E7" w:rsidRPr="00F614F9" w14:paraId="3F17FB92" w14:textId="77777777">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021692C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债券名称</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3709622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面值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7E06B8F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票面利率</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62F40F2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发行日期</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47F59F5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债券期限</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34EE761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发行金额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3B36288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27BC9AE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本期发行</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098F790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按面值计提利息</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60236EC4" w14:textId="77777777" w:rsidR="001D26E7" w:rsidRPr="00F614F9" w:rsidRDefault="00000000">
            <w:pPr>
              <w:spacing w:before="40" w:after="40" w:line="240" w:lineRule="exact"/>
              <w:jc w:val="center"/>
              <w:rPr>
                <w:rFonts w:ascii="Times New Roman" w:eastAsia="宋体" w:hAnsi="Times New Roman" w:cs="宋体"/>
                <w:sz w:val="18"/>
                <w:szCs w:val="18"/>
              </w:rPr>
            </w:pPr>
            <w:proofErr w:type="gramStart"/>
            <w:r w:rsidRPr="00F614F9">
              <w:rPr>
                <w:rFonts w:ascii="Times New Roman" w:eastAsia="宋体" w:hAnsi="Times New Roman" w:cs="宋体"/>
                <w:sz w:val="18"/>
                <w:szCs w:val="18"/>
              </w:rPr>
              <w:t>溢</w:t>
            </w:r>
            <w:proofErr w:type="gramEnd"/>
            <w:r w:rsidRPr="00F614F9">
              <w:rPr>
                <w:rFonts w:ascii="Times New Roman" w:eastAsia="宋体" w:hAnsi="Times New Roman" w:cs="宋体"/>
                <w:sz w:val="18"/>
                <w:szCs w:val="18"/>
              </w:rPr>
              <w:t>折价摊销</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4A5D31E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本期偿还</w:t>
            </w:r>
          </w:p>
        </w:tc>
        <w:tc>
          <w:tcPr>
            <w:tcW w:w="689" w:type="dxa"/>
            <w:tcBorders>
              <w:top w:val="single" w:sz="2" w:space="0" w:color="auto"/>
              <w:left w:val="single" w:sz="2" w:space="0" w:color="auto"/>
              <w:bottom w:val="single" w:sz="2" w:space="0" w:color="auto"/>
              <w:right w:val="single" w:sz="2" w:space="0" w:color="auto"/>
            </w:tcBorders>
            <w:vAlign w:val="center"/>
          </w:tcPr>
          <w:p w14:paraId="744FC5C0" w14:textId="77777777" w:rsidR="001D26E7" w:rsidRPr="00F614F9" w:rsidRDefault="00000000">
            <w:pPr>
              <w:spacing w:line="240" w:lineRule="exact"/>
              <w:jc w:val="center"/>
              <w:rPr>
                <w:rFonts w:ascii="Times New Roman" w:eastAsia="宋体" w:hAnsi="Times New Roman" w:cs="宋体"/>
                <w:sz w:val="18"/>
                <w:szCs w:val="18"/>
              </w:rPr>
            </w:pPr>
            <w:proofErr w:type="gramStart"/>
            <w:r w:rsidRPr="00F614F9">
              <w:rPr>
                <w:rFonts w:ascii="Times New Roman" w:eastAsia="宋体" w:hAnsi="Times New Roman" w:cs="宋体"/>
                <w:sz w:val="18"/>
                <w:szCs w:val="18"/>
              </w:rPr>
              <w:t>本期转</w:t>
            </w:r>
            <w:proofErr w:type="gramEnd"/>
            <w:r w:rsidRPr="00F614F9">
              <w:rPr>
                <w:rFonts w:ascii="Times New Roman" w:eastAsia="宋体" w:hAnsi="Times New Roman" w:cs="宋体"/>
                <w:sz w:val="18"/>
                <w:szCs w:val="18"/>
              </w:rPr>
              <w:t>股</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3362535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5E24A69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是否违约</w:t>
            </w:r>
          </w:p>
        </w:tc>
      </w:tr>
      <w:tr w:rsidR="001D26E7" w:rsidRPr="00F614F9" w14:paraId="182C37CC" w14:textId="77777777">
        <w:trPr>
          <w:trHeight w:val="240"/>
        </w:trPr>
        <w:tc>
          <w:tcPr>
            <w:tcW w:w="689" w:type="dxa"/>
            <w:tcBorders>
              <w:top w:val="single" w:sz="2" w:space="0" w:color="auto"/>
              <w:left w:val="single" w:sz="2" w:space="0" w:color="auto"/>
              <w:bottom w:val="single" w:sz="2" w:space="0" w:color="auto"/>
              <w:right w:val="single" w:sz="2" w:space="0" w:color="auto"/>
            </w:tcBorders>
            <w:vAlign w:val="center"/>
          </w:tcPr>
          <w:p w14:paraId="161AEE8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龙大转债</w:t>
            </w:r>
          </w:p>
        </w:tc>
        <w:tc>
          <w:tcPr>
            <w:tcW w:w="689" w:type="dxa"/>
            <w:tcBorders>
              <w:top w:val="single" w:sz="2" w:space="0" w:color="auto"/>
              <w:left w:val="single" w:sz="2" w:space="0" w:color="auto"/>
              <w:bottom w:val="single" w:sz="2" w:space="0" w:color="auto"/>
              <w:right w:val="single" w:sz="2" w:space="0" w:color="auto"/>
            </w:tcBorders>
            <w:vAlign w:val="center"/>
          </w:tcPr>
          <w:p w14:paraId="223D666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950,000,000.00</w:t>
            </w:r>
          </w:p>
        </w:tc>
        <w:tc>
          <w:tcPr>
            <w:tcW w:w="689" w:type="dxa"/>
            <w:tcBorders>
              <w:top w:val="single" w:sz="2" w:space="0" w:color="auto"/>
              <w:left w:val="single" w:sz="2" w:space="0" w:color="auto"/>
              <w:bottom w:val="single" w:sz="2" w:space="0" w:color="auto"/>
              <w:right w:val="single" w:sz="2" w:space="0" w:color="auto"/>
            </w:tcBorders>
            <w:vAlign w:val="center"/>
          </w:tcPr>
          <w:p w14:paraId="288DF0C2" w14:textId="77777777" w:rsidR="001D26E7" w:rsidRPr="00F614F9" w:rsidRDefault="001D26E7">
            <w:pPr>
              <w:spacing w:line="240" w:lineRule="exact"/>
              <w:jc w:val="righ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685A019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2020</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13</w:t>
            </w:r>
            <w:r w:rsidRPr="00F614F9">
              <w:rPr>
                <w:rFonts w:ascii="Times New Roman" w:eastAsia="宋体" w:hAnsi="Times New Roman" w:cs="宋体"/>
                <w:sz w:val="18"/>
                <w:szCs w:val="18"/>
              </w:rPr>
              <w:t>日</w:t>
            </w:r>
          </w:p>
        </w:tc>
        <w:tc>
          <w:tcPr>
            <w:tcW w:w="689" w:type="dxa"/>
            <w:tcBorders>
              <w:top w:val="single" w:sz="2" w:space="0" w:color="auto"/>
              <w:left w:val="single" w:sz="2" w:space="0" w:color="auto"/>
              <w:bottom w:val="single" w:sz="2" w:space="0" w:color="auto"/>
              <w:right w:val="single" w:sz="2" w:space="0" w:color="auto"/>
            </w:tcBorders>
            <w:vAlign w:val="center"/>
          </w:tcPr>
          <w:p w14:paraId="5FFAEF4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 xml:space="preserve">6 </w:t>
            </w:r>
            <w:r w:rsidRPr="00F614F9">
              <w:rPr>
                <w:rFonts w:ascii="Times New Roman" w:eastAsia="宋体" w:hAnsi="Times New Roman" w:cs="宋体"/>
                <w:sz w:val="18"/>
                <w:szCs w:val="18"/>
              </w:rPr>
              <w:t>年</w:t>
            </w:r>
          </w:p>
        </w:tc>
        <w:tc>
          <w:tcPr>
            <w:tcW w:w="689" w:type="dxa"/>
            <w:tcBorders>
              <w:top w:val="single" w:sz="2" w:space="0" w:color="auto"/>
              <w:left w:val="single" w:sz="2" w:space="0" w:color="auto"/>
              <w:bottom w:val="single" w:sz="2" w:space="0" w:color="auto"/>
              <w:right w:val="single" w:sz="2" w:space="0" w:color="auto"/>
            </w:tcBorders>
            <w:vAlign w:val="center"/>
          </w:tcPr>
          <w:p w14:paraId="38B9EA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950,000,000.00</w:t>
            </w:r>
          </w:p>
        </w:tc>
        <w:tc>
          <w:tcPr>
            <w:tcW w:w="689" w:type="dxa"/>
            <w:tcBorders>
              <w:top w:val="single" w:sz="2" w:space="0" w:color="auto"/>
              <w:left w:val="single" w:sz="2" w:space="0" w:color="auto"/>
              <w:bottom w:val="single" w:sz="2" w:space="0" w:color="auto"/>
              <w:right w:val="single" w:sz="2" w:space="0" w:color="auto"/>
            </w:tcBorders>
            <w:vAlign w:val="center"/>
          </w:tcPr>
          <w:p w14:paraId="4F6638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860,965,824.90</w:t>
            </w:r>
          </w:p>
        </w:tc>
        <w:tc>
          <w:tcPr>
            <w:tcW w:w="689" w:type="dxa"/>
            <w:tcBorders>
              <w:top w:val="single" w:sz="2" w:space="0" w:color="auto"/>
              <w:left w:val="single" w:sz="2" w:space="0" w:color="auto"/>
              <w:bottom w:val="single" w:sz="2" w:space="0" w:color="auto"/>
              <w:right w:val="single" w:sz="2" w:space="0" w:color="auto"/>
            </w:tcBorders>
            <w:vAlign w:val="center"/>
          </w:tcPr>
          <w:p w14:paraId="1F9DAD19" w14:textId="77777777" w:rsidR="001D26E7" w:rsidRPr="00F614F9" w:rsidRDefault="001D26E7">
            <w:pPr>
              <w:spacing w:line="240" w:lineRule="exact"/>
              <w:jc w:val="righ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7F065A6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11,671,382.34</w:t>
            </w:r>
          </w:p>
        </w:tc>
        <w:tc>
          <w:tcPr>
            <w:tcW w:w="689" w:type="dxa"/>
            <w:tcBorders>
              <w:top w:val="single" w:sz="2" w:space="0" w:color="auto"/>
              <w:left w:val="single" w:sz="2" w:space="0" w:color="auto"/>
              <w:bottom w:val="single" w:sz="2" w:space="0" w:color="auto"/>
              <w:right w:val="single" w:sz="2" w:space="0" w:color="auto"/>
            </w:tcBorders>
            <w:vAlign w:val="center"/>
          </w:tcPr>
          <w:p w14:paraId="31C6A50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-35,867,035.50</w:t>
            </w:r>
          </w:p>
        </w:tc>
        <w:tc>
          <w:tcPr>
            <w:tcW w:w="689" w:type="dxa"/>
            <w:tcBorders>
              <w:top w:val="single" w:sz="2" w:space="0" w:color="auto"/>
              <w:left w:val="single" w:sz="2" w:space="0" w:color="auto"/>
              <w:bottom w:val="single" w:sz="2" w:space="0" w:color="auto"/>
              <w:right w:val="single" w:sz="2" w:space="0" w:color="auto"/>
            </w:tcBorders>
            <w:vAlign w:val="center"/>
          </w:tcPr>
          <w:p w14:paraId="2CB559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9,460,577.00</w:t>
            </w:r>
          </w:p>
        </w:tc>
        <w:tc>
          <w:tcPr>
            <w:tcW w:w="689" w:type="dxa"/>
            <w:tcBorders>
              <w:top w:val="single" w:sz="2" w:space="0" w:color="auto"/>
              <w:left w:val="single" w:sz="2" w:space="0" w:color="auto"/>
              <w:bottom w:val="single" w:sz="2" w:space="0" w:color="auto"/>
              <w:right w:val="single" w:sz="2" w:space="0" w:color="auto"/>
            </w:tcBorders>
            <w:vAlign w:val="center"/>
          </w:tcPr>
          <w:p w14:paraId="4437758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4,400.00</w:t>
            </w:r>
          </w:p>
        </w:tc>
        <w:tc>
          <w:tcPr>
            <w:tcW w:w="689" w:type="dxa"/>
            <w:tcBorders>
              <w:top w:val="single" w:sz="2" w:space="0" w:color="auto"/>
              <w:left w:val="single" w:sz="2" w:space="0" w:color="auto"/>
              <w:bottom w:val="single" w:sz="2" w:space="0" w:color="auto"/>
              <w:right w:val="single" w:sz="2" w:space="0" w:color="auto"/>
            </w:tcBorders>
            <w:vAlign w:val="center"/>
          </w:tcPr>
          <w:p w14:paraId="1EA51A8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899,039,265.74</w:t>
            </w:r>
          </w:p>
        </w:tc>
        <w:tc>
          <w:tcPr>
            <w:tcW w:w="689" w:type="dxa"/>
            <w:tcBorders>
              <w:top w:val="single" w:sz="2" w:space="0" w:color="auto"/>
              <w:left w:val="single" w:sz="2" w:space="0" w:color="auto"/>
              <w:bottom w:val="single" w:sz="2" w:space="0" w:color="auto"/>
              <w:right w:val="single" w:sz="2" w:space="0" w:color="auto"/>
            </w:tcBorders>
            <w:vAlign w:val="center"/>
          </w:tcPr>
          <w:p w14:paraId="3EF6ABD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6524DAE0" w14:textId="77777777">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73653FE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275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0E51AD5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14:paraId="6E7347B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950,000,000.00</w:t>
            </w:r>
          </w:p>
        </w:tc>
        <w:tc>
          <w:tcPr>
            <w:tcW w:w="689" w:type="dxa"/>
            <w:tcBorders>
              <w:top w:val="single" w:sz="2" w:space="0" w:color="auto"/>
              <w:left w:val="single" w:sz="2" w:space="0" w:color="auto"/>
              <w:bottom w:val="single" w:sz="2" w:space="0" w:color="auto"/>
              <w:right w:val="single" w:sz="2" w:space="0" w:color="auto"/>
            </w:tcBorders>
            <w:vAlign w:val="center"/>
          </w:tcPr>
          <w:p w14:paraId="5792BC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860,965,824.90</w:t>
            </w:r>
          </w:p>
        </w:tc>
        <w:tc>
          <w:tcPr>
            <w:tcW w:w="689" w:type="dxa"/>
            <w:tcBorders>
              <w:top w:val="single" w:sz="2" w:space="0" w:color="auto"/>
              <w:left w:val="single" w:sz="2" w:space="0" w:color="auto"/>
              <w:bottom w:val="single" w:sz="2" w:space="0" w:color="auto"/>
              <w:right w:val="single" w:sz="2" w:space="0" w:color="auto"/>
            </w:tcBorders>
            <w:vAlign w:val="center"/>
          </w:tcPr>
          <w:p w14:paraId="33593ABB" w14:textId="77777777" w:rsidR="001D26E7" w:rsidRPr="00F614F9" w:rsidRDefault="001D26E7">
            <w:pPr>
              <w:spacing w:line="240" w:lineRule="exact"/>
              <w:jc w:val="right"/>
              <w:rPr>
                <w:rFonts w:ascii="Times New Roman" w:eastAsia="宋体" w:hAnsi="Times New Roman"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14:paraId="012EDDE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11,671,382.34</w:t>
            </w:r>
          </w:p>
        </w:tc>
        <w:tc>
          <w:tcPr>
            <w:tcW w:w="689" w:type="dxa"/>
            <w:tcBorders>
              <w:top w:val="single" w:sz="2" w:space="0" w:color="auto"/>
              <w:left w:val="single" w:sz="2" w:space="0" w:color="auto"/>
              <w:bottom w:val="single" w:sz="2" w:space="0" w:color="auto"/>
              <w:right w:val="single" w:sz="2" w:space="0" w:color="auto"/>
            </w:tcBorders>
            <w:vAlign w:val="center"/>
          </w:tcPr>
          <w:p w14:paraId="7E044CD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-35,867,035.50</w:t>
            </w:r>
          </w:p>
        </w:tc>
        <w:tc>
          <w:tcPr>
            <w:tcW w:w="689" w:type="dxa"/>
            <w:tcBorders>
              <w:top w:val="single" w:sz="2" w:space="0" w:color="auto"/>
              <w:left w:val="single" w:sz="2" w:space="0" w:color="auto"/>
              <w:bottom w:val="single" w:sz="2" w:space="0" w:color="auto"/>
              <w:right w:val="single" w:sz="2" w:space="0" w:color="auto"/>
            </w:tcBorders>
            <w:vAlign w:val="center"/>
          </w:tcPr>
          <w:p w14:paraId="0605F25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9,460,577.00</w:t>
            </w:r>
          </w:p>
        </w:tc>
        <w:tc>
          <w:tcPr>
            <w:tcW w:w="689" w:type="dxa"/>
            <w:tcBorders>
              <w:top w:val="single" w:sz="2" w:space="0" w:color="auto"/>
              <w:left w:val="single" w:sz="2" w:space="0" w:color="auto"/>
              <w:bottom w:val="single" w:sz="2" w:space="0" w:color="auto"/>
              <w:right w:val="single" w:sz="2" w:space="0" w:color="auto"/>
            </w:tcBorders>
            <w:vAlign w:val="center"/>
          </w:tcPr>
          <w:p w14:paraId="2D2DAA4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4,400.00</w:t>
            </w:r>
          </w:p>
        </w:tc>
        <w:tc>
          <w:tcPr>
            <w:tcW w:w="689" w:type="dxa"/>
            <w:tcBorders>
              <w:top w:val="single" w:sz="2" w:space="0" w:color="auto"/>
              <w:left w:val="single" w:sz="2" w:space="0" w:color="auto"/>
              <w:bottom w:val="single" w:sz="2" w:space="0" w:color="auto"/>
              <w:right w:val="single" w:sz="2" w:space="0" w:color="auto"/>
            </w:tcBorders>
            <w:vAlign w:val="center"/>
          </w:tcPr>
          <w:p w14:paraId="4BEA16A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899,039,265.74</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6E73A24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r>
    </w:tbl>
    <w:p w14:paraId="51EDAB00"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54" w:name="_Toc989290"/>
      <w:r w:rsidRPr="00F614F9">
        <w:rPr>
          <w:rFonts w:ascii="Times New Roman" w:eastAsia="宋体" w:hAnsi="Times New Roman" w:cs="宋体"/>
          <w:b/>
          <w:bCs/>
          <w:szCs w:val="21"/>
        </w:rPr>
        <w:lastRenderedPageBreak/>
        <w:t>（</w:t>
      </w:r>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可转换公司债</w:t>
      </w:r>
      <w:proofErr w:type="gramStart"/>
      <w:r w:rsidRPr="00F614F9">
        <w:rPr>
          <w:rFonts w:ascii="Times New Roman" w:eastAsia="宋体" w:hAnsi="Times New Roman" w:cs="宋体"/>
          <w:b/>
          <w:bCs/>
          <w:szCs w:val="21"/>
        </w:rPr>
        <w:t>券</w:t>
      </w:r>
      <w:proofErr w:type="gramEnd"/>
      <w:r w:rsidRPr="00F614F9">
        <w:rPr>
          <w:rFonts w:ascii="Times New Roman" w:eastAsia="宋体" w:hAnsi="Times New Roman" w:cs="宋体"/>
          <w:b/>
          <w:bCs/>
          <w:szCs w:val="21"/>
        </w:rPr>
        <w:t>的说明</w:t>
      </w:r>
      <w:bookmarkEnd w:id="454"/>
    </w:p>
    <w:p w14:paraId="25C600DC" w14:textId="77777777" w:rsidR="00872599" w:rsidRPr="00F614F9" w:rsidRDefault="00000000" w:rsidP="00407C41">
      <w:pPr>
        <w:pStyle w:val="a3"/>
        <w:spacing w:before="0" w:beforeAutospacing="0" w:after="0" w:afterAutospacing="0" w:line="276" w:lineRule="auto"/>
        <w:ind w:firstLine="360"/>
        <w:jc w:val="both"/>
        <w:divId w:val="866018642"/>
        <w:rPr>
          <w:rFonts w:ascii="Times New Roman" w:hAnsi="Times New Roman" w:cs="Times New Roman"/>
          <w:sz w:val="21"/>
          <w:szCs w:val="21"/>
        </w:rPr>
      </w:pPr>
      <w:r w:rsidRPr="00F614F9">
        <w:rPr>
          <w:rFonts w:ascii="Times New Roman" w:hAnsi="Times New Roman" w:cs="Times New Roman" w:hint="eastAsia"/>
          <w:sz w:val="18"/>
          <w:szCs w:val="18"/>
        </w:rPr>
        <w:t>经证监许可</w:t>
      </w:r>
      <w:r w:rsidRPr="00F614F9">
        <w:rPr>
          <w:rFonts w:ascii="Times New Roman" w:hAnsi="Times New Roman" w:cs="Times New Roman" w:hint="eastAsia"/>
          <w:sz w:val="18"/>
          <w:szCs w:val="18"/>
        </w:rPr>
        <w:t>[2020]1077</w:t>
      </w:r>
      <w:r w:rsidRPr="00F614F9">
        <w:rPr>
          <w:rFonts w:ascii="Times New Roman" w:hAnsi="Times New Roman" w:cs="Times New Roman" w:hint="eastAsia"/>
          <w:sz w:val="18"/>
          <w:szCs w:val="18"/>
        </w:rPr>
        <w:t>号文核准，本公司于</w:t>
      </w:r>
      <w:r w:rsidRPr="00F614F9">
        <w:rPr>
          <w:rFonts w:ascii="Times New Roman" w:hAnsi="Times New Roman" w:cs="Times New Roman" w:hint="eastAsia"/>
          <w:sz w:val="18"/>
          <w:szCs w:val="18"/>
        </w:rPr>
        <w:t>2020</w:t>
      </w:r>
      <w:r w:rsidRPr="00F614F9">
        <w:rPr>
          <w:rFonts w:ascii="Times New Roman" w:hAnsi="Times New Roman" w:cs="Times New Roman" w:hint="eastAsia"/>
          <w:sz w:val="18"/>
          <w:szCs w:val="18"/>
        </w:rPr>
        <w:t>年</w:t>
      </w:r>
      <w:r w:rsidRPr="00F614F9">
        <w:rPr>
          <w:rFonts w:ascii="Times New Roman" w:hAnsi="Times New Roman" w:cs="Times New Roman" w:hint="eastAsia"/>
          <w:sz w:val="18"/>
          <w:szCs w:val="18"/>
        </w:rPr>
        <w:t>7</w:t>
      </w:r>
      <w:r w:rsidRPr="00F614F9">
        <w:rPr>
          <w:rFonts w:ascii="Times New Roman" w:hAnsi="Times New Roman" w:cs="Times New Roman" w:hint="eastAsia"/>
          <w:sz w:val="18"/>
          <w:szCs w:val="18"/>
        </w:rPr>
        <w:t>月</w:t>
      </w:r>
      <w:r w:rsidRPr="00F614F9">
        <w:rPr>
          <w:rFonts w:ascii="Times New Roman" w:hAnsi="Times New Roman" w:cs="Times New Roman" w:hint="eastAsia"/>
          <w:sz w:val="18"/>
          <w:szCs w:val="18"/>
        </w:rPr>
        <w:t>13</w:t>
      </w:r>
      <w:r w:rsidRPr="00F614F9">
        <w:rPr>
          <w:rFonts w:ascii="Times New Roman" w:hAnsi="Times New Roman" w:cs="Times New Roman" w:hint="eastAsia"/>
          <w:sz w:val="18"/>
          <w:szCs w:val="18"/>
        </w:rPr>
        <w:t>日发行票面金额为</w:t>
      </w:r>
      <w:r w:rsidRPr="00F614F9">
        <w:rPr>
          <w:rFonts w:ascii="Times New Roman" w:hAnsi="Times New Roman" w:cs="Times New Roman" w:hint="eastAsia"/>
          <w:sz w:val="18"/>
          <w:szCs w:val="18"/>
        </w:rPr>
        <w:t>100</w:t>
      </w:r>
      <w:r w:rsidRPr="00F614F9">
        <w:rPr>
          <w:rFonts w:ascii="Times New Roman" w:hAnsi="Times New Roman" w:cs="Times New Roman" w:hint="eastAsia"/>
          <w:sz w:val="18"/>
          <w:szCs w:val="18"/>
        </w:rPr>
        <w:t>元的可转换债券</w:t>
      </w:r>
      <w:r w:rsidRPr="00F614F9">
        <w:rPr>
          <w:rFonts w:ascii="Times New Roman" w:hAnsi="Times New Roman" w:cs="Times New Roman" w:hint="eastAsia"/>
          <w:sz w:val="18"/>
          <w:szCs w:val="18"/>
        </w:rPr>
        <w:t>9,500,000</w:t>
      </w:r>
      <w:r w:rsidRPr="00F614F9">
        <w:rPr>
          <w:rFonts w:ascii="Times New Roman" w:hAnsi="Times New Roman" w:cs="Times New Roman" w:hint="eastAsia"/>
          <w:sz w:val="18"/>
          <w:szCs w:val="18"/>
        </w:rPr>
        <w:t>张。债券票面年利率第一年</w:t>
      </w:r>
      <w:r w:rsidRPr="00F614F9">
        <w:rPr>
          <w:rFonts w:ascii="Times New Roman" w:hAnsi="Times New Roman" w:cs="Times New Roman" w:hint="eastAsia"/>
          <w:sz w:val="18"/>
          <w:szCs w:val="18"/>
        </w:rPr>
        <w:t>0.30%</w:t>
      </w:r>
      <w:r w:rsidRPr="00F614F9">
        <w:rPr>
          <w:rFonts w:ascii="Times New Roman" w:hAnsi="Times New Roman" w:cs="Times New Roman" w:hint="eastAsia"/>
          <w:sz w:val="18"/>
          <w:szCs w:val="18"/>
        </w:rPr>
        <w:t>、第二年</w:t>
      </w:r>
      <w:r w:rsidRPr="00F614F9">
        <w:rPr>
          <w:rFonts w:ascii="Times New Roman" w:hAnsi="Times New Roman" w:cs="Times New Roman" w:hint="eastAsia"/>
          <w:sz w:val="18"/>
          <w:szCs w:val="18"/>
        </w:rPr>
        <w:t>0.60%</w:t>
      </w:r>
      <w:r w:rsidRPr="00F614F9">
        <w:rPr>
          <w:rFonts w:ascii="Times New Roman" w:hAnsi="Times New Roman" w:cs="Times New Roman" w:hint="eastAsia"/>
          <w:sz w:val="18"/>
          <w:szCs w:val="18"/>
        </w:rPr>
        <w:t>、第三年</w:t>
      </w:r>
      <w:r w:rsidRPr="00F614F9">
        <w:rPr>
          <w:rFonts w:ascii="Times New Roman" w:hAnsi="Times New Roman" w:cs="Times New Roman" w:hint="eastAsia"/>
          <w:sz w:val="18"/>
          <w:szCs w:val="18"/>
        </w:rPr>
        <w:t>1.00%</w:t>
      </w:r>
      <w:r w:rsidRPr="00F614F9">
        <w:rPr>
          <w:rFonts w:ascii="Times New Roman" w:hAnsi="Times New Roman" w:cs="Times New Roman" w:hint="eastAsia"/>
          <w:sz w:val="18"/>
          <w:szCs w:val="18"/>
        </w:rPr>
        <w:t>、第四年</w:t>
      </w:r>
      <w:r w:rsidRPr="00F614F9">
        <w:rPr>
          <w:rFonts w:ascii="Times New Roman" w:hAnsi="Times New Roman" w:cs="Times New Roman" w:hint="eastAsia"/>
          <w:sz w:val="18"/>
          <w:szCs w:val="18"/>
        </w:rPr>
        <w:t>1.50%</w:t>
      </w:r>
      <w:r w:rsidRPr="00F614F9">
        <w:rPr>
          <w:rFonts w:ascii="Times New Roman" w:hAnsi="Times New Roman" w:cs="Times New Roman" w:hint="eastAsia"/>
          <w:sz w:val="18"/>
          <w:szCs w:val="18"/>
        </w:rPr>
        <w:t>、第五年</w:t>
      </w:r>
      <w:r w:rsidRPr="00F614F9">
        <w:rPr>
          <w:rFonts w:ascii="Times New Roman" w:hAnsi="Times New Roman" w:cs="Times New Roman" w:hint="eastAsia"/>
          <w:sz w:val="18"/>
          <w:szCs w:val="18"/>
        </w:rPr>
        <w:t>1.80%</w:t>
      </w:r>
      <w:r w:rsidRPr="00F614F9">
        <w:rPr>
          <w:rFonts w:ascii="Times New Roman" w:hAnsi="Times New Roman" w:cs="Times New Roman" w:hint="eastAsia"/>
          <w:sz w:val="18"/>
          <w:szCs w:val="18"/>
        </w:rPr>
        <w:t>、第六年</w:t>
      </w:r>
      <w:r w:rsidRPr="00F614F9">
        <w:rPr>
          <w:rFonts w:ascii="Times New Roman" w:hAnsi="Times New Roman" w:cs="Times New Roman" w:hint="eastAsia"/>
          <w:sz w:val="18"/>
          <w:szCs w:val="18"/>
        </w:rPr>
        <w:t>15.00%</w:t>
      </w:r>
      <w:r w:rsidRPr="00F614F9">
        <w:rPr>
          <w:rFonts w:ascii="Times New Roman" w:hAnsi="Times New Roman" w:cs="Times New Roman" w:hint="eastAsia"/>
          <w:sz w:val="18"/>
          <w:szCs w:val="18"/>
        </w:rPr>
        <w:t>，每年的付息日为本次发行的</w:t>
      </w:r>
      <w:proofErr w:type="gramStart"/>
      <w:r w:rsidRPr="00F614F9">
        <w:rPr>
          <w:rFonts w:ascii="Times New Roman" w:hAnsi="Times New Roman" w:cs="Times New Roman" w:hint="eastAsia"/>
          <w:sz w:val="18"/>
          <w:szCs w:val="18"/>
        </w:rPr>
        <w:t>可转债发行首</w:t>
      </w:r>
      <w:proofErr w:type="gramEnd"/>
      <w:r w:rsidRPr="00F614F9">
        <w:rPr>
          <w:rFonts w:ascii="Times New Roman" w:hAnsi="Times New Roman" w:cs="Times New Roman" w:hint="eastAsia"/>
          <w:sz w:val="18"/>
          <w:szCs w:val="18"/>
        </w:rPr>
        <w:t>日起每满一年的当日，如该日为法定节假日或休息日，则顺延至下一个交易日，顺延期间</w:t>
      </w:r>
      <w:proofErr w:type="gramStart"/>
      <w:r w:rsidRPr="00F614F9">
        <w:rPr>
          <w:rFonts w:ascii="Times New Roman" w:hAnsi="Times New Roman" w:cs="Times New Roman" w:hint="eastAsia"/>
          <w:sz w:val="18"/>
          <w:szCs w:val="18"/>
        </w:rPr>
        <w:t>不</w:t>
      </w:r>
      <w:proofErr w:type="gramEnd"/>
      <w:r w:rsidRPr="00F614F9">
        <w:rPr>
          <w:rFonts w:ascii="Times New Roman" w:hAnsi="Times New Roman" w:cs="Times New Roman" w:hint="eastAsia"/>
          <w:sz w:val="18"/>
          <w:szCs w:val="18"/>
        </w:rPr>
        <w:t>另付息。每相邻的两个付息日之间为一个计息年度。每年的付息债权登记日为每年付息日的前一交易日，公司将在每年付息日之后的五个交易日内支付当年利息，到期一次归还本金。</w:t>
      </w:r>
    </w:p>
    <w:p w14:paraId="381BB3F1" w14:textId="77777777" w:rsidR="00872599" w:rsidRPr="00F614F9" w:rsidRDefault="00000000" w:rsidP="00407C41">
      <w:pPr>
        <w:pStyle w:val="a3"/>
        <w:spacing w:before="0" w:beforeAutospacing="0" w:after="0" w:afterAutospacing="0" w:line="276" w:lineRule="auto"/>
        <w:ind w:firstLine="360"/>
        <w:jc w:val="both"/>
        <w:divId w:val="866018642"/>
        <w:rPr>
          <w:rFonts w:ascii="Times New Roman" w:hAnsi="Times New Roman" w:cs="Times New Roman"/>
          <w:sz w:val="21"/>
          <w:szCs w:val="21"/>
        </w:rPr>
      </w:pPr>
      <w:r w:rsidRPr="00F614F9">
        <w:rPr>
          <w:rFonts w:ascii="Times New Roman" w:hAnsi="Times New Roman" w:cs="Times New Roman" w:hint="eastAsia"/>
          <w:sz w:val="18"/>
          <w:szCs w:val="18"/>
        </w:rPr>
        <w:t>本次发行可转债的</w:t>
      </w:r>
      <w:proofErr w:type="gramStart"/>
      <w:r w:rsidRPr="00F614F9">
        <w:rPr>
          <w:rFonts w:ascii="Times New Roman" w:hAnsi="Times New Roman" w:cs="Times New Roman" w:hint="eastAsia"/>
          <w:sz w:val="18"/>
          <w:szCs w:val="18"/>
        </w:rPr>
        <w:t>初始转</w:t>
      </w:r>
      <w:proofErr w:type="gramEnd"/>
      <w:r w:rsidRPr="00F614F9">
        <w:rPr>
          <w:rFonts w:ascii="Times New Roman" w:hAnsi="Times New Roman" w:cs="Times New Roman" w:hint="eastAsia"/>
          <w:sz w:val="18"/>
          <w:szCs w:val="18"/>
        </w:rPr>
        <w:t>股价格为</w:t>
      </w:r>
      <w:r w:rsidRPr="00F614F9">
        <w:rPr>
          <w:rFonts w:ascii="Times New Roman" w:hAnsi="Times New Roman" w:cs="Times New Roman" w:hint="eastAsia"/>
          <w:sz w:val="18"/>
          <w:szCs w:val="18"/>
        </w:rPr>
        <w:t>9.56</w:t>
      </w:r>
      <w:r w:rsidRPr="00F614F9">
        <w:rPr>
          <w:rFonts w:ascii="Times New Roman" w:hAnsi="Times New Roman" w:cs="Times New Roman" w:hint="eastAsia"/>
          <w:sz w:val="18"/>
          <w:szCs w:val="18"/>
        </w:rPr>
        <w:t>元</w:t>
      </w:r>
      <w:r w:rsidRPr="00F614F9">
        <w:rPr>
          <w:rFonts w:ascii="Times New Roman" w:hAnsi="Times New Roman" w:cs="Times New Roman" w:hint="eastAsia"/>
          <w:sz w:val="18"/>
          <w:szCs w:val="18"/>
        </w:rPr>
        <w:t>/</w:t>
      </w:r>
      <w:r w:rsidRPr="00F614F9">
        <w:rPr>
          <w:rFonts w:ascii="Times New Roman" w:hAnsi="Times New Roman" w:cs="Times New Roman" w:hint="eastAsia"/>
          <w:sz w:val="18"/>
          <w:szCs w:val="18"/>
        </w:rPr>
        <w:t>股，在本次发行之后，当公司因派送股票股利、转增股本、增发新股或配股、派送现金股利等情况（不包括因本次发行的可转债转股而增加的股本）使公司股份发生变化时，将依次对转股价格进行相应调整。</w:t>
      </w:r>
    </w:p>
    <w:p w14:paraId="19D2EAFC" w14:textId="77777777" w:rsidR="00872599" w:rsidRPr="00F614F9" w:rsidRDefault="00000000" w:rsidP="00407C41">
      <w:pPr>
        <w:pStyle w:val="a3"/>
        <w:spacing w:before="0" w:beforeAutospacing="0" w:after="0" w:afterAutospacing="0" w:line="276" w:lineRule="auto"/>
        <w:ind w:left="50" w:firstLine="316"/>
        <w:jc w:val="both"/>
        <w:divId w:val="866018642"/>
        <w:rPr>
          <w:rFonts w:ascii="Times New Roman" w:hAnsi="Times New Roman" w:cs="Times New Roman"/>
          <w:sz w:val="21"/>
          <w:szCs w:val="21"/>
        </w:rPr>
      </w:pPr>
      <w:r w:rsidRPr="00F614F9">
        <w:rPr>
          <w:rFonts w:ascii="Times New Roman" w:hAnsi="Times New Roman" w:cs="Times New Roman" w:hint="eastAsia"/>
          <w:sz w:val="18"/>
          <w:szCs w:val="18"/>
        </w:rPr>
        <w:t>公司于</w:t>
      </w:r>
      <w:r w:rsidRPr="00F614F9">
        <w:rPr>
          <w:rFonts w:ascii="Times New Roman" w:hAnsi="Times New Roman" w:cs="Times New Roman" w:hint="eastAsia"/>
          <w:sz w:val="18"/>
          <w:szCs w:val="18"/>
        </w:rPr>
        <w:t>2020</w:t>
      </w:r>
      <w:r w:rsidRPr="00F614F9">
        <w:rPr>
          <w:rFonts w:ascii="Times New Roman" w:hAnsi="Times New Roman" w:cs="Times New Roman" w:hint="eastAsia"/>
          <w:sz w:val="18"/>
          <w:szCs w:val="18"/>
        </w:rPr>
        <w:t>年</w:t>
      </w:r>
      <w:r w:rsidRPr="00F614F9">
        <w:rPr>
          <w:rFonts w:ascii="Times New Roman" w:hAnsi="Times New Roman" w:cs="Times New Roman" w:hint="eastAsia"/>
          <w:sz w:val="18"/>
          <w:szCs w:val="18"/>
        </w:rPr>
        <w:t>12</w:t>
      </w:r>
      <w:r w:rsidRPr="00F614F9">
        <w:rPr>
          <w:rFonts w:ascii="Times New Roman" w:hAnsi="Times New Roman" w:cs="Times New Roman" w:hint="eastAsia"/>
          <w:sz w:val="18"/>
          <w:szCs w:val="18"/>
        </w:rPr>
        <w:t>月</w:t>
      </w:r>
      <w:r w:rsidRPr="00F614F9">
        <w:rPr>
          <w:rFonts w:ascii="Times New Roman" w:hAnsi="Times New Roman" w:cs="Times New Roman" w:hint="eastAsia"/>
          <w:sz w:val="18"/>
          <w:szCs w:val="18"/>
        </w:rPr>
        <w:t>11</w:t>
      </w:r>
      <w:r w:rsidRPr="00F614F9">
        <w:rPr>
          <w:rFonts w:ascii="Times New Roman" w:hAnsi="Times New Roman" w:cs="Times New Roman" w:hint="eastAsia"/>
          <w:sz w:val="18"/>
          <w:szCs w:val="18"/>
        </w:rPr>
        <w:t>日在中国证券登记结算有限责任公司深圳分公司办理完成了</w:t>
      </w:r>
      <w:r w:rsidRPr="00F614F9">
        <w:rPr>
          <w:rFonts w:ascii="Times New Roman" w:hAnsi="Times New Roman" w:cs="Times New Roman" w:hint="eastAsia"/>
          <w:sz w:val="18"/>
          <w:szCs w:val="18"/>
        </w:rPr>
        <w:t>3</w:t>
      </w:r>
      <w:r w:rsidRPr="00F614F9">
        <w:rPr>
          <w:rFonts w:ascii="Times New Roman" w:hAnsi="Times New Roman" w:cs="Times New Roman" w:hint="eastAsia"/>
          <w:sz w:val="18"/>
          <w:szCs w:val="18"/>
        </w:rPr>
        <w:t>名股权激励对象限制性股票的回购注销事宜，公司总股本由</w:t>
      </w:r>
      <w:r w:rsidRPr="00F614F9">
        <w:rPr>
          <w:rFonts w:ascii="Times New Roman" w:hAnsi="Times New Roman" w:cs="Times New Roman" w:hint="eastAsia"/>
          <w:sz w:val="18"/>
          <w:szCs w:val="18"/>
        </w:rPr>
        <w:t>998,288,980</w:t>
      </w:r>
      <w:r w:rsidRPr="00F614F9">
        <w:rPr>
          <w:rFonts w:ascii="Times New Roman" w:hAnsi="Times New Roman" w:cs="Times New Roman" w:hint="eastAsia"/>
          <w:sz w:val="18"/>
          <w:szCs w:val="18"/>
        </w:rPr>
        <w:t>股变更为</w:t>
      </w:r>
      <w:r w:rsidRPr="00F614F9">
        <w:rPr>
          <w:rFonts w:ascii="Times New Roman" w:hAnsi="Times New Roman" w:cs="Times New Roman" w:hint="eastAsia"/>
          <w:sz w:val="18"/>
          <w:szCs w:val="18"/>
        </w:rPr>
        <w:t>995,938,580</w:t>
      </w:r>
      <w:r w:rsidRPr="00F614F9">
        <w:rPr>
          <w:rFonts w:ascii="Times New Roman" w:hAnsi="Times New Roman" w:cs="Times New Roman" w:hint="eastAsia"/>
          <w:sz w:val="18"/>
          <w:szCs w:val="18"/>
        </w:rPr>
        <w:t>股，共计</w:t>
      </w:r>
      <w:r w:rsidRPr="00F614F9">
        <w:rPr>
          <w:rFonts w:ascii="Times New Roman" w:hAnsi="Times New Roman" w:cs="Times New Roman" w:hint="eastAsia"/>
          <w:sz w:val="18"/>
          <w:szCs w:val="18"/>
        </w:rPr>
        <w:t>2,350,400</w:t>
      </w:r>
      <w:r w:rsidRPr="00F614F9">
        <w:rPr>
          <w:rFonts w:ascii="Times New Roman" w:hAnsi="Times New Roman" w:cs="Times New Roman" w:hint="eastAsia"/>
          <w:sz w:val="18"/>
          <w:szCs w:val="18"/>
        </w:rPr>
        <w:t>股限制性股票回购注销完成。根据公司可转换公司债</w:t>
      </w:r>
      <w:proofErr w:type="gramStart"/>
      <w:r w:rsidRPr="00F614F9">
        <w:rPr>
          <w:rFonts w:ascii="Times New Roman" w:hAnsi="Times New Roman" w:cs="Times New Roman" w:hint="eastAsia"/>
          <w:sz w:val="18"/>
          <w:szCs w:val="18"/>
        </w:rPr>
        <w:t>券</w:t>
      </w:r>
      <w:proofErr w:type="gramEnd"/>
      <w:r w:rsidRPr="00F614F9">
        <w:rPr>
          <w:rFonts w:ascii="Times New Roman" w:hAnsi="Times New Roman" w:cs="Times New Roman" w:hint="eastAsia"/>
          <w:sz w:val="18"/>
          <w:szCs w:val="18"/>
        </w:rPr>
        <w:t>转股价格调整的相关条款，“龙大转债”的转</w:t>
      </w:r>
      <w:proofErr w:type="gramStart"/>
      <w:r w:rsidRPr="00F614F9">
        <w:rPr>
          <w:rFonts w:ascii="Times New Roman" w:hAnsi="Times New Roman" w:cs="Times New Roman" w:hint="eastAsia"/>
          <w:sz w:val="18"/>
          <w:szCs w:val="18"/>
        </w:rPr>
        <w:t>股价格作相应</w:t>
      </w:r>
      <w:proofErr w:type="gramEnd"/>
      <w:r w:rsidRPr="00F614F9">
        <w:rPr>
          <w:rFonts w:ascii="Times New Roman" w:hAnsi="Times New Roman" w:cs="Times New Roman" w:hint="eastAsia"/>
          <w:sz w:val="18"/>
          <w:szCs w:val="18"/>
        </w:rPr>
        <w:t>调整：调整前“龙大转债”转股价格为</w:t>
      </w:r>
      <w:r w:rsidRPr="00F614F9">
        <w:rPr>
          <w:rFonts w:ascii="Times New Roman" w:hAnsi="Times New Roman" w:cs="Times New Roman" w:hint="eastAsia"/>
          <w:sz w:val="18"/>
          <w:szCs w:val="18"/>
        </w:rPr>
        <w:t>9.56</w:t>
      </w:r>
      <w:r w:rsidRPr="00F614F9">
        <w:rPr>
          <w:rFonts w:ascii="Times New Roman" w:hAnsi="Times New Roman" w:cs="Times New Roman" w:hint="eastAsia"/>
          <w:sz w:val="18"/>
          <w:szCs w:val="18"/>
        </w:rPr>
        <w:t>元</w:t>
      </w:r>
      <w:r w:rsidRPr="00F614F9">
        <w:rPr>
          <w:rFonts w:ascii="Times New Roman" w:hAnsi="Times New Roman" w:cs="Times New Roman" w:hint="eastAsia"/>
          <w:sz w:val="18"/>
          <w:szCs w:val="18"/>
        </w:rPr>
        <w:t>/</w:t>
      </w:r>
      <w:r w:rsidRPr="00F614F9">
        <w:rPr>
          <w:rFonts w:ascii="Times New Roman" w:hAnsi="Times New Roman" w:cs="Times New Roman" w:hint="eastAsia"/>
          <w:sz w:val="18"/>
          <w:szCs w:val="18"/>
        </w:rPr>
        <w:t>股，调整后转股价格为</w:t>
      </w:r>
      <w:r w:rsidRPr="00F614F9">
        <w:rPr>
          <w:rFonts w:ascii="Times New Roman" w:hAnsi="Times New Roman" w:cs="Times New Roman" w:hint="eastAsia"/>
          <w:sz w:val="18"/>
          <w:szCs w:val="18"/>
        </w:rPr>
        <w:t>9.57</w:t>
      </w:r>
      <w:r w:rsidRPr="00F614F9">
        <w:rPr>
          <w:rFonts w:ascii="Times New Roman" w:hAnsi="Times New Roman" w:cs="Times New Roman" w:hint="eastAsia"/>
          <w:sz w:val="18"/>
          <w:szCs w:val="18"/>
        </w:rPr>
        <w:t>元</w:t>
      </w:r>
      <w:r w:rsidRPr="00F614F9">
        <w:rPr>
          <w:rFonts w:ascii="Times New Roman" w:hAnsi="Times New Roman" w:cs="Times New Roman" w:hint="eastAsia"/>
          <w:sz w:val="18"/>
          <w:szCs w:val="18"/>
        </w:rPr>
        <w:t>/</w:t>
      </w:r>
      <w:r w:rsidRPr="00F614F9">
        <w:rPr>
          <w:rFonts w:ascii="Times New Roman" w:hAnsi="Times New Roman" w:cs="Times New Roman" w:hint="eastAsia"/>
          <w:sz w:val="18"/>
          <w:szCs w:val="18"/>
        </w:rPr>
        <w:t>股。调整后的转股价格自</w:t>
      </w:r>
      <w:r w:rsidRPr="00F614F9">
        <w:rPr>
          <w:rFonts w:ascii="Times New Roman" w:hAnsi="Times New Roman" w:cs="Times New Roman" w:hint="eastAsia"/>
          <w:sz w:val="18"/>
          <w:szCs w:val="18"/>
        </w:rPr>
        <w:t>2020</w:t>
      </w:r>
      <w:r w:rsidRPr="00F614F9">
        <w:rPr>
          <w:rFonts w:ascii="Times New Roman" w:hAnsi="Times New Roman" w:cs="Times New Roman" w:hint="eastAsia"/>
          <w:sz w:val="18"/>
          <w:szCs w:val="18"/>
        </w:rPr>
        <w:t>年</w:t>
      </w:r>
      <w:r w:rsidRPr="00F614F9">
        <w:rPr>
          <w:rFonts w:ascii="Times New Roman" w:hAnsi="Times New Roman" w:cs="Times New Roman" w:hint="eastAsia"/>
          <w:sz w:val="18"/>
          <w:szCs w:val="18"/>
        </w:rPr>
        <w:t>12</w:t>
      </w:r>
      <w:r w:rsidRPr="00F614F9">
        <w:rPr>
          <w:rFonts w:ascii="Times New Roman" w:hAnsi="Times New Roman" w:cs="Times New Roman" w:hint="eastAsia"/>
          <w:sz w:val="18"/>
          <w:szCs w:val="18"/>
        </w:rPr>
        <w:t>月</w:t>
      </w:r>
      <w:r w:rsidRPr="00F614F9">
        <w:rPr>
          <w:rFonts w:ascii="Times New Roman" w:hAnsi="Times New Roman" w:cs="Times New Roman" w:hint="eastAsia"/>
          <w:sz w:val="18"/>
          <w:szCs w:val="18"/>
        </w:rPr>
        <w:t>14</w:t>
      </w:r>
      <w:r w:rsidRPr="00F614F9">
        <w:rPr>
          <w:rFonts w:ascii="Times New Roman" w:hAnsi="Times New Roman" w:cs="Times New Roman" w:hint="eastAsia"/>
          <w:sz w:val="18"/>
          <w:szCs w:val="18"/>
        </w:rPr>
        <w:t>日起生效。</w:t>
      </w:r>
    </w:p>
    <w:p w14:paraId="4B8D957F" w14:textId="77777777" w:rsidR="00872599" w:rsidRPr="00F614F9" w:rsidRDefault="00000000" w:rsidP="00407C41">
      <w:pPr>
        <w:pStyle w:val="a3"/>
        <w:spacing w:before="0" w:beforeAutospacing="0" w:after="0" w:afterAutospacing="0" w:line="276" w:lineRule="auto"/>
        <w:ind w:left="50" w:firstLine="316"/>
        <w:jc w:val="both"/>
        <w:divId w:val="866018642"/>
        <w:rPr>
          <w:rFonts w:ascii="Times New Roman" w:hAnsi="Times New Roman" w:cs="Times New Roman"/>
          <w:sz w:val="21"/>
          <w:szCs w:val="21"/>
        </w:rPr>
      </w:pPr>
      <w:r w:rsidRPr="00F614F9">
        <w:rPr>
          <w:rFonts w:ascii="Times New Roman" w:hAnsi="Times New Roman" w:cs="Times New Roman" w:hint="eastAsia"/>
          <w:sz w:val="18"/>
          <w:szCs w:val="18"/>
        </w:rPr>
        <w:t>2021</w:t>
      </w:r>
      <w:r w:rsidRPr="00F614F9">
        <w:rPr>
          <w:rFonts w:ascii="Times New Roman" w:hAnsi="Times New Roman" w:cs="Times New Roman" w:hint="eastAsia"/>
          <w:sz w:val="18"/>
          <w:szCs w:val="18"/>
        </w:rPr>
        <w:t>年</w:t>
      </w:r>
      <w:r w:rsidRPr="00F614F9">
        <w:rPr>
          <w:rFonts w:ascii="Times New Roman" w:hAnsi="Times New Roman" w:cs="Times New Roman" w:hint="eastAsia"/>
          <w:sz w:val="18"/>
          <w:szCs w:val="18"/>
        </w:rPr>
        <w:t>4</w:t>
      </w:r>
      <w:r w:rsidRPr="00F614F9">
        <w:rPr>
          <w:rFonts w:ascii="Times New Roman" w:hAnsi="Times New Roman" w:cs="Times New Roman" w:hint="eastAsia"/>
          <w:sz w:val="18"/>
          <w:szCs w:val="18"/>
        </w:rPr>
        <w:t>月</w:t>
      </w:r>
      <w:r w:rsidRPr="00F614F9">
        <w:rPr>
          <w:rFonts w:ascii="Times New Roman" w:hAnsi="Times New Roman" w:cs="Times New Roman" w:hint="eastAsia"/>
          <w:sz w:val="18"/>
          <w:szCs w:val="18"/>
        </w:rPr>
        <w:t>30</w:t>
      </w:r>
      <w:r w:rsidRPr="00F614F9">
        <w:rPr>
          <w:rFonts w:ascii="Times New Roman" w:hAnsi="Times New Roman" w:cs="Times New Roman" w:hint="eastAsia"/>
          <w:sz w:val="18"/>
          <w:szCs w:val="18"/>
        </w:rPr>
        <w:t>日，公司实施完成了</w:t>
      </w:r>
      <w:r w:rsidRPr="00F614F9">
        <w:rPr>
          <w:rFonts w:ascii="Times New Roman" w:hAnsi="Times New Roman" w:cs="Times New Roman" w:hint="eastAsia"/>
          <w:sz w:val="18"/>
          <w:szCs w:val="18"/>
        </w:rPr>
        <w:t>2020</w:t>
      </w:r>
      <w:r w:rsidRPr="00F614F9">
        <w:rPr>
          <w:rFonts w:ascii="Times New Roman" w:hAnsi="Times New Roman" w:cs="Times New Roman" w:hint="eastAsia"/>
          <w:sz w:val="18"/>
          <w:szCs w:val="18"/>
        </w:rPr>
        <w:t>年度权益分派方案。根据公司可转换公司债</w:t>
      </w:r>
      <w:proofErr w:type="gramStart"/>
      <w:r w:rsidRPr="00F614F9">
        <w:rPr>
          <w:rFonts w:ascii="Times New Roman" w:hAnsi="Times New Roman" w:cs="Times New Roman" w:hint="eastAsia"/>
          <w:sz w:val="18"/>
          <w:szCs w:val="18"/>
        </w:rPr>
        <w:t>券</w:t>
      </w:r>
      <w:proofErr w:type="gramEnd"/>
      <w:r w:rsidRPr="00F614F9">
        <w:rPr>
          <w:rFonts w:ascii="Times New Roman" w:hAnsi="Times New Roman" w:cs="Times New Roman" w:hint="eastAsia"/>
          <w:sz w:val="18"/>
          <w:szCs w:val="18"/>
        </w:rPr>
        <w:t>转股价格调整的相关条款，“龙大转债”的转股价格由</w:t>
      </w:r>
      <w:r w:rsidRPr="00F614F9">
        <w:rPr>
          <w:rFonts w:ascii="Times New Roman" w:hAnsi="Times New Roman" w:cs="Times New Roman" w:hint="eastAsia"/>
          <w:sz w:val="18"/>
          <w:szCs w:val="18"/>
        </w:rPr>
        <w:t>9.57</w:t>
      </w:r>
      <w:r w:rsidRPr="00F614F9">
        <w:rPr>
          <w:rFonts w:ascii="Times New Roman" w:hAnsi="Times New Roman" w:cs="Times New Roman" w:hint="eastAsia"/>
          <w:sz w:val="18"/>
          <w:szCs w:val="18"/>
        </w:rPr>
        <w:t>元</w:t>
      </w:r>
      <w:r w:rsidRPr="00F614F9">
        <w:rPr>
          <w:rFonts w:ascii="Times New Roman" w:hAnsi="Times New Roman" w:cs="Times New Roman" w:hint="eastAsia"/>
          <w:sz w:val="18"/>
          <w:szCs w:val="18"/>
        </w:rPr>
        <w:t>/</w:t>
      </w:r>
      <w:r w:rsidRPr="00F614F9">
        <w:rPr>
          <w:rFonts w:ascii="Times New Roman" w:hAnsi="Times New Roman" w:cs="Times New Roman" w:hint="eastAsia"/>
          <w:sz w:val="18"/>
          <w:szCs w:val="18"/>
        </w:rPr>
        <w:t>股调整为</w:t>
      </w:r>
      <w:r w:rsidRPr="00F614F9">
        <w:rPr>
          <w:rFonts w:ascii="Times New Roman" w:hAnsi="Times New Roman" w:cs="Times New Roman" w:hint="eastAsia"/>
          <w:sz w:val="18"/>
          <w:szCs w:val="18"/>
        </w:rPr>
        <w:t>9.38</w:t>
      </w:r>
      <w:r w:rsidRPr="00F614F9">
        <w:rPr>
          <w:rFonts w:ascii="Times New Roman" w:hAnsi="Times New Roman" w:cs="Times New Roman" w:hint="eastAsia"/>
          <w:sz w:val="18"/>
          <w:szCs w:val="18"/>
        </w:rPr>
        <w:t>元</w:t>
      </w:r>
      <w:r w:rsidRPr="00F614F9">
        <w:rPr>
          <w:rFonts w:ascii="Times New Roman" w:hAnsi="Times New Roman" w:cs="Times New Roman" w:hint="eastAsia"/>
          <w:sz w:val="18"/>
          <w:szCs w:val="18"/>
        </w:rPr>
        <w:t>/</w:t>
      </w:r>
      <w:r w:rsidRPr="00F614F9">
        <w:rPr>
          <w:rFonts w:ascii="Times New Roman" w:hAnsi="Times New Roman" w:cs="Times New Roman" w:hint="eastAsia"/>
          <w:sz w:val="18"/>
          <w:szCs w:val="18"/>
        </w:rPr>
        <w:t>股。调整后的转股价格自</w:t>
      </w:r>
      <w:r w:rsidRPr="00F614F9">
        <w:rPr>
          <w:rFonts w:ascii="Times New Roman" w:hAnsi="Times New Roman" w:cs="Times New Roman" w:hint="eastAsia"/>
          <w:sz w:val="18"/>
          <w:szCs w:val="18"/>
        </w:rPr>
        <w:t>2021</w:t>
      </w:r>
      <w:r w:rsidRPr="00F614F9">
        <w:rPr>
          <w:rFonts w:ascii="Times New Roman" w:hAnsi="Times New Roman" w:cs="Times New Roman" w:hint="eastAsia"/>
          <w:sz w:val="18"/>
          <w:szCs w:val="18"/>
        </w:rPr>
        <w:t>年</w:t>
      </w:r>
      <w:r w:rsidRPr="00F614F9">
        <w:rPr>
          <w:rFonts w:ascii="Times New Roman" w:hAnsi="Times New Roman" w:cs="Times New Roman" w:hint="eastAsia"/>
          <w:sz w:val="18"/>
          <w:szCs w:val="18"/>
        </w:rPr>
        <w:t>4</w:t>
      </w:r>
      <w:r w:rsidRPr="00F614F9">
        <w:rPr>
          <w:rFonts w:ascii="Times New Roman" w:hAnsi="Times New Roman" w:cs="Times New Roman" w:hint="eastAsia"/>
          <w:sz w:val="18"/>
          <w:szCs w:val="18"/>
        </w:rPr>
        <w:t>月</w:t>
      </w:r>
      <w:r w:rsidRPr="00F614F9">
        <w:rPr>
          <w:rFonts w:ascii="Times New Roman" w:hAnsi="Times New Roman" w:cs="Times New Roman" w:hint="eastAsia"/>
          <w:sz w:val="18"/>
          <w:szCs w:val="18"/>
        </w:rPr>
        <w:t>30</w:t>
      </w:r>
      <w:r w:rsidRPr="00F614F9">
        <w:rPr>
          <w:rFonts w:ascii="Times New Roman" w:hAnsi="Times New Roman" w:cs="Times New Roman" w:hint="eastAsia"/>
          <w:sz w:val="18"/>
          <w:szCs w:val="18"/>
        </w:rPr>
        <w:t>日起生效。</w:t>
      </w:r>
    </w:p>
    <w:p w14:paraId="11ACFBB6" w14:textId="77777777" w:rsidR="00872599" w:rsidRPr="00F614F9" w:rsidRDefault="00000000" w:rsidP="00407C41">
      <w:pPr>
        <w:pStyle w:val="a3"/>
        <w:spacing w:before="0" w:beforeAutospacing="0" w:after="0" w:afterAutospacing="0" w:line="276" w:lineRule="auto"/>
        <w:ind w:firstLine="360"/>
        <w:jc w:val="both"/>
        <w:divId w:val="866018642"/>
        <w:rPr>
          <w:rFonts w:ascii="Times New Roman" w:hAnsi="Times New Roman" w:cs="Times New Roman"/>
          <w:sz w:val="21"/>
          <w:szCs w:val="21"/>
        </w:rPr>
      </w:pPr>
      <w:r w:rsidRPr="00F614F9">
        <w:rPr>
          <w:rFonts w:ascii="Times New Roman" w:hAnsi="Times New Roman" w:cs="Times New Roman" w:hint="eastAsia"/>
          <w:sz w:val="18"/>
          <w:szCs w:val="18"/>
        </w:rPr>
        <w:t>自前次转股价格调整日</w:t>
      </w:r>
      <w:r w:rsidRPr="00F614F9">
        <w:rPr>
          <w:rFonts w:ascii="Times New Roman" w:hAnsi="Times New Roman" w:cs="Times New Roman" w:hint="eastAsia"/>
          <w:sz w:val="18"/>
          <w:szCs w:val="18"/>
        </w:rPr>
        <w:t>2021</w:t>
      </w:r>
      <w:r w:rsidRPr="00F614F9">
        <w:rPr>
          <w:rFonts w:ascii="Times New Roman" w:hAnsi="Times New Roman" w:cs="Times New Roman" w:hint="eastAsia"/>
          <w:sz w:val="18"/>
          <w:szCs w:val="18"/>
        </w:rPr>
        <w:t>年</w:t>
      </w:r>
      <w:r w:rsidRPr="00F614F9">
        <w:rPr>
          <w:rFonts w:ascii="Times New Roman" w:hAnsi="Times New Roman" w:cs="Times New Roman" w:hint="eastAsia"/>
          <w:sz w:val="18"/>
          <w:szCs w:val="18"/>
        </w:rPr>
        <w:t>4</w:t>
      </w:r>
      <w:r w:rsidRPr="00F614F9">
        <w:rPr>
          <w:rFonts w:ascii="Times New Roman" w:hAnsi="Times New Roman" w:cs="Times New Roman" w:hint="eastAsia"/>
          <w:sz w:val="18"/>
          <w:szCs w:val="18"/>
        </w:rPr>
        <w:t>月</w:t>
      </w:r>
      <w:r w:rsidRPr="00F614F9">
        <w:rPr>
          <w:rFonts w:ascii="Times New Roman" w:hAnsi="Times New Roman" w:cs="Times New Roman" w:hint="eastAsia"/>
          <w:sz w:val="18"/>
          <w:szCs w:val="18"/>
        </w:rPr>
        <w:t>30</w:t>
      </w:r>
      <w:r w:rsidRPr="00F614F9">
        <w:rPr>
          <w:rFonts w:ascii="Times New Roman" w:hAnsi="Times New Roman" w:cs="Times New Roman" w:hint="eastAsia"/>
          <w:sz w:val="18"/>
          <w:szCs w:val="18"/>
        </w:rPr>
        <w:t>日起至</w:t>
      </w:r>
      <w:r w:rsidRPr="00F614F9">
        <w:rPr>
          <w:rFonts w:ascii="Times New Roman" w:hAnsi="Times New Roman" w:cs="Times New Roman" w:hint="eastAsia"/>
          <w:sz w:val="18"/>
          <w:szCs w:val="18"/>
        </w:rPr>
        <w:t>2021</w:t>
      </w:r>
      <w:r w:rsidRPr="00F614F9">
        <w:rPr>
          <w:rFonts w:ascii="Times New Roman" w:hAnsi="Times New Roman" w:cs="Times New Roman" w:hint="eastAsia"/>
          <w:sz w:val="18"/>
          <w:szCs w:val="18"/>
        </w:rPr>
        <w:t>年</w:t>
      </w:r>
      <w:r w:rsidRPr="00F614F9">
        <w:rPr>
          <w:rFonts w:ascii="Times New Roman" w:hAnsi="Times New Roman" w:cs="Times New Roman" w:hint="eastAsia"/>
          <w:sz w:val="18"/>
          <w:szCs w:val="18"/>
        </w:rPr>
        <w:t>8</w:t>
      </w:r>
      <w:r w:rsidRPr="00F614F9">
        <w:rPr>
          <w:rFonts w:ascii="Times New Roman" w:hAnsi="Times New Roman" w:cs="Times New Roman" w:hint="eastAsia"/>
          <w:sz w:val="18"/>
          <w:szCs w:val="18"/>
        </w:rPr>
        <w:t>月</w:t>
      </w:r>
      <w:r w:rsidRPr="00F614F9">
        <w:rPr>
          <w:rFonts w:ascii="Times New Roman" w:hAnsi="Times New Roman" w:cs="Times New Roman" w:hint="eastAsia"/>
          <w:sz w:val="18"/>
          <w:szCs w:val="18"/>
        </w:rPr>
        <w:t>2</w:t>
      </w:r>
      <w:r w:rsidRPr="00F614F9">
        <w:rPr>
          <w:rFonts w:ascii="Times New Roman" w:hAnsi="Times New Roman" w:cs="Times New Roman" w:hint="eastAsia"/>
          <w:sz w:val="18"/>
          <w:szCs w:val="18"/>
        </w:rPr>
        <w:t>日，公司总股本因激励对象自主行权以及公司非公开发行股票上市成功发生变化，根据公司可转换公司债</w:t>
      </w:r>
      <w:proofErr w:type="gramStart"/>
      <w:r w:rsidRPr="00F614F9">
        <w:rPr>
          <w:rFonts w:ascii="Times New Roman" w:hAnsi="Times New Roman" w:cs="Times New Roman" w:hint="eastAsia"/>
          <w:sz w:val="18"/>
          <w:szCs w:val="18"/>
        </w:rPr>
        <w:t>券</w:t>
      </w:r>
      <w:proofErr w:type="gramEnd"/>
      <w:r w:rsidRPr="00F614F9">
        <w:rPr>
          <w:rFonts w:ascii="Times New Roman" w:hAnsi="Times New Roman" w:cs="Times New Roman" w:hint="eastAsia"/>
          <w:sz w:val="18"/>
          <w:szCs w:val="18"/>
        </w:rPr>
        <w:t>转股价格调整的相关条款，“龙大转债”的转股价由</w:t>
      </w:r>
      <w:r w:rsidRPr="00F614F9">
        <w:rPr>
          <w:rFonts w:ascii="Times New Roman" w:hAnsi="Times New Roman" w:cs="Times New Roman" w:hint="eastAsia"/>
          <w:sz w:val="18"/>
          <w:szCs w:val="18"/>
        </w:rPr>
        <w:t>9.38</w:t>
      </w:r>
      <w:r w:rsidRPr="00F614F9">
        <w:rPr>
          <w:rFonts w:ascii="Times New Roman" w:hAnsi="Times New Roman" w:cs="Times New Roman" w:hint="eastAsia"/>
          <w:sz w:val="18"/>
          <w:szCs w:val="18"/>
        </w:rPr>
        <w:t>元</w:t>
      </w:r>
      <w:r w:rsidRPr="00F614F9">
        <w:rPr>
          <w:rFonts w:ascii="Times New Roman" w:hAnsi="Times New Roman" w:cs="Times New Roman" w:hint="eastAsia"/>
          <w:sz w:val="18"/>
          <w:szCs w:val="18"/>
        </w:rPr>
        <w:t>/</w:t>
      </w:r>
      <w:r w:rsidRPr="00F614F9">
        <w:rPr>
          <w:rFonts w:ascii="Times New Roman" w:hAnsi="Times New Roman" w:cs="Times New Roman" w:hint="eastAsia"/>
          <w:sz w:val="18"/>
          <w:szCs w:val="18"/>
        </w:rPr>
        <w:t>股调整为</w:t>
      </w:r>
      <w:r w:rsidRPr="00F614F9">
        <w:rPr>
          <w:rFonts w:ascii="Times New Roman" w:hAnsi="Times New Roman" w:cs="Times New Roman" w:hint="eastAsia"/>
          <w:sz w:val="18"/>
          <w:szCs w:val="18"/>
        </w:rPr>
        <w:t>9.29</w:t>
      </w:r>
      <w:r w:rsidRPr="00F614F9">
        <w:rPr>
          <w:rFonts w:ascii="Times New Roman" w:hAnsi="Times New Roman" w:cs="Times New Roman" w:hint="eastAsia"/>
          <w:sz w:val="18"/>
          <w:szCs w:val="18"/>
        </w:rPr>
        <w:t>元</w:t>
      </w:r>
      <w:r w:rsidRPr="00F614F9">
        <w:rPr>
          <w:rFonts w:ascii="Times New Roman" w:hAnsi="Times New Roman" w:cs="Times New Roman" w:hint="eastAsia"/>
          <w:sz w:val="18"/>
          <w:szCs w:val="18"/>
        </w:rPr>
        <w:t>/</w:t>
      </w:r>
      <w:r w:rsidRPr="00F614F9">
        <w:rPr>
          <w:rFonts w:ascii="Times New Roman" w:hAnsi="Times New Roman" w:cs="Times New Roman" w:hint="eastAsia"/>
          <w:sz w:val="18"/>
          <w:szCs w:val="18"/>
        </w:rPr>
        <w:t>股。调整后的转股价格自</w:t>
      </w:r>
      <w:r w:rsidRPr="00F614F9">
        <w:rPr>
          <w:rFonts w:ascii="Times New Roman" w:hAnsi="Times New Roman" w:cs="Times New Roman" w:hint="eastAsia"/>
          <w:sz w:val="18"/>
          <w:szCs w:val="18"/>
        </w:rPr>
        <w:t>2021</w:t>
      </w:r>
      <w:r w:rsidRPr="00F614F9">
        <w:rPr>
          <w:rFonts w:ascii="Times New Roman" w:hAnsi="Times New Roman" w:cs="Times New Roman" w:hint="eastAsia"/>
          <w:sz w:val="18"/>
          <w:szCs w:val="18"/>
        </w:rPr>
        <w:t>年</w:t>
      </w:r>
      <w:r w:rsidRPr="00F614F9">
        <w:rPr>
          <w:rFonts w:ascii="Times New Roman" w:hAnsi="Times New Roman" w:cs="Times New Roman" w:hint="eastAsia"/>
          <w:sz w:val="18"/>
          <w:szCs w:val="18"/>
        </w:rPr>
        <w:t>8</w:t>
      </w:r>
      <w:r w:rsidRPr="00F614F9">
        <w:rPr>
          <w:rFonts w:ascii="Times New Roman" w:hAnsi="Times New Roman" w:cs="Times New Roman" w:hint="eastAsia"/>
          <w:sz w:val="18"/>
          <w:szCs w:val="18"/>
        </w:rPr>
        <w:t>月</w:t>
      </w:r>
      <w:r w:rsidRPr="00F614F9">
        <w:rPr>
          <w:rFonts w:ascii="Times New Roman" w:hAnsi="Times New Roman" w:cs="Times New Roman" w:hint="eastAsia"/>
          <w:sz w:val="18"/>
          <w:szCs w:val="18"/>
        </w:rPr>
        <w:t>12</w:t>
      </w:r>
      <w:r w:rsidRPr="00F614F9">
        <w:rPr>
          <w:rFonts w:ascii="Times New Roman" w:hAnsi="Times New Roman" w:cs="Times New Roman" w:hint="eastAsia"/>
          <w:sz w:val="18"/>
          <w:szCs w:val="18"/>
        </w:rPr>
        <w:t>日起生效。</w:t>
      </w:r>
    </w:p>
    <w:p w14:paraId="34412F0A" w14:textId="77777777" w:rsidR="00872599" w:rsidRPr="00F614F9" w:rsidRDefault="00000000" w:rsidP="00407C41">
      <w:pPr>
        <w:pStyle w:val="a3"/>
        <w:spacing w:before="0" w:beforeAutospacing="0" w:after="0" w:afterAutospacing="0" w:line="276" w:lineRule="auto"/>
        <w:ind w:firstLine="360"/>
        <w:jc w:val="both"/>
        <w:divId w:val="866018642"/>
        <w:rPr>
          <w:rFonts w:ascii="Times New Roman" w:hAnsi="Times New Roman" w:cs="Times New Roman"/>
          <w:sz w:val="21"/>
          <w:szCs w:val="21"/>
        </w:rPr>
      </w:pPr>
      <w:r w:rsidRPr="00F614F9">
        <w:rPr>
          <w:rFonts w:ascii="Times New Roman" w:hAnsi="Times New Roman" w:cs="Times New Roman" w:hint="eastAsia"/>
          <w:sz w:val="18"/>
          <w:szCs w:val="18"/>
        </w:rPr>
        <w:t>2022</w:t>
      </w:r>
      <w:r w:rsidRPr="00F614F9">
        <w:rPr>
          <w:rFonts w:ascii="Times New Roman" w:hAnsi="Times New Roman" w:cs="Times New Roman" w:hint="eastAsia"/>
          <w:sz w:val="18"/>
          <w:szCs w:val="18"/>
        </w:rPr>
        <w:t>年</w:t>
      </w:r>
      <w:r w:rsidRPr="00F614F9">
        <w:rPr>
          <w:rFonts w:ascii="Times New Roman" w:hAnsi="Times New Roman" w:cs="Times New Roman" w:hint="eastAsia"/>
          <w:sz w:val="18"/>
          <w:szCs w:val="18"/>
        </w:rPr>
        <w:t>3</w:t>
      </w:r>
      <w:r w:rsidRPr="00F614F9">
        <w:rPr>
          <w:rFonts w:ascii="Times New Roman" w:hAnsi="Times New Roman" w:cs="Times New Roman" w:hint="eastAsia"/>
          <w:sz w:val="18"/>
          <w:szCs w:val="18"/>
        </w:rPr>
        <w:t>月</w:t>
      </w:r>
      <w:r w:rsidRPr="00F614F9">
        <w:rPr>
          <w:rFonts w:ascii="Times New Roman" w:hAnsi="Times New Roman" w:cs="Times New Roman" w:hint="eastAsia"/>
          <w:sz w:val="18"/>
          <w:szCs w:val="18"/>
        </w:rPr>
        <w:t>31</w:t>
      </w:r>
      <w:r w:rsidRPr="00F614F9">
        <w:rPr>
          <w:rFonts w:ascii="Times New Roman" w:hAnsi="Times New Roman" w:cs="Times New Roman" w:hint="eastAsia"/>
          <w:sz w:val="18"/>
          <w:szCs w:val="18"/>
        </w:rPr>
        <w:t>日，因公司</w:t>
      </w:r>
      <w:r w:rsidRPr="00F614F9">
        <w:rPr>
          <w:rFonts w:ascii="Times New Roman" w:hAnsi="Times New Roman" w:cs="Times New Roman" w:hint="eastAsia"/>
          <w:sz w:val="18"/>
          <w:szCs w:val="18"/>
        </w:rPr>
        <w:t>2019</w:t>
      </w:r>
      <w:r w:rsidRPr="00F614F9">
        <w:rPr>
          <w:rFonts w:ascii="Times New Roman" w:hAnsi="Times New Roman" w:cs="Times New Roman" w:hint="eastAsia"/>
          <w:sz w:val="18"/>
          <w:szCs w:val="18"/>
        </w:rPr>
        <w:t>年股票期权与限制性股票激励计划第一个、第二个行权期行权及公司限制性股票回购注销，公司对可转换债券当期转股价格进行调整，修正后的转股价格为</w:t>
      </w:r>
      <w:r w:rsidRPr="00F614F9">
        <w:rPr>
          <w:rFonts w:ascii="Times New Roman" w:hAnsi="Times New Roman" w:cs="Times New Roman" w:hint="eastAsia"/>
          <w:sz w:val="18"/>
          <w:szCs w:val="18"/>
        </w:rPr>
        <w:t>9.28</w:t>
      </w:r>
      <w:r w:rsidRPr="00F614F9">
        <w:rPr>
          <w:rFonts w:ascii="Times New Roman" w:hAnsi="Times New Roman" w:cs="Times New Roman" w:hint="eastAsia"/>
          <w:sz w:val="18"/>
          <w:szCs w:val="18"/>
        </w:rPr>
        <w:t>元</w:t>
      </w:r>
      <w:r w:rsidRPr="00F614F9">
        <w:rPr>
          <w:rFonts w:ascii="Times New Roman" w:hAnsi="Times New Roman" w:cs="Times New Roman" w:hint="eastAsia"/>
          <w:sz w:val="18"/>
          <w:szCs w:val="18"/>
        </w:rPr>
        <w:t>/</w:t>
      </w:r>
      <w:r w:rsidRPr="00F614F9">
        <w:rPr>
          <w:rFonts w:ascii="Times New Roman" w:hAnsi="Times New Roman" w:cs="Times New Roman" w:hint="eastAsia"/>
          <w:sz w:val="18"/>
          <w:szCs w:val="18"/>
        </w:rPr>
        <w:t>股。</w:t>
      </w:r>
    </w:p>
    <w:p w14:paraId="43B655C5" w14:textId="77777777" w:rsidR="00872599" w:rsidRPr="00F614F9" w:rsidRDefault="00000000" w:rsidP="00407C41">
      <w:pPr>
        <w:pStyle w:val="a3"/>
        <w:spacing w:before="0" w:beforeAutospacing="0" w:after="0" w:afterAutospacing="0" w:line="276" w:lineRule="auto"/>
        <w:ind w:firstLine="360"/>
        <w:jc w:val="both"/>
        <w:divId w:val="866018642"/>
        <w:rPr>
          <w:rFonts w:ascii="Times New Roman" w:hAnsi="Times New Roman" w:cs="Times New Roman"/>
          <w:sz w:val="21"/>
          <w:szCs w:val="21"/>
        </w:rPr>
      </w:pPr>
      <w:r w:rsidRPr="00F614F9">
        <w:rPr>
          <w:rFonts w:ascii="Times New Roman" w:hAnsi="Times New Roman" w:cs="Times New Roman" w:hint="eastAsia"/>
          <w:sz w:val="18"/>
          <w:szCs w:val="18"/>
        </w:rPr>
        <w:t>2022</w:t>
      </w:r>
      <w:r w:rsidRPr="00F614F9">
        <w:rPr>
          <w:rFonts w:ascii="Times New Roman" w:hAnsi="Times New Roman" w:cs="Times New Roman" w:hint="eastAsia"/>
          <w:sz w:val="18"/>
          <w:szCs w:val="18"/>
        </w:rPr>
        <w:t>年</w:t>
      </w:r>
      <w:r w:rsidRPr="00F614F9">
        <w:rPr>
          <w:rFonts w:ascii="Times New Roman" w:hAnsi="Times New Roman" w:cs="Times New Roman" w:hint="eastAsia"/>
          <w:sz w:val="18"/>
          <w:szCs w:val="18"/>
        </w:rPr>
        <w:t>8</w:t>
      </w:r>
      <w:r w:rsidRPr="00F614F9">
        <w:rPr>
          <w:rFonts w:ascii="Times New Roman" w:hAnsi="Times New Roman" w:cs="Times New Roman" w:hint="eastAsia"/>
          <w:sz w:val="18"/>
          <w:szCs w:val="18"/>
        </w:rPr>
        <w:t>月</w:t>
      </w:r>
      <w:r w:rsidRPr="00F614F9">
        <w:rPr>
          <w:rFonts w:ascii="Times New Roman" w:hAnsi="Times New Roman" w:cs="Times New Roman" w:hint="eastAsia"/>
          <w:sz w:val="18"/>
          <w:szCs w:val="18"/>
        </w:rPr>
        <w:t>19</w:t>
      </w:r>
      <w:r w:rsidRPr="00F614F9">
        <w:rPr>
          <w:rFonts w:ascii="Times New Roman" w:hAnsi="Times New Roman" w:cs="Times New Roman" w:hint="eastAsia"/>
          <w:sz w:val="18"/>
          <w:szCs w:val="18"/>
        </w:rPr>
        <w:t>日，因公司</w:t>
      </w:r>
      <w:r w:rsidRPr="00F614F9">
        <w:rPr>
          <w:rFonts w:ascii="Times New Roman" w:hAnsi="Times New Roman" w:cs="Times New Roman" w:hint="eastAsia"/>
          <w:sz w:val="18"/>
          <w:szCs w:val="18"/>
        </w:rPr>
        <w:t>2019</w:t>
      </w:r>
      <w:r w:rsidRPr="00F614F9">
        <w:rPr>
          <w:rFonts w:ascii="Times New Roman" w:hAnsi="Times New Roman" w:cs="Times New Roman" w:hint="eastAsia"/>
          <w:sz w:val="18"/>
          <w:szCs w:val="18"/>
        </w:rPr>
        <w:t>年股票期权与限制性股票激励计划第二个行权期行权及公司限制性股票回购注销，公司对可转换债券当期转股价格进行调整，修正后的转股价格为</w:t>
      </w:r>
      <w:r w:rsidRPr="00F614F9">
        <w:rPr>
          <w:rFonts w:ascii="Times New Roman" w:hAnsi="Times New Roman" w:cs="Times New Roman" w:hint="eastAsia"/>
          <w:sz w:val="18"/>
          <w:szCs w:val="18"/>
        </w:rPr>
        <w:t>9.30</w:t>
      </w:r>
      <w:r w:rsidRPr="00F614F9">
        <w:rPr>
          <w:rFonts w:ascii="Times New Roman" w:hAnsi="Times New Roman" w:cs="Times New Roman" w:hint="eastAsia"/>
          <w:sz w:val="18"/>
          <w:szCs w:val="18"/>
        </w:rPr>
        <w:t>元</w:t>
      </w:r>
      <w:r w:rsidRPr="00F614F9">
        <w:rPr>
          <w:rFonts w:ascii="Times New Roman" w:hAnsi="Times New Roman" w:cs="Times New Roman" w:hint="eastAsia"/>
          <w:sz w:val="18"/>
          <w:szCs w:val="18"/>
        </w:rPr>
        <w:t>/</w:t>
      </w:r>
      <w:r w:rsidRPr="00F614F9">
        <w:rPr>
          <w:rFonts w:ascii="Times New Roman" w:hAnsi="Times New Roman" w:cs="Times New Roman" w:hint="eastAsia"/>
          <w:sz w:val="18"/>
          <w:szCs w:val="18"/>
        </w:rPr>
        <w:t>股。</w:t>
      </w:r>
    </w:p>
    <w:p w14:paraId="450536D1" w14:textId="77777777" w:rsidR="00872599" w:rsidRPr="00F614F9" w:rsidRDefault="00000000" w:rsidP="00407C41">
      <w:pPr>
        <w:pStyle w:val="a3"/>
        <w:spacing w:before="0" w:beforeAutospacing="0" w:after="0" w:afterAutospacing="0" w:line="276" w:lineRule="auto"/>
        <w:ind w:firstLine="360"/>
        <w:jc w:val="both"/>
        <w:divId w:val="866018642"/>
        <w:rPr>
          <w:rFonts w:ascii="Times New Roman" w:hAnsi="Times New Roman" w:cs="Times New Roman"/>
          <w:sz w:val="21"/>
          <w:szCs w:val="21"/>
        </w:rPr>
      </w:pPr>
      <w:r w:rsidRPr="00F614F9">
        <w:rPr>
          <w:rFonts w:ascii="Times New Roman" w:hAnsi="Times New Roman" w:cs="Times New Roman" w:hint="eastAsia"/>
          <w:sz w:val="18"/>
          <w:szCs w:val="18"/>
        </w:rPr>
        <w:t>本次可转债转股期自可转债发行结束之日满六个月后的第一个交易日起至可转债到期日止，即</w:t>
      </w:r>
      <w:r w:rsidRPr="00F614F9">
        <w:rPr>
          <w:rFonts w:ascii="Times New Roman" w:hAnsi="Times New Roman" w:cs="Times New Roman" w:hint="eastAsia"/>
          <w:sz w:val="18"/>
          <w:szCs w:val="18"/>
        </w:rPr>
        <w:t>2021</w:t>
      </w:r>
      <w:r w:rsidRPr="00F614F9">
        <w:rPr>
          <w:rFonts w:ascii="Times New Roman" w:hAnsi="Times New Roman" w:cs="Times New Roman" w:hint="eastAsia"/>
          <w:sz w:val="18"/>
          <w:szCs w:val="18"/>
        </w:rPr>
        <w:t>年</w:t>
      </w:r>
      <w:r w:rsidRPr="00F614F9">
        <w:rPr>
          <w:rFonts w:ascii="Times New Roman" w:hAnsi="Times New Roman" w:cs="Times New Roman" w:hint="eastAsia"/>
          <w:sz w:val="18"/>
          <w:szCs w:val="18"/>
        </w:rPr>
        <w:t>1</w:t>
      </w:r>
      <w:r w:rsidRPr="00F614F9">
        <w:rPr>
          <w:rFonts w:ascii="Times New Roman" w:hAnsi="Times New Roman" w:cs="Times New Roman" w:hint="eastAsia"/>
          <w:sz w:val="18"/>
          <w:szCs w:val="18"/>
        </w:rPr>
        <w:t>月</w:t>
      </w:r>
      <w:r w:rsidRPr="00F614F9">
        <w:rPr>
          <w:rFonts w:ascii="Times New Roman" w:hAnsi="Times New Roman" w:cs="Times New Roman" w:hint="eastAsia"/>
          <w:sz w:val="18"/>
          <w:szCs w:val="18"/>
        </w:rPr>
        <w:t>13</w:t>
      </w:r>
      <w:r w:rsidRPr="00F614F9">
        <w:rPr>
          <w:rFonts w:ascii="Times New Roman" w:hAnsi="Times New Roman" w:cs="Times New Roman" w:hint="eastAsia"/>
          <w:sz w:val="18"/>
          <w:szCs w:val="18"/>
        </w:rPr>
        <w:t>日至</w:t>
      </w:r>
      <w:r w:rsidRPr="00F614F9">
        <w:rPr>
          <w:rFonts w:ascii="Times New Roman" w:hAnsi="Times New Roman" w:cs="Times New Roman" w:hint="eastAsia"/>
          <w:sz w:val="18"/>
          <w:szCs w:val="18"/>
        </w:rPr>
        <w:t>2026</w:t>
      </w:r>
      <w:r w:rsidRPr="00F614F9">
        <w:rPr>
          <w:rFonts w:ascii="Times New Roman" w:hAnsi="Times New Roman" w:cs="Times New Roman" w:hint="eastAsia"/>
          <w:sz w:val="18"/>
          <w:szCs w:val="18"/>
        </w:rPr>
        <w:t>年</w:t>
      </w:r>
      <w:r w:rsidRPr="00F614F9">
        <w:rPr>
          <w:rFonts w:ascii="Times New Roman" w:hAnsi="Times New Roman" w:cs="Times New Roman" w:hint="eastAsia"/>
          <w:sz w:val="18"/>
          <w:szCs w:val="18"/>
        </w:rPr>
        <w:t>7</w:t>
      </w:r>
      <w:r w:rsidRPr="00F614F9">
        <w:rPr>
          <w:rFonts w:ascii="Times New Roman" w:hAnsi="Times New Roman" w:cs="Times New Roman" w:hint="eastAsia"/>
          <w:sz w:val="18"/>
          <w:szCs w:val="18"/>
        </w:rPr>
        <w:t>月</w:t>
      </w:r>
      <w:r w:rsidRPr="00F614F9">
        <w:rPr>
          <w:rFonts w:ascii="Times New Roman" w:hAnsi="Times New Roman" w:cs="Times New Roman" w:hint="eastAsia"/>
          <w:sz w:val="18"/>
          <w:szCs w:val="18"/>
        </w:rPr>
        <w:t>12</w:t>
      </w:r>
      <w:r w:rsidRPr="00F614F9">
        <w:rPr>
          <w:rFonts w:ascii="Times New Roman" w:hAnsi="Times New Roman" w:cs="Times New Roman" w:hint="eastAsia"/>
          <w:sz w:val="18"/>
          <w:szCs w:val="18"/>
        </w:rPr>
        <w:t>日。</w:t>
      </w:r>
    </w:p>
    <w:p w14:paraId="7414B801"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55" w:name="_Toc989291"/>
      <w:r w:rsidRPr="00F614F9">
        <w:rPr>
          <w:rFonts w:ascii="Times New Roman" w:eastAsia="宋体" w:hAnsi="Times New Roman" w:cs="宋体"/>
          <w:b/>
          <w:bCs/>
          <w:szCs w:val="21"/>
        </w:rPr>
        <w:t>（</w:t>
      </w:r>
      <w:r w:rsidRPr="00F614F9">
        <w:rPr>
          <w:rFonts w:ascii="Times New Roman" w:eastAsia="宋体" w:hAnsi="Times New Roman" w:cs="宋体"/>
          <w:b/>
          <w:bCs/>
          <w:szCs w:val="21"/>
        </w:rPr>
        <w:t>4</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划分为金融负债的其他金融工具说明</w:t>
      </w:r>
      <w:bookmarkEnd w:id="455"/>
    </w:p>
    <w:p w14:paraId="59E3F48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期末发行在外的优先股、永续债等其他金融工具基本情况</w:t>
      </w:r>
    </w:p>
    <w:p w14:paraId="1928A3C1" w14:textId="77777777" w:rsidR="00872599" w:rsidRPr="00F614F9" w:rsidRDefault="00000000">
      <w:pPr>
        <w:pStyle w:val="a3"/>
        <w:divId w:val="1727215841"/>
        <w:rPr>
          <w:rFonts w:ascii="Times New Roman" w:hAnsi="Times New Roman"/>
          <w:sz w:val="18"/>
          <w:szCs w:val="18"/>
        </w:rPr>
      </w:pPr>
      <w:r w:rsidRPr="00F614F9">
        <w:rPr>
          <w:rFonts w:ascii="Times New Roman" w:hAnsi="Times New Roman" w:hint="eastAsia"/>
          <w:sz w:val="18"/>
          <w:szCs w:val="18"/>
        </w:rPr>
        <w:t>无</w:t>
      </w:r>
    </w:p>
    <w:p w14:paraId="471EEC3E"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期末发行在外的优先股、永续债等金融工具变动情况表</w:t>
      </w:r>
    </w:p>
    <w:p w14:paraId="0859EB28" w14:textId="77777777" w:rsidR="00872599" w:rsidRPr="00F614F9" w:rsidRDefault="00000000">
      <w:pPr>
        <w:pStyle w:val="a3"/>
        <w:divId w:val="885222559"/>
        <w:rPr>
          <w:rFonts w:ascii="Times New Roman" w:hAnsi="Times New Roman"/>
          <w:sz w:val="18"/>
          <w:szCs w:val="18"/>
        </w:rPr>
      </w:pPr>
      <w:r w:rsidRPr="00F614F9">
        <w:rPr>
          <w:rFonts w:ascii="Times New Roman" w:hAnsi="Times New Roman" w:hint="eastAsia"/>
          <w:sz w:val="18"/>
          <w:szCs w:val="18"/>
        </w:rPr>
        <w:t>无</w:t>
      </w:r>
    </w:p>
    <w:p w14:paraId="7C9F0ED5"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7D08EF25" w14:textId="77777777" w:rsidR="00872599" w:rsidRPr="00F614F9" w:rsidRDefault="00000000">
      <w:pPr>
        <w:pStyle w:val="a3"/>
        <w:divId w:val="479735108"/>
        <w:rPr>
          <w:rFonts w:ascii="Times New Roman" w:hAnsi="Times New Roman"/>
          <w:sz w:val="18"/>
          <w:szCs w:val="18"/>
        </w:rPr>
      </w:pPr>
      <w:r w:rsidRPr="00F614F9">
        <w:rPr>
          <w:rFonts w:ascii="Times New Roman" w:hAnsi="Times New Roman" w:hint="eastAsia"/>
          <w:sz w:val="18"/>
          <w:szCs w:val="18"/>
        </w:rPr>
        <w:t>无</w:t>
      </w:r>
    </w:p>
    <w:p w14:paraId="5ACB62B0" w14:textId="77777777" w:rsidR="001D26E7" w:rsidRPr="00F614F9" w:rsidRDefault="00000000">
      <w:pPr>
        <w:pStyle w:val="3"/>
        <w:spacing w:line="280" w:lineRule="exact"/>
        <w:jc w:val="left"/>
        <w:rPr>
          <w:rFonts w:ascii="Times New Roman" w:hAnsi="Times New Roman" w:cs="宋体"/>
          <w:b/>
          <w:bCs/>
        </w:rPr>
      </w:pPr>
      <w:bookmarkStart w:id="456" w:name="_Toc989292"/>
      <w:r w:rsidRPr="00F614F9">
        <w:rPr>
          <w:rFonts w:ascii="Times New Roman" w:hAnsi="Times New Roman" w:cs="宋体"/>
          <w:b/>
          <w:bCs/>
        </w:rPr>
        <w:t>47</w:t>
      </w:r>
      <w:r w:rsidRPr="00F614F9">
        <w:rPr>
          <w:rFonts w:ascii="Times New Roman" w:hAnsi="Times New Roman" w:cs="宋体"/>
          <w:b/>
          <w:bCs/>
        </w:rPr>
        <w:t>、租赁负债</w:t>
      </w:r>
      <w:bookmarkEnd w:id="456"/>
    </w:p>
    <w:p w14:paraId="4795EAB4"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4A7CB4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59E36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7551A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CAB48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362E8AB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D15219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房屋及建筑物</w:t>
            </w:r>
          </w:p>
        </w:tc>
        <w:tc>
          <w:tcPr>
            <w:tcW w:w="3213" w:type="dxa"/>
            <w:tcBorders>
              <w:top w:val="single" w:sz="2" w:space="0" w:color="auto"/>
              <w:left w:val="single" w:sz="2" w:space="0" w:color="auto"/>
              <w:bottom w:val="single" w:sz="2" w:space="0" w:color="auto"/>
              <w:right w:val="single" w:sz="2" w:space="0" w:color="auto"/>
            </w:tcBorders>
            <w:vAlign w:val="center"/>
          </w:tcPr>
          <w:p w14:paraId="1EB715F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17,095,489.75</w:t>
            </w:r>
          </w:p>
        </w:tc>
        <w:tc>
          <w:tcPr>
            <w:tcW w:w="3213" w:type="dxa"/>
            <w:tcBorders>
              <w:top w:val="single" w:sz="2" w:space="0" w:color="auto"/>
              <w:left w:val="single" w:sz="2" w:space="0" w:color="auto"/>
              <w:bottom w:val="single" w:sz="2" w:space="0" w:color="auto"/>
              <w:right w:val="single" w:sz="2" w:space="0" w:color="auto"/>
            </w:tcBorders>
            <w:vAlign w:val="center"/>
          </w:tcPr>
          <w:p w14:paraId="70D1A83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25,761,767.57</w:t>
            </w:r>
          </w:p>
        </w:tc>
      </w:tr>
      <w:tr w:rsidR="001D26E7" w:rsidRPr="00F614F9" w14:paraId="62DCEF0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28C4E6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土地</w:t>
            </w:r>
          </w:p>
        </w:tc>
        <w:tc>
          <w:tcPr>
            <w:tcW w:w="3213" w:type="dxa"/>
            <w:tcBorders>
              <w:top w:val="single" w:sz="2" w:space="0" w:color="auto"/>
              <w:left w:val="single" w:sz="2" w:space="0" w:color="auto"/>
              <w:bottom w:val="single" w:sz="2" w:space="0" w:color="auto"/>
              <w:right w:val="single" w:sz="2" w:space="0" w:color="auto"/>
            </w:tcBorders>
            <w:vAlign w:val="center"/>
          </w:tcPr>
          <w:p w14:paraId="4BA8503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34,374,172.92</w:t>
            </w:r>
          </w:p>
        </w:tc>
        <w:tc>
          <w:tcPr>
            <w:tcW w:w="3213" w:type="dxa"/>
            <w:tcBorders>
              <w:top w:val="single" w:sz="2" w:space="0" w:color="auto"/>
              <w:left w:val="single" w:sz="2" w:space="0" w:color="auto"/>
              <w:bottom w:val="single" w:sz="2" w:space="0" w:color="auto"/>
              <w:right w:val="single" w:sz="2" w:space="0" w:color="auto"/>
            </w:tcBorders>
            <w:vAlign w:val="center"/>
          </w:tcPr>
          <w:p w14:paraId="1319E11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42,776,748.52</w:t>
            </w:r>
          </w:p>
        </w:tc>
      </w:tr>
      <w:tr w:rsidR="001D26E7" w:rsidRPr="00F614F9" w14:paraId="2B7652B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0CB61F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减：一年内到期的租赁负债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257A534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-6,273,586.22</w:t>
            </w:r>
          </w:p>
        </w:tc>
        <w:tc>
          <w:tcPr>
            <w:tcW w:w="3213" w:type="dxa"/>
            <w:tcBorders>
              <w:top w:val="single" w:sz="2" w:space="0" w:color="auto"/>
              <w:left w:val="single" w:sz="2" w:space="0" w:color="auto"/>
              <w:bottom w:val="single" w:sz="2" w:space="0" w:color="auto"/>
              <w:right w:val="single" w:sz="2" w:space="0" w:color="auto"/>
            </w:tcBorders>
            <w:vAlign w:val="center"/>
          </w:tcPr>
          <w:p w14:paraId="60DA22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-10,463,132.73</w:t>
            </w:r>
          </w:p>
        </w:tc>
      </w:tr>
      <w:tr w:rsidR="001D26E7" w:rsidRPr="00F614F9" w14:paraId="248C756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50F9F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E91983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45,196,076.45</w:t>
            </w:r>
          </w:p>
        </w:tc>
        <w:tc>
          <w:tcPr>
            <w:tcW w:w="3213" w:type="dxa"/>
            <w:tcBorders>
              <w:top w:val="single" w:sz="2" w:space="0" w:color="auto"/>
              <w:left w:val="single" w:sz="2" w:space="0" w:color="auto"/>
              <w:bottom w:val="single" w:sz="2" w:space="0" w:color="auto"/>
              <w:right w:val="single" w:sz="2" w:space="0" w:color="auto"/>
            </w:tcBorders>
            <w:vAlign w:val="center"/>
          </w:tcPr>
          <w:p w14:paraId="72899E5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58,075,383.36</w:t>
            </w:r>
          </w:p>
        </w:tc>
      </w:tr>
    </w:tbl>
    <w:p w14:paraId="3B81C05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7BBBEEF0" w14:textId="77777777" w:rsidR="00872599" w:rsidRPr="00F614F9" w:rsidRDefault="00000000">
      <w:pPr>
        <w:pStyle w:val="a3"/>
        <w:divId w:val="1269191338"/>
        <w:rPr>
          <w:rFonts w:ascii="Times New Roman" w:hAnsi="Times New Roman"/>
          <w:sz w:val="18"/>
          <w:szCs w:val="18"/>
        </w:rPr>
      </w:pPr>
      <w:r w:rsidRPr="00F614F9">
        <w:rPr>
          <w:rFonts w:ascii="Times New Roman" w:hAnsi="Times New Roman" w:hint="eastAsia"/>
          <w:sz w:val="18"/>
          <w:szCs w:val="18"/>
        </w:rPr>
        <w:t>无</w:t>
      </w:r>
    </w:p>
    <w:p w14:paraId="73CA75A1" w14:textId="77777777" w:rsidR="001D26E7" w:rsidRPr="00F614F9" w:rsidRDefault="00000000">
      <w:pPr>
        <w:pStyle w:val="3"/>
        <w:spacing w:line="280" w:lineRule="exact"/>
        <w:jc w:val="left"/>
        <w:rPr>
          <w:rFonts w:ascii="Times New Roman" w:hAnsi="Times New Roman" w:cs="宋体"/>
          <w:b/>
          <w:bCs/>
        </w:rPr>
      </w:pPr>
      <w:bookmarkStart w:id="457" w:name="_Toc989293"/>
      <w:r w:rsidRPr="00F614F9">
        <w:rPr>
          <w:rFonts w:ascii="Times New Roman" w:hAnsi="Times New Roman" w:cs="宋体"/>
          <w:b/>
          <w:bCs/>
        </w:rPr>
        <w:t>48</w:t>
      </w:r>
      <w:r w:rsidRPr="00F614F9">
        <w:rPr>
          <w:rFonts w:ascii="Times New Roman" w:hAnsi="Times New Roman" w:cs="宋体"/>
          <w:b/>
          <w:bCs/>
        </w:rPr>
        <w:t>、长期应付款</w:t>
      </w:r>
      <w:bookmarkEnd w:id="457"/>
    </w:p>
    <w:p w14:paraId="390F98DA"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1BEE91F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67A44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173E9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CA1E0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3DB464E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61822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79CABD1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5,370,867.01</w:t>
            </w:r>
          </w:p>
        </w:tc>
        <w:tc>
          <w:tcPr>
            <w:tcW w:w="3213" w:type="dxa"/>
            <w:tcBorders>
              <w:top w:val="single" w:sz="2" w:space="0" w:color="auto"/>
              <w:left w:val="single" w:sz="2" w:space="0" w:color="auto"/>
              <w:bottom w:val="single" w:sz="2" w:space="0" w:color="auto"/>
              <w:right w:val="single" w:sz="2" w:space="0" w:color="auto"/>
            </w:tcBorders>
            <w:vAlign w:val="center"/>
          </w:tcPr>
          <w:p w14:paraId="71C56B5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2,791,007.44</w:t>
            </w:r>
          </w:p>
        </w:tc>
      </w:tr>
      <w:tr w:rsidR="001D26E7" w:rsidRPr="00F614F9" w14:paraId="2FFE23F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8F48C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FE8053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5,370,867.01</w:t>
            </w:r>
          </w:p>
        </w:tc>
        <w:tc>
          <w:tcPr>
            <w:tcW w:w="3213" w:type="dxa"/>
            <w:tcBorders>
              <w:top w:val="single" w:sz="2" w:space="0" w:color="auto"/>
              <w:left w:val="single" w:sz="2" w:space="0" w:color="auto"/>
              <w:bottom w:val="single" w:sz="2" w:space="0" w:color="auto"/>
              <w:right w:val="single" w:sz="2" w:space="0" w:color="auto"/>
            </w:tcBorders>
            <w:vAlign w:val="center"/>
          </w:tcPr>
          <w:p w14:paraId="731CB95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2,791,007.44</w:t>
            </w:r>
          </w:p>
        </w:tc>
      </w:tr>
    </w:tbl>
    <w:p w14:paraId="43B62514"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458" w:name="_Toc989294"/>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按款项性质列示长期应付款</w:t>
      </w:r>
      <w:bookmarkEnd w:id="458"/>
    </w:p>
    <w:p w14:paraId="3DB93726"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5D55D3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85803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9404B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8682D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114DE3E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09E248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应付融资租赁款</w:t>
            </w:r>
          </w:p>
        </w:tc>
        <w:tc>
          <w:tcPr>
            <w:tcW w:w="3213" w:type="dxa"/>
            <w:tcBorders>
              <w:top w:val="single" w:sz="2" w:space="0" w:color="auto"/>
              <w:left w:val="single" w:sz="2" w:space="0" w:color="auto"/>
              <w:bottom w:val="single" w:sz="2" w:space="0" w:color="auto"/>
              <w:right w:val="single" w:sz="2" w:space="0" w:color="auto"/>
            </w:tcBorders>
            <w:vAlign w:val="center"/>
          </w:tcPr>
          <w:p w14:paraId="0DECB7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38,031,633.12</w:t>
            </w:r>
          </w:p>
        </w:tc>
        <w:tc>
          <w:tcPr>
            <w:tcW w:w="3213" w:type="dxa"/>
            <w:tcBorders>
              <w:top w:val="single" w:sz="2" w:space="0" w:color="auto"/>
              <w:left w:val="single" w:sz="2" w:space="0" w:color="auto"/>
              <w:bottom w:val="single" w:sz="2" w:space="0" w:color="auto"/>
              <w:right w:val="single" w:sz="2" w:space="0" w:color="auto"/>
            </w:tcBorders>
            <w:vAlign w:val="center"/>
          </w:tcPr>
          <w:p w14:paraId="4D50014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6,885,293.06</w:t>
            </w:r>
          </w:p>
        </w:tc>
      </w:tr>
      <w:tr w:rsidR="001D26E7" w:rsidRPr="00F614F9" w14:paraId="1F062C9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42DBA7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减：一年内到期部分</w:t>
            </w:r>
          </w:p>
        </w:tc>
        <w:tc>
          <w:tcPr>
            <w:tcW w:w="3213" w:type="dxa"/>
            <w:tcBorders>
              <w:top w:val="single" w:sz="2" w:space="0" w:color="auto"/>
              <w:left w:val="single" w:sz="2" w:space="0" w:color="auto"/>
              <w:bottom w:val="single" w:sz="2" w:space="0" w:color="auto"/>
              <w:right w:val="single" w:sz="2" w:space="0" w:color="auto"/>
            </w:tcBorders>
            <w:vAlign w:val="center"/>
          </w:tcPr>
          <w:p w14:paraId="19581A8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32,660,766.11</w:t>
            </w:r>
          </w:p>
        </w:tc>
        <w:tc>
          <w:tcPr>
            <w:tcW w:w="3213" w:type="dxa"/>
            <w:tcBorders>
              <w:top w:val="single" w:sz="2" w:space="0" w:color="auto"/>
              <w:left w:val="single" w:sz="2" w:space="0" w:color="auto"/>
              <w:bottom w:val="single" w:sz="2" w:space="0" w:color="auto"/>
              <w:right w:val="single" w:sz="2" w:space="0" w:color="auto"/>
            </w:tcBorders>
            <w:vAlign w:val="center"/>
          </w:tcPr>
          <w:p w14:paraId="63FDE9F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4,094,285.62</w:t>
            </w:r>
          </w:p>
        </w:tc>
      </w:tr>
      <w:tr w:rsidR="001D26E7" w:rsidRPr="00F614F9" w14:paraId="3631863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AE9274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D94656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5,370,867.01</w:t>
            </w:r>
          </w:p>
        </w:tc>
        <w:tc>
          <w:tcPr>
            <w:tcW w:w="3213" w:type="dxa"/>
            <w:tcBorders>
              <w:top w:val="single" w:sz="2" w:space="0" w:color="auto"/>
              <w:left w:val="single" w:sz="2" w:space="0" w:color="auto"/>
              <w:bottom w:val="single" w:sz="2" w:space="0" w:color="auto"/>
              <w:right w:val="single" w:sz="2" w:space="0" w:color="auto"/>
            </w:tcBorders>
            <w:vAlign w:val="center"/>
          </w:tcPr>
          <w:p w14:paraId="7103B48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2,791,007.44</w:t>
            </w:r>
          </w:p>
        </w:tc>
      </w:tr>
    </w:tbl>
    <w:p w14:paraId="24F6F0D5"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3081D0BB" w14:textId="77777777" w:rsidR="00872599" w:rsidRPr="00F614F9" w:rsidRDefault="00000000">
      <w:pPr>
        <w:pStyle w:val="a3"/>
        <w:divId w:val="210312050"/>
        <w:rPr>
          <w:rFonts w:ascii="Times New Roman" w:hAnsi="Times New Roman"/>
          <w:sz w:val="18"/>
          <w:szCs w:val="18"/>
        </w:rPr>
      </w:pPr>
      <w:r w:rsidRPr="00F614F9">
        <w:rPr>
          <w:rFonts w:ascii="Times New Roman" w:hAnsi="Times New Roman" w:hint="eastAsia"/>
          <w:sz w:val="18"/>
          <w:szCs w:val="18"/>
        </w:rPr>
        <w:t>无</w:t>
      </w:r>
    </w:p>
    <w:p w14:paraId="7F3155FE"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459" w:name="_Toc989295"/>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2</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专项应付款</w:t>
      </w:r>
      <w:bookmarkEnd w:id="459"/>
    </w:p>
    <w:p w14:paraId="22BCFD17"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1D26E7" w:rsidRPr="00F614F9" w14:paraId="34E82602"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746331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B23147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BD4A63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本期增加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7F88FF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本期减少</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5B82C0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57F04C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形成原因</w:t>
            </w:r>
          </w:p>
        </w:tc>
      </w:tr>
    </w:tbl>
    <w:p w14:paraId="4906E60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28B38970" w14:textId="77777777" w:rsidR="00872599" w:rsidRPr="00F614F9" w:rsidRDefault="00000000">
      <w:pPr>
        <w:pStyle w:val="a3"/>
        <w:divId w:val="1663125128"/>
        <w:rPr>
          <w:rFonts w:ascii="Times New Roman" w:hAnsi="Times New Roman"/>
          <w:sz w:val="18"/>
          <w:szCs w:val="18"/>
        </w:rPr>
      </w:pPr>
      <w:r w:rsidRPr="00F614F9">
        <w:rPr>
          <w:rFonts w:ascii="Times New Roman" w:hAnsi="Times New Roman" w:hint="eastAsia"/>
          <w:sz w:val="18"/>
          <w:szCs w:val="18"/>
        </w:rPr>
        <w:t>无</w:t>
      </w:r>
    </w:p>
    <w:p w14:paraId="0AAC60F0" w14:textId="77777777" w:rsidR="001D26E7" w:rsidRPr="00F614F9" w:rsidRDefault="00000000">
      <w:pPr>
        <w:pStyle w:val="3"/>
        <w:spacing w:line="280" w:lineRule="exact"/>
        <w:jc w:val="left"/>
        <w:rPr>
          <w:rFonts w:ascii="Times New Roman" w:hAnsi="Times New Roman" w:cs="宋体"/>
          <w:b/>
          <w:bCs/>
        </w:rPr>
      </w:pPr>
      <w:bookmarkStart w:id="460" w:name="_Toc989296"/>
      <w:r w:rsidRPr="00F614F9">
        <w:rPr>
          <w:rFonts w:ascii="Times New Roman" w:hAnsi="Times New Roman" w:cs="宋体"/>
          <w:b/>
          <w:bCs/>
        </w:rPr>
        <w:t>49</w:t>
      </w:r>
      <w:r w:rsidRPr="00F614F9">
        <w:rPr>
          <w:rFonts w:ascii="Times New Roman" w:hAnsi="Times New Roman" w:cs="宋体"/>
          <w:b/>
          <w:bCs/>
        </w:rPr>
        <w:t>、长期应付职工薪</w:t>
      </w:r>
      <w:proofErr w:type="gramStart"/>
      <w:r w:rsidRPr="00F614F9">
        <w:rPr>
          <w:rFonts w:ascii="Times New Roman" w:hAnsi="Times New Roman" w:cs="宋体"/>
          <w:b/>
          <w:bCs/>
        </w:rPr>
        <w:t>酬</w:t>
      </w:r>
      <w:bookmarkEnd w:id="460"/>
      <w:proofErr w:type="gramEnd"/>
    </w:p>
    <w:p w14:paraId="120F8319" w14:textId="77777777" w:rsidR="001D26E7" w:rsidRPr="00F614F9" w:rsidRDefault="00407C41">
      <w:pPr>
        <w:rPr>
          <w:rFonts w:ascii="Times New Roman" w:hAnsi="Times New Roman"/>
        </w:rPr>
      </w:pPr>
      <w:r w:rsidRPr="00F614F9">
        <w:rPr>
          <w:rFonts w:ascii="Times New Roman" w:hAnsi="Times New Roman" w:hint="eastAsia"/>
        </w:rPr>
        <w:t>无</w:t>
      </w:r>
    </w:p>
    <w:p w14:paraId="78251A7D" w14:textId="77777777" w:rsidR="001D26E7" w:rsidRPr="00F614F9" w:rsidRDefault="00000000">
      <w:pPr>
        <w:pStyle w:val="3"/>
        <w:spacing w:line="280" w:lineRule="exact"/>
        <w:jc w:val="left"/>
        <w:rPr>
          <w:rFonts w:ascii="Times New Roman" w:hAnsi="Times New Roman" w:cs="宋体"/>
          <w:b/>
          <w:bCs/>
        </w:rPr>
      </w:pPr>
      <w:bookmarkStart w:id="461" w:name="_Toc989299"/>
      <w:r w:rsidRPr="00F614F9">
        <w:rPr>
          <w:rFonts w:ascii="Times New Roman" w:hAnsi="Times New Roman" w:cs="宋体"/>
          <w:b/>
          <w:bCs/>
        </w:rPr>
        <w:t>50</w:t>
      </w:r>
      <w:r w:rsidRPr="00F614F9">
        <w:rPr>
          <w:rFonts w:ascii="Times New Roman" w:hAnsi="Times New Roman" w:cs="宋体"/>
          <w:b/>
          <w:bCs/>
        </w:rPr>
        <w:t>、预计负债</w:t>
      </w:r>
      <w:bookmarkEnd w:id="461"/>
    </w:p>
    <w:p w14:paraId="42762765" w14:textId="77777777" w:rsidR="00872599" w:rsidRPr="00F614F9" w:rsidRDefault="00000000">
      <w:pPr>
        <w:pStyle w:val="a3"/>
        <w:divId w:val="1043215941"/>
        <w:rPr>
          <w:rFonts w:ascii="Times New Roman" w:hAnsi="Times New Roman"/>
          <w:sz w:val="18"/>
          <w:szCs w:val="18"/>
        </w:rPr>
      </w:pPr>
      <w:r w:rsidRPr="00F614F9">
        <w:rPr>
          <w:rFonts w:ascii="Times New Roman" w:hAnsi="Times New Roman" w:hint="eastAsia"/>
          <w:sz w:val="18"/>
          <w:szCs w:val="18"/>
        </w:rPr>
        <w:t>无</w:t>
      </w:r>
    </w:p>
    <w:p w14:paraId="49D21C71" w14:textId="77777777" w:rsidR="001D26E7" w:rsidRPr="00F614F9" w:rsidRDefault="00000000">
      <w:pPr>
        <w:pStyle w:val="3"/>
        <w:spacing w:line="280" w:lineRule="exact"/>
        <w:jc w:val="left"/>
        <w:rPr>
          <w:rFonts w:ascii="Times New Roman" w:hAnsi="Times New Roman" w:cs="宋体"/>
          <w:b/>
          <w:bCs/>
        </w:rPr>
      </w:pPr>
      <w:bookmarkStart w:id="462" w:name="_Toc989300"/>
      <w:r w:rsidRPr="00F614F9">
        <w:rPr>
          <w:rFonts w:ascii="Times New Roman" w:hAnsi="Times New Roman" w:cs="宋体"/>
          <w:b/>
          <w:bCs/>
        </w:rPr>
        <w:t>51</w:t>
      </w:r>
      <w:r w:rsidRPr="00F614F9">
        <w:rPr>
          <w:rFonts w:ascii="Times New Roman" w:hAnsi="Times New Roman" w:cs="宋体"/>
          <w:b/>
          <w:bCs/>
        </w:rPr>
        <w:t>、递延收益</w:t>
      </w:r>
      <w:bookmarkEnd w:id="462"/>
    </w:p>
    <w:p w14:paraId="1C99F139"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1D26E7" w:rsidRPr="00F614F9" w14:paraId="0B948350"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8C7C6D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323E34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2D1CA1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本期增加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543BFC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本期减少</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32064A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CC2E33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形成原因</w:t>
            </w:r>
          </w:p>
        </w:tc>
      </w:tr>
      <w:tr w:rsidR="001D26E7" w:rsidRPr="00F614F9" w14:paraId="14144B08"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B7E5A1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政府补助</w:t>
            </w:r>
          </w:p>
        </w:tc>
        <w:tc>
          <w:tcPr>
            <w:tcW w:w="1606" w:type="dxa"/>
            <w:tcBorders>
              <w:top w:val="single" w:sz="2" w:space="0" w:color="auto"/>
              <w:left w:val="single" w:sz="2" w:space="0" w:color="auto"/>
              <w:bottom w:val="single" w:sz="2" w:space="0" w:color="auto"/>
              <w:right w:val="single" w:sz="2" w:space="0" w:color="auto"/>
            </w:tcBorders>
            <w:vAlign w:val="center"/>
          </w:tcPr>
          <w:p w14:paraId="19542AB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46,570,043.69</w:t>
            </w:r>
          </w:p>
        </w:tc>
        <w:tc>
          <w:tcPr>
            <w:tcW w:w="1606" w:type="dxa"/>
            <w:tcBorders>
              <w:top w:val="single" w:sz="2" w:space="0" w:color="auto"/>
              <w:left w:val="single" w:sz="2" w:space="0" w:color="auto"/>
              <w:bottom w:val="single" w:sz="2" w:space="0" w:color="auto"/>
              <w:right w:val="single" w:sz="2" w:space="0" w:color="auto"/>
            </w:tcBorders>
            <w:vAlign w:val="center"/>
          </w:tcPr>
          <w:p w14:paraId="4CF82F1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2,010,000.00</w:t>
            </w:r>
          </w:p>
        </w:tc>
        <w:tc>
          <w:tcPr>
            <w:tcW w:w="1606" w:type="dxa"/>
            <w:tcBorders>
              <w:top w:val="single" w:sz="2" w:space="0" w:color="auto"/>
              <w:left w:val="single" w:sz="2" w:space="0" w:color="auto"/>
              <w:bottom w:val="single" w:sz="2" w:space="0" w:color="auto"/>
              <w:right w:val="single" w:sz="2" w:space="0" w:color="auto"/>
            </w:tcBorders>
            <w:vAlign w:val="center"/>
          </w:tcPr>
          <w:p w14:paraId="6834239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8,968,000.45</w:t>
            </w:r>
          </w:p>
        </w:tc>
        <w:tc>
          <w:tcPr>
            <w:tcW w:w="1606" w:type="dxa"/>
            <w:tcBorders>
              <w:top w:val="single" w:sz="2" w:space="0" w:color="auto"/>
              <w:left w:val="single" w:sz="2" w:space="0" w:color="auto"/>
              <w:bottom w:val="single" w:sz="2" w:space="0" w:color="auto"/>
              <w:right w:val="single" w:sz="2" w:space="0" w:color="auto"/>
            </w:tcBorders>
            <w:vAlign w:val="center"/>
          </w:tcPr>
          <w:p w14:paraId="3345DFE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39,612,043.24</w:t>
            </w:r>
          </w:p>
        </w:tc>
        <w:tc>
          <w:tcPr>
            <w:tcW w:w="1606" w:type="dxa"/>
            <w:tcBorders>
              <w:top w:val="single" w:sz="2" w:space="0" w:color="auto"/>
              <w:left w:val="single" w:sz="2" w:space="0" w:color="auto"/>
              <w:bottom w:val="single" w:sz="2" w:space="0" w:color="auto"/>
              <w:right w:val="single" w:sz="2" w:space="0" w:color="auto"/>
            </w:tcBorders>
            <w:vAlign w:val="center"/>
          </w:tcPr>
          <w:p w14:paraId="1AAA589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与资产相关</w:t>
            </w:r>
          </w:p>
        </w:tc>
      </w:tr>
      <w:tr w:rsidR="001D26E7" w:rsidRPr="00F614F9" w14:paraId="79781170"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98F26A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33CAD01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46,570,043.69</w:t>
            </w:r>
          </w:p>
        </w:tc>
        <w:tc>
          <w:tcPr>
            <w:tcW w:w="1606" w:type="dxa"/>
            <w:tcBorders>
              <w:top w:val="single" w:sz="2" w:space="0" w:color="auto"/>
              <w:left w:val="single" w:sz="2" w:space="0" w:color="auto"/>
              <w:bottom w:val="single" w:sz="2" w:space="0" w:color="auto"/>
              <w:right w:val="single" w:sz="2" w:space="0" w:color="auto"/>
            </w:tcBorders>
            <w:vAlign w:val="center"/>
          </w:tcPr>
          <w:p w14:paraId="069D48F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2,010,000.00</w:t>
            </w:r>
          </w:p>
        </w:tc>
        <w:tc>
          <w:tcPr>
            <w:tcW w:w="1606" w:type="dxa"/>
            <w:tcBorders>
              <w:top w:val="single" w:sz="2" w:space="0" w:color="auto"/>
              <w:left w:val="single" w:sz="2" w:space="0" w:color="auto"/>
              <w:bottom w:val="single" w:sz="2" w:space="0" w:color="auto"/>
              <w:right w:val="single" w:sz="2" w:space="0" w:color="auto"/>
            </w:tcBorders>
            <w:vAlign w:val="center"/>
          </w:tcPr>
          <w:p w14:paraId="5B04D9F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8,968,000.45</w:t>
            </w:r>
          </w:p>
        </w:tc>
        <w:tc>
          <w:tcPr>
            <w:tcW w:w="1606" w:type="dxa"/>
            <w:tcBorders>
              <w:top w:val="single" w:sz="2" w:space="0" w:color="auto"/>
              <w:left w:val="single" w:sz="2" w:space="0" w:color="auto"/>
              <w:bottom w:val="single" w:sz="2" w:space="0" w:color="auto"/>
              <w:right w:val="single" w:sz="2" w:space="0" w:color="auto"/>
            </w:tcBorders>
            <w:vAlign w:val="center"/>
          </w:tcPr>
          <w:p w14:paraId="642A8EF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39,612,043.24</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FBBFA2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r>
    </w:tbl>
    <w:p w14:paraId="0E41F824"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13D939B3" w14:textId="77777777" w:rsidR="001D26E7" w:rsidRPr="00F614F9" w:rsidRDefault="001D26E7">
      <w:pPr>
        <w:rPr>
          <w:rFonts w:ascii="Times New Roman" w:hAnsi="Times New Roman"/>
        </w:rPr>
      </w:pPr>
    </w:p>
    <w:p w14:paraId="0F87397C" w14:textId="77777777" w:rsidR="001D26E7" w:rsidRPr="00F614F9" w:rsidRDefault="00000000">
      <w:pPr>
        <w:pStyle w:val="3"/>
        <w:spacing w:line="280" w:lineRule="exact"/>
        <w:jc w:val="left"/>
        <w:rPr>
          <w:rFonts w:ascii="Times New Roman" w:hAnsi="Times New Roman" w:cs="宋体"/>
          <w:b/>
          <w:bCs/>
        </w:rPr>
      </w:pPr>
      <w:bookmarkStart w:id="463" w:name="_Toc989301"/>
      <w:r w:rsidRPr="00F614F9">
        <w:rPr>
          <w:rFonts w:ascii="Times New Roman" w:hAnsi="Times New Roman" w:cs="宋体"/>
          <w:b/>
          <w:bCs/>
        </w:rPr>
        <w:t>52</w:t>
      </w:r>
      <w:r w:rsidRPr="00F614F9">
        <w:rPr>
          <w:rFonts w:ascii="Times New Roman" w:hAnsi="Times New Roman" w:cs="宋体"/>
          <w:b/>
          <w:bCs/>
        </w:rPr>
        <w:t>、其他非流动负债</w:t>
      </w:r>
      <w:bookmarkEnd w:id="463"/>
    </w:p>
    <w:p w14:paraId="51B4F907" w14:textId="77777777" w:rsidR="00872599" w:rsidRPr="00F614F9" w:rsidRDefault="00000000">
      <w:pPr>
        <w:pStyle w:val="a3"/>
        <w:divId w:val="193882161"/>
        <w:rPr>
          <w:rFonts w:ascii="Times New Roman" w:hAnsi="Times New Roman"/>
          <w:sz w:val="18"/>
          <w:szCs w:val="18"/>
        </w:rPr>
      </w:pPr>
      <w:r w:rsidRPr="00F614F9">
        <w:rPr>
          <w:rFonts w:ascii="Times New Roman" w:hAnsi="Times New Roman" w:hint="eastAsia"/>
          <w:sz w:val="18"/>
          <w:szCs w:val="18"/>
        </w:rPr>
        <w:t>无</w:t>
      </w:r>
    </w:p>
    <w:p w14:paraId="26C2571D" w14:textId="77777777" w:rsidR="001D26E7" w:rsidRPr="00F614F9" w:rsidRDefault="00000000">
      <w:pPr>
        <w:pStyle w:val="3"/>
        <w:spacing w:line="280" w:lineRule="exact"/>
        <w:jc w:val="left"/>
        <w:rPr>
          <w:rFonts w:ascii="Times New Roman" w:hAnsi="Times New Roman" w:cs="宋体"/>
          <w:b/>
          <w:bCs/>
        </w:rPr>
      </w:pPr>
      <w:bookmarkStart w:id="464" w:name="_Toc989302"/>
      <w:r w:rsidRPr="00F614F9">
        <w:rPr>
          <w:rFonts w:ascii="Times New Roman" w:hAnsi="Times New Roman" w:cs="宋体"/>
          <w:b/>
          <w:bCs/>
        </w:rPr>
        <w:t>53</w:t>
      </w:r>
      <w:r w:rsidRPr="00F614F9">
        <w:rPr>
          <w:rFonts w:ascii="Times New Roman" w:hAnsi="Times New Roman" w:cs="宋体"/>
          <w:b/>
          <w:bCs/>
        </w:rPr>
        <w:t>、股本</w:t>
      </w:r>
      <w:bookmarkEnd w:id="464"/>
    </w:p>
    <w:p w14:paraId="0894B7A6"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205"/>
        <w:gridCol w:w="1205"/>
        <w:gridCol w:w="1205"/>
        <w:gridCol w:w="1205"/>
        <w:gridCol w:w="1205"/>
        <w:gridCol w:w="1205"/>
        <w:gridCol w:w="1205"/>
      </w:tblGrid>
      <w:tr w:rsidR="001D26E7" w:rsidRPr="00F614F9" w14:paraId="0958CC04" w14:textId="77777777">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C56130D" w14:textId="77777777" w:rsidR="001D26E7" w:rsidRPr="00F614F9" w:rsidRDefault="001D26E7">
            <w:pPr>
              <w:rPr>
                <w:rFonts w:ascii="Times New Roman" w:hAnsi="Times New Roman"/>
              </w:rPr>
            </w:pP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D25B8F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6024"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4B3563A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本次变动增减（</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A3DA11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r>
      <w:tr w:rsidR="001D26E7" w:rsidRPr="00F614F9" w14:paraId="5FC79E08" w14:textId="77777777">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E9769D4" w14:textId="77777777" w:rsidR="001D26E7" w:rsidRPr="00F614F9" w:rsidRDefault="001D26E7">
            <w:pPr>
              <w:rPr>
                <w:rFonts w:ascii="Times New Roman" w:hAnsi="Times New Roman"/>
              </w:rPr>
            </w:pP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1C3C296" w14:textId="77777777" w:rsidR="001D26E7" w:rsidRPr="00F614F9" w:rsidRDefault="001D26E7">
            <w:pPr>
              <w:rPr>
                <w:rFonts w:ascii="Times New Roman" w:hAnsi="Times New Roman"/>
              </w:rPr>
            </w:pP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E0C9C6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发行新股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54D9FAA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送股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972EA6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公积金转股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58987C8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6CEDA5C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小计</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3FD8441" w14:textId="77777777" w:rsidR="001D26E7" w:rsidRPr="00F614F9" w:rsidRDefault="001D26E7">
            <w:pPr>
              <w:rPr>
                <w:rFonts w:ascii="Times New Roman" w:hAnsi="Times New Roman"/>
              </w:rPr>
            </w:pPr>
          </w:p>
        </w:tc>
      </w:tr>
      <w:tr w:rsidR="001D26E7" w:rsidRPr="00F614F9" w14:paraId="6250D4AF"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080692D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股份总数</w:t>
            </w:r>
          </w:p>
        </w:tc>
        <w:tc>
          <w:tcPr>
            <w:tcW w:w="1205" w:type="dxa"/>
            <w:tcBorders>
              <w:top w:val="single" w:sz="2" w:space="0" w:color="auto"/>
              <w:left w:val="single" w:sz="2" w:space="0" w:color="auto"/>
              <w:bottom w:val="single" w:sz="2" w:space="0" w:color="auto"/>
              <w:right w:val="single" w:sz="2" w:space="0" w:color="auto"/>
            </w:tcBorders>
            <w:vAlign w:val="center"/>
          </w:tcPr>
          <w:p w14:paraId="7F3B23B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1,079,128,488.00</w:t>
            </w:r>
          </w:p>
        </w:tc>
        <w:tc>
          <w:tcPr>
            <w:tcW w:w="1205" w:type="dxa"/>
            <w:tcBorders>
              <w:top w:val="single" w:sz="2" w:space="0" w:color="auto"/>
              <w:left w:val="single" w:sz="2" w:space="0" w:color="auto"/>
              <w:bottom w:val="single" w:sz="2" w:space="0" w:color="auto"/>
              <w:right w:val="single" w:sz="2" w:space="0" w:color="auto"/>
            </w:tcBorders>
            <w:vAlign w:val="center"/>
          </w:tcPr>
          <w:p w14:paraId="1AD5B10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31,344.00</w:t>
            </w:r>
          </w:p>
        </w:tc>
        <w:tc>
          <w:tcPr>
            <w:tcW w:w="1205" w:type="dxa"/>
            <w:tcBorders>
              <w:top w:val="single" w:sz="2" w:space="0" w:color="auto"/>
              <w:left w:val="single" w:sz="2" w:space="0" w:color="auto"/>
              <w:bottom w:val="single" w:sz="2" w:space="0" w:color="auto"/>
              <w:right w:val="single" w:sz="2" w:space="0" w:color="auto"/>
            </w:tcBorders>
            <w:vAlign w:val="center"/>
          </w:tcPr>
          <w:p w14:paraId="12F5C831"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A0DC76E"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DA8B9AC"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CE7FF4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31,344.00</w:t>
            </w:r>
          </w:p>
        </w:tc>
        <w:tc>
          <w:tcPr>
            <w:tcW w:w="1205" w:type="dxa"/>
            <w:tcBorders>
              <w:top w:val="single" w:sz="2" w:space="0" w:color="auto"/>
              <w:left w:val="single" w:sz="2" w:space="0" w:color="auto"/>
              <w:bottom w:val="single" w:sz="2" w:space="0" w:color="auto"/>
              <w:right w:val="single" w:sz="2" w:space="0" w:color="auto"/>
            </w:tcBorders>
            <w:vAlign w:val="center"/>
          </w:tcPr>
          <w:p w14:paraId="7B395A7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1,079,159,832.00</w:t>
            </w:r>
          </w:p>
        </w:tc>
      </w:tr>
    </w:tbl>
    <w:p w14:paraId="51FC19CF" w14:textId="77777777" w:rsidR="001D26E7" w:rsidRPr="00F614F9" w:rsidRDefault="00000000" w:rsidP="00407C41">
      <w:pPr>
        <w:spacing w:before="100" w:after="100" w:line="276" w:lineRule="auto"/>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4F770B0A" w14:textId="77777777" w:rsidR="00872599" w:rsidRPr="00F614F9" w:rsidRDefault="00000000" w:rsidP="00407C41">
      <w:pPr>
        <w:pStyle w:val="a3"/>
        <w:spacing w:before="0" w:beforeAutospacing="0" w:after="0" w:afterAutospacing="0" w:line="276" w:lineRule="auto"/>
        <w:ind w:firstLine="482"/>
        <w:jc w:val="both"/>
        <w:divId w:val="1373506023"/>
        <w:rPr>
          <w:rFonts w:ascii="Times New Roman" w:hAnsi="Times New Roman" w:cs="Times New Roman"/>
          <w:sz w:val="21"/>
          <w:szCs w:val="21"/>
        </w:rPr>
      </w:pPr>
      <w:r w:rsidRPr="00F614F9">
        <w:rPr>
          <w:rFonts w:ascii="Times New Roman" w:hAnsi="Times New Roman" w:cs="Times New Roman" w:hint="eastAsia"/>
          <w:sz w:val="18"/>
          <w:szCs w:val="18"/>
        </w:rPr>
        <w:t>1</w:t>
      </w:r>
      <w:r w:rsidRPr="00F614F9">
        <w:rPr>
          <w:rFonts w:ascii="Times New Roman" w:hAnsi="Times New Roman" w:cs="Times New Roman" w:hint="eastAsia"/>
          <w:sz w:val="18"/>
          <w:szCs w:val="18"/>
        </w:rPr>
        <w:t>、公司</w:t>
      </w:r>
      <w:r w:rsidRPr="00F614F9">
        <w:rPr>
          <w:rFonts w:ascii="Times New Roman" w:hAnsi="Times New Roman" w:cs="Times New Roman" w:hint="eastAsia"/>
          <w:sz w:val="18"/>
          <w:szCs w:val="18"/>
        </w:rPr>
        <w:t>2023</w:t>
      </w:r>
      <w:r w:rsidRPr="00F614F9">
        <w:rPr>
          <w:rFonts w:ascii="Times New Roman" w:hAnsi="Times New Roman" w:cs="Times New Roman" w:hint="eastAsia"/>
          <w:sz w:val="18"/>
          <w:szCs w:val="18"/>
        </w:rPr>
        <w:t>年股票期权自主行权增加股本</w:t>
      </w:r>
      <w:r w:rsidRPr="00F614F9">
        <w:rPr>
          <w:rFonts w:ascii="Times New Roman" w:hAnsi="Times New Roman" w:cs="Times New Roman" w:hint="eastAsia"/>
          <w:sz w:val="18"/>
          <w:szCs w:val="18"/>
        </w:rPr>
        <w:t>30,872.00</w:t>
      </w:r>
      <w:r w:rsidRPr="00F614F9">
        <w:rPr>
          <w:rFonts w:ascii="Times New Roman" w:hAnsi="Times New Roman" w:cs="Times New Roman" w:hint="eastAsia"/>
          <w:sz w:val="18"/>
          <w:szCs w:val="18"/>
        </w:rPr>
        <w:t>元。</w:t>
      </w:r>
    </w:p>
    <w:p w14:paraId="24EF6D9B" w14:textId="77777777" w:rsidR="00872599" w:rsidRPr="00F614F9" w:rsidRDefault="00000000" w:rsidP="00407C41">
      <w:pPr>
        <w:pStyle w:val="a3"/>
        <w:spacing w:before="0" w:beforeAutospacing="0" w:after="0" w:afterAutospacing="0" w:line="276" w:lineRule="auto"/>
        <w:ind w:firstLine="482"/>
        <w:jc w:val="both"/>
        <w:divId w:val="1373506023"/>
        <w:rPr>
          <w:rFonts w:ascii="Times New Roman" w:hAnsi="Times New Roman" w:cs="Times New Roman"/>
          <w:sz w:val="21"/>
          <w:szCs w:val="21"/>
        </w:rPr>
      </w:pPr>
      <w:r w:rsidRPr="00F614F9">
        <w:rPr>
          <w:rFonts w:ascii="Times New Roman" w:hAnsi="Times New Roman" w:cs="Times New Roman" w:hint="eastAsia"/>
          <w:sz w:val="18"/>
          <w:szCs w:val="18"/>
        </w:rPr>
        <w:t>2</w:t>
      </w:r>
      <w:r w:rsidRPr="00F614F9">
        <w:rPr>
          <w:rFonts w:ascii="Times New Roman" w:hAnsi="Times New Roman" w:cs="Times New Roman" w:hint="eastAsia"/>
          <w:sz w:val="18"/>
          <w:szCs w:val="18"/>
        </w:rPr>
        <w:t>、公司可转</w:t>
      </w:r>
      <w:proofErr w:type="gramStart"/>
      <w:r w:rsidRPr="00F614F9">
        <w:rPr>
          <w:rFonts w:ascii="Times New Roman" w:hAnsi="Times New Roman" w:cs="Times New Roman" w:hint="eastAsia"/>
          <w:sz w:val="18"/>
          <w:szCs w:val="18"/>
        </w:rPr>
        <w:t>债发生债</w:t>
      </w:r>
      <w:proofErr w:type="gramEnd"/>
      <w:r w:rsidRPr="00F614F9">
        <w:rPr>
          <w:rFonts w:ascii="Times New Roman" w:hAnsi="Times New Roman" w:cs="Times New Roman" w:hint="eastAsia"/>
          <w:sz w:val="18"/>
          <w:szCs w:val="18"/>
        </w:rPr>
        <w:t>转股，增加股本</w:t>
      </w:r>
      <w:r w:rsidRPr="00F614F9">
        <w:rPr>
          <w:rFonts w:ascii="Times New Roman" w:hAnsi="Times New Roman" w:cs="Times New Roman" w:hint="eastAsia"/>
          <w:sz w:val="18"/>
          <w:szCs w:val="18"/>
        </w:rPr>
        <w:t>472.00</w:t>
      </w:r>
      <w:r w:rsidRPr="00F614F9">
        <w:rPr>
          <w:rFonts w:ascii="Times New Roman" w:hAnsi="Times New Roman" w:cs="Times New Roman" w:hint="eastAsia"/>
          <w:sz w:val="18"/>
          <w:szCs w:val="18"/>
        </w:rPr>
        <w:t>元。</w:t>
      </w:r>
    </w:p>
    <w:p w14:paraId="104C872A" w14:textId="77777777" w:rsidR="001D26E7" w:rsidRPr="00F614F9" w:rsidRDefault="00000000">
      <w:pPr>
        <w:pStyle w:val="3"/>
        <w:spacing w:line="280" w:lineRule="exact"/>
        <w:jc w:val="left"/>
        <w:rPr>
          <w:rFonts w:ascii="Times New Roman" w:hAnsi="Times New Roman" w:cs="宋体"/>
          <w:b/>
          <w:bCs/>
        </w:rPr>
      </w:pPr>
      <w:bookmarkStart w:id="465" w:name="_Toc989303"/>
      <w:r w:rsidRPr="00F614F9">
        <w:rPr>
          <w:rFonts w:ascii="Times New Roman" w:hAnsi="Times New Roman" w:cs="宋体"/>
          <w:b/>
          <w:bCs/>
        </w:rPr>
        <w:t>54</w:t>
      </w:r>
      <w:r w:rsidRPr="00F614F9">
        <w:rPr>
          <w:rFonts w:ascii="Times New Roman" w:hAnsi="Times New Roman" w:cs="宋体"/>
          <w:b/>
          <w:bCs/>
        </w:rPr>
        <w:t>、其他权益工具</w:t>
      </w:r>
      <w:bookmarkEnd w:id="465"/>
    </w:p>
    <w:p w14:paraId="62E9FE0B"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466" w:name="_Toc989304"/>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期末发行在外的优先股、永续债等其他金融工具基本情况</w:t>
      </w:r>
      <w:bookmarkEnd w:id="466"/>
    </w:p>
    <w:p w14:paraId="45C3D725" w14:textId="77777777" w:rsidR="00872599" w:rsidRPr="00F614F9" w:rsidRDefault="00000000">
      <w:pPr>
        <w:pStyle w:val="a3"/>
        <w:spacing w:before="0" w:beforeAutospacing="0" w:after="0" w:afterAutospacing="0"/>
        <w:ind w:firstLine="360"/>
        <w:jc w:val="both"/>
        <w:divId w:val="431633181"/>
        <w:rPr>
          <w:rFonts w:ascii="Times New Roman" w:hAnsi="Times New Roman" w:cs="Calibri"/>
          <w:sz w:val="21"/>
          <w:szCs w:val="21"/>
        </w:rPr>
      </w:pPr>
      <w:r w:rsidRPr="00F614F9">
        <w:rPr>
          <w:rFonts w:ascii="Times New Roman" w:hAnsi="Times New Roman" w:cs="Calibri" w:hint="eastAsia"/>
          <w:sz w:val="18"/>
          <w:szCs w:val="18"/>
        </w:rPr>
        <w:t>见附注五、</w:t>
      </w:r>
      <w:r w:rsidRPr="00F614F9">
        <w:rPr>
          <w:rFonts w:ascii="Times New Roman" w:hAnsi="Times New Roman" w:cs="Calibri" w:hint="eastAsia"/>
          <w:sz w:val="18"/>
          <w:szCs w:val="18"/>
        </w:rPr>
        <w:t xml:space="preserve"> 36</w:t>
      </w:r>
      <w:r w:rsidRPr="00F614F9">
        <w:rPr>
          <w:rFonts w:ascii="Times New Roman" w:hAnsi="Times New Roman" w:cs="Calibri" w:hint="eastAsia"/>
          <w:sz w:val="18"/>
          <w:szCs w:val="18"/>
        </w:rPr>
        <w:t>。</w:t>
      </w:r>
    </w:p>
    <w:p w14:paraId="0521768B"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467" w:name="_Toc989305"/>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2</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期末发行在外的优先股、永续债等金融工具变动情况表</w:t>
      </w:r>
      <w:bookmarkEnd w:id="467"/>
    </w:p>
    <w:p w14:paraId="6FCD6CA3"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228"/>
        <w:gridCol w:w="1418"/>
        <w:gridCol w:w="567"/>
        <w:gridCol w:w="708"/>
        <w:gridCol w:w="993"/>
        <w:gridCol w:w="992"/>
        <w:gridCol w:w="1276"/>
        <w:gridCol w:w="1386"/>
      </w:tblGrid>
      <w:tr w:rsidR="001D26E7" w:rsidRPr="00F614F9" w14:paraId="30F0F2AE" w14:textId="77777777" w:rsidTr="00AD32B3">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6CDA79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发行在外的金融工具</w:t>
            </w:r>
          </w:p>
        </w:tc>
        <w:tc>
          <w:tcPr>
            <w:tcW w:w="264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AA442B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w:t>
            </w:r>
          </w:p>
        </w:tc>
        <w:tc>
          <w:tcPr>
            <w:tcW w:w="127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AA0836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本期增加</w:t>
            </w:r>
          </w:p>
        </w:tc>
        <w:tc>
          <w:tcPr>
            <w:tcW w:w="198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ADD07B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本期减少</w:t>
            </w:r>
          </w:p>
        </w:tc>
        <w:tc>
          <w:tcPr>
            <w:tcW w:w="266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C7DCB6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w:t>
            </w:r>
          </w:p>
        </w:tc>
      </w:tr>
      <w:tr w:rsidR="001D26E7" w:rsidRPr="00F614F9" w14:paraId="3CCE89A3" w14:textId="77777777" w:rsidTr="00AD32B3">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69AC2F9" w14:textId="77777777" w:rsidR="001D26E7" w:rsidRPr="00F614F9" w:rsidRDefault="001D26E7">
            <w:pPr>
              <w:rPr>
                <w:rFonts w:ascii="Times New Roman" w:hAnsi="Times New Roman"/>
              </w:rPr>
            </w:pPr>
          </w:p>
        </w:tc>
        <w:tc>
          <w:tcPr>
            <w:tcW w:w="1228" w:type="dxa"/>
            <w:tcBorders>
              <w:top w:val="single" w:sz="2" w:space="0" w:color="auto"/>
              <w:left w:val="single" w:sz="2" w:space="0" w:color="auto"/>
              <w:bottom w:val="single" w:sz="2" w:space="0" w:color="auto"/>
              <w:right w:val="single" w:sz="2" w:space="0" w:color="auto"/>
            </w:tcBorders>
            <w:shd w:val="clear" w:color="auto" w:fill="D3D3D3"/>
            <w:vAlign w:val="center"/>
          </w:tcPr>
          <w:p w14:paraId="1A36820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数量</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3828246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7708A08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数量</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2102A46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7D6A8D2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数量</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7BB74EF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25E371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数量</w:t>
            </w:r>
          </w:p>
        </w:tc>
        <w:tc>
          <w:tcPr>
            <w:tcW w:w="1386" w:type="dxa"/>
            <w:tcBorders>
              <w:top w:val="single" w:sz="2" w:space="0" w:color="auto"/>
              <w:left w:val="single" w:sz="2" w:space="0" w:color="auto"/>
              <w:bottom w:val="single" w:sz="2" w:space="0" w:color="auto"/>
              <w:right w:val="single" w:sz="2" w:space="0" w:color="auto"/>
            </w:tcBorders>
            <w:shd w:val="clear" w:color="auto" w:fill="D3D3D3"/>
            <w:vAlign w:val="center"/>
          </w:tcPr>
          <w:p w14:paraId="337579C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r>
      <w:tr w:rsidR="001D26E7" w:rsidRPr="00F614F9" w14:paraId="199641FF" w14:textId="77777777" w:rsidTr="00AD32B3">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5A82F5B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可转换公司债</w:t>
            </w:r>
            <w:proofErr w:type="gramStart"/>
            <w:r w:rsidRPr="00F614F9">
              <w:rPr>
                <w:rFonts w:ascii="Times New Roman" w:eastAsia="宋体" w:hAnsi="Times New Roman" w:cs="宋体"/>
                <w:sz w:val="18"/>
                <w:szCs w:val="18"/>
              </w:rPr>
              <w:t>券</w:t>
            </w:r>
            <w:proofErr w:type="gramEnd"/>
          </w:p>
        </w:tc>
        <w:tc>
          <w:tcPr>
            <w:tcW w:w="1228" w:type="dxa"/>
            <w:tcBorders>
              <w:top w:val="single" w:sz="2" w:space="0" w:color="auto"/>
              <w:left w:val="single" w:sz="2" w:space="0" w:color="auto"/>
              <w:bottom w:val="single" w:sz="2" w:space="0" w:color="auto"/>
              <w:right w:val="single" w:sz="2" w:space="0" w:color="auto"/>
            </w:tcBorders>
            <w:vAlign w:val="center"/>
          </w:tcPr>
          <w:p w14:paraId="6D19AD4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9,460,611.00</w:t>
            </w:r>
          </w:p>
        </w:tc>
        <w:tc>
          <w:tcPr>
            <w:tcW w:w="1418" w:type="dxa"/>
            <w:tcBorders>
              <w:top w:val="single" w:sz="2" w:space="0" w:color="auto"/>
              <w:left w:val="single" w:sz="2" w:space="0" w:color="auto"/>
              <w:bottom w:val="single" w:sz="2" w:space="0" w:color="auto"/>
              <w:right w:val="single" w:sz="2" w:space="0" w:color="auto"/>
            </w:tcBorders>
            <w:vAlign w:val="center"/>
          </w:tcPr>
          <w:p w14:paraId="0D1A167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171,571,679.93</w:t>
            </w:r>
          </w:p>
        </w:tc>
        <w:tc>
          <w:tcPr>
            <w:tcW w:w="567" w:type="dxa"/>
            <w:tcBorders>
              <w:top w:val="single" w:sz="2" w:space="0" w:color="auto"/>
              <w:left w:val="single" w:sz="2" w:space="0" w:color="auto"/>
              <w:bottom w:val="single" w:sz="2" w:space="0" w:color="auto"/>
              <w:right w:val="single" w:sz="2" w:space="0" w:color="auto"/>
            </w:tcBorders>
            <w:vAlign w:val="center"/>
          </w:tcPr>
          <w:p w14:paraId="3CDC0B86" w14:textId="77777777" w:rsidR="001D26E7" w:rsidRPr="00F614F9" w:rsidRDefault="001D26E7">
            <w:pPr>
              <w:spacing w:line="240" w:lineRule="exact"/>
              <w:jc w:val="right"/>
              <w:rPr>
                <w:rFonts w:ascii="Times New Roman" w:eastAsia="宋体" w:hAnsi="Times New Roman"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60B2F409" w14:textId="77777777" w:rsidR="001D26E7" w:rsidRPr="00F614F9" w:rsidRDefault="001D26E7">
            <w:pPr>
              <w:spacing w:line="240" w:lineRule="exact"/>
              <w:jc w:val="right"/>
              <w:rPr>
                <w:rFonts w:ascii="Times New Roman" w:eastAsia="宋体" w:hAnsi="Times New Roman"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4C48EDB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44.00</w:t>
            </w:r>
          </w:p>
        </w:tc>
        <w:tc>
          <w:tcPr>
            <w:tcW w:w="992" w:type="dxa"/>
            <w:tcBorders>
              <w:top w:val="single" w:sz="2" w:space="0" w:color="auto"/>
              <w:left w:val="single" w:sz="2" w:space="0" w:color="auto"/>
              <w:bottom w:val="single" w:sz="2" w:space="0" w:color="auto"/>
              <w:right w:val="single" w:sz="2" w:space="0" w:color="auto"/>
            </w:tcBorders>
            <w:vAlign w:val="center"/>
          </w:tcPr>
          <w:p w14:paraId="24D537C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797.95</w:t>
            </w:r>
          </w:p>
        </w:tc>
        <w:tc>
          <w:tcPr>
            <w:tcW w:w="1276" w:type="dxa"/>
            <w:tcBorders>
              <w:top w:val="single" w:sz="2" w:space="0" w:color="auto"/>
              <w:left w:val="single" w:sz="2" w:space="0" w:color="auto"/>
              <w:bottom w:val="single" w:sz="2" w:space="0" w:color="auto"/>
              <w:right w:val="single" w:sz="2" w:space="0" w:color="auto"/>
            </w:tcBorders>
            <w:vAlign w:val="center"/>
          </w:tcPr>
          <w:p w14:paraId="22CA08D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9,460,567.00</w:t>
            </w:r>
          </w:p>
        </w:tc>
        <w:tc>
          <w:tcPr>
            <w:tcW w:w="1386" w:type="dxa"/>
            <w:tcBorders>
              <w:top w:val="single" w:sz="2" w:space="0" w:color="auto"/>
              <w:left w:val="single" w:sz="2" w:space="0" w:color="auto"/>
              <w:bottom w:val="single" w:sz="2" w:space="0" w:color="auto"/>
              <w:right w:val="single" w:sz="2" w:space="0" w:color="auto"/>
            </w:tcBorders>
            <w:vAlign w:val="center"/>
          </w:tcPr>
          <w:p w14:paraId="3BC1EC6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171,570,881.98</w:t>
            </w:r>
          </w:p>
        </w:tc>
      </w:tr>
      <w:tr w:rsidR="001D26E7" w:rsidRPr="00F614F9" w14:paraId="760E0AE6" w14:textId="77777777" w:rsidTr="00AD32B3">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46E97A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228" w:type="dxa"/>
            <w:tcBorders>
              <w:top w:val="single" w:sz="2" w:space="0" w:color="auto"/>
              <w:left w:val="single" w:sz="2" w:space="0" w:color="auto"/>
              <w:bottom w:val="single" w:sz="2" w:space="0" w:color="auto"/>
              <w:right w:val="single" w:sz="2" w:space="0" w:color="auto"/>
            </w:tcBorders>
            <w:vAlign w:val="center"/>
          </w:tcPr>
          <w:p w14:paraId="11BD78A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9,460,611.00</w:t>
            </w:r>
          </w:p>
        </w:tc>
        <w:tc>
          <w:tcPr>
            <w:tcW w:w="1418" w:type="dxa"/>
            <w:tcBorders>
              <w:top w:val="single" w:sz="2" w:space="0" w:color="auto"/>
              <w:left w:val="single" w:sz="2" w:space="0" w:color="auto"/>
              <w:bottom w:val="single" w:sz="2" w:space="0" w:color="auto"/>
              <w:right w:val="single" w:sz="2" w:space="0" w:color="auto"/>
            </w:tcBorders>
            <w:vAlign w:val="center"/>
          </w:tcPr>
          <w:p w14:paraId="2CC9757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171,571,679.93</w:t>
            </w:r>
          </w:p>
        </w:tc>
        <w:tc>
          <w:tcPr>
            <w:tcW w:w="567" w:type="dxa"/>
            <w:tcBorders>
              <w:top w:val="single" w:sz="2" w:space="0" w:color="auto"/>
              <w:left w:val="single" w:sz="2" w:space="0" w:color="auto"/>
              <w:bottom w:val="single" w:sz="2" w:space="0" w:color="auto"/>
              <w:right w:val="single" w:sz="2" w:space="0" w:color="auto"/>
            </w:tcBorders>
            <w:vAlign w:val="center"/>
          </w:tcPr>
          <w:p w14:paraId="47ACC3FA" w14:textId="77777777" w:rsidR="001D26E7" w:rsidRPr="00F614F9" w:rsidRDefault="001D26E7">
            <w:pPr>
              <w:spacing w:line="240" w:lineRule="exact"/>
              <w:jc w:val="right"/>
              <w:rPr>
                <w:rFonts w:ascii="Times New Roman" w:eastAsia="宋体" w:hAnsi="Times New Roman"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49E734EC" w14:textId="77777777" w:rsidR="001D26E7" w:rsidRPr="00F614F9" w:rsidRDefault="001D26E7">
            <w:pPr>
              <w:spacing w:line="240" w:lineRule="exact"/>
              <w:jc w:val="right"/>
              <w:rPr>
                <w:rFonts w:ascii="Times New Roman" w:eastAsia="宋体" w:hAnsi="Times New Roman"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45E6192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44.00</w:t>
            </w:r>
          </w:p>
        </w:tc>
        <w:tc>
          <w:tcPr>
            <w:tcW w:w="992" w:type="dxa"/>
            <w:tcBorders>
              <w:top w:val="single" w:sz="2" w:space="0" w:color="auto"/>
              <w:left w:val="single" w:sz="2" w:space="0" w:color="auto"/>
              <w:bottom w:val="single" w:sz="2" w:space="0" w:color="auto"/>
              <w:right w:val="single" w:sz="2" w:space="0" w:color="auto"/>
            </w:tcBorders>
            <w:vAlign w:val="center"/>
          </w:tcPr>
          <w:p w14:paraId="2760AC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797.95</w:t>
            </w:r>
          </w:p>
        </w:tc>
        <w:tc>
          <w:tcPr>
            <w:tcW w:w="1276" w:type="dxa"/>
            <w:tcBorders>
              <w:top w:val="single" w:sz="2" w:space="0" w:color="auto"/>
              <w:left w:val="single" w:sz="2" w:space="0" w:color="auto"/>
              <w:bottom w:val="single" w:sz="2" w:space="0" w:color="auto"/>
              <w:right w:val="single" w:sz="2" w:space="0" w:color="auto"/>
            </w:tcBorders>
            <w:vAlign w:val="center"/>
          </w:tcPr>
          <w:p w14:paraId="42BB7DC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9,460,567.00</w:t>
            </w:r>
          </w:p>
        </w:tc>
        <w:tc>
          <w:tcPr>
            <w:tcW w:w="1386" w:type="dxa"/>
            <w:tcBorders>
              <w:top w:val="single" w:sz="2" w:space="0" w:color="auto"/>
              <w:left w:val="single" w:sz="2" w:space="0" w:color="auto"/>
              <w:bottom w:val="single" w:sz="2" w:space="0" w:color="auto"/>
              <w:right w:val="single" w:sz="2" w:space="0" w:color="auto"/>
            </w:tcBorders>
            <w:vAlign w:val="center"/>
          </w:tcPr>
          <w:p w14:paraId="2DD596F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171,570,881.98</w:t>
            </w:r>
          </w:p>
        </w:tc>
      </w:tr>
    </w:tbl>
    <w:p w14:paraId="13C5131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其他权益工具本期增减变动情况、变动原因说明，以及相关会计处理的依据：</w:t>
      </w:r>
    </w:p>
    <w:p w14:paraId="0A7A24D0" w14:textId="77777777" w:rsidR="00872599" w:rsidRPr="00F614F9" w:rsidRDefault="00000000">
      <w:pPr>
        <w:pStyle w:val="a3"/>
        <w:spacing w:before="0" w:beforeAutospacing="0" w:after="0" w:afterAutospacing="0"/>
        <w:ind w:firstLine="360"/>
        <w:jc w:val="both"/>
        <w:divId w:val="1545093983"/>
        <w:rPr>
          <w:rFonts w:ascii="Times New Roman" w:hAnsi="Times New Roman" w:cs="Calibri"/>
          <w:sz w:val="21"/>
          <w:szCs w:val="21"/>
        </w:rPr>
      </w:pPr>
      <w:r w:rsidRPr="00F614F9">
        <w:rPr>
          <w:rFonts w:ascii="Times New Roman" w:hAnsi="Times New Roman" w:cs="Calibri" w:hint="eastAsia"/>
          <w:sz w:val="18"/>
          <w:szCs w:val="18"/>
        </w:rPr>
        <w:t>其他权益工具增减变动情况见附注</w:t>
      </w:r>
      <w:r w:rsidR="00EE433A">
        <w:rPr>
          <w:rFonts w:ascii="Times New Roman" w:hAnsi="Times New Roman" w:cs="Calibri" w:hint="eastAsia"/>
          <w:sz w:val="18"/>
          <w:szCs w:val="18"/>
        </w:rPr>
        <w:t>七</w:t>
      </w:r>
      <w:r w:rsidRPr="00F614F9">
        <w:rPr>
          <w:rFonts w:ascii="Times New Roman" w:hAnsi="Times New Roman" w:cs="Calibri" w:hint="eastAsia"/>
          <w:sz w:val="18"/>
          <w:szCs w:val="18"/>
        </w:rPr>
        <w:t>、</w:t>
      </w:r>
      <w:r w:rsidRPr="00F614F9">
        <w:rPr>
          <w:rFonts w:ascii="Times New Roman" w:hAnsi="Times New Roman" w:cs="Calibri" w:hint="eastAsia"/>
          <w:sz w:val="18"/>
          <w:szCs w:val="18"/>
        </w:rPr>
        <w:t xml:space="preserve"> </w:t>
      </w:r>
      <w:r w:rsidR="00EE433A">
        <w:rPr>
          <w:rFonts w:ascii="Times New Roman" w:hAnsi="Times New Roman" w:cs="Calibri" w:hint="eastAsia"/>
          <w:sz w:val="18"/>
          <w:szCs w:val="18"/>
        </w:rPr>
        <w:t>4</w:t>
      </w:r>
      <w:r w:rsidRPr="00F614F9">
        <w:rPr>
          <w:rFonts w:ascii="Times New Roman" w:hAnsi="Times New Roman" w:cs="Calibri" w:hint="eastAsia"/>
          <w:sz w:val="18"/>
          <w:szCs w:val="18"/>
        </w:rPr>
        <w:t>6</w:t>
      </w:r>
      <w:r w:rsidRPr="00F614F9">
        <w:rPr>
          <w:rFonts w:ascii="Times New Roman" w:hAnsi="Times New Roman" w:cs="Calibri" w:hint="eastAsia"/>
          <w:sz w:val="18"/>
          <w:szCs w:val="18"/>
        </w:rPr>
        <w:t>。</w:t>
      </w:r>
    </w:p>
    <w:p w14:paraId="0AE2EFA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3F113E20" w14:textId="77777777" w:rsidR="00872599" w:rsidRPr="00F614F9" w:rsidRDefault="00000000">
      <w:pPr>
        <w:pStyle w:val="a3"/>
        <w:divId w:val="126364450"/>
        <w:rPr>
          <w:rFonts w:ascii="Times New Roman" w:hAnsi="Times New Roman"/>
          <w:sz w:val="18"/>
          <w:szCs w:val="18"/>
        </w:rPr>
      </w:pPr>
      <w:r w:rsidRPr="00F614F9">
        <w:rPr>
          <w:rFonts w:ascii="Times New Roman" w:hAnsi="Times New Roman" w:hint="eastAsia"/>
          <w:sz w:val="18"/>
          <w:szCs w:val="18"/>
        </w:rPr>
        <w:t>无</w:t>
      </w:r>
    </w:p>
    <w:p w14:paraId="138924A6" w14:textId="77777777" w:rsidR="001D26E7" w:rsidRPr="00F614F9" w:rsidRDefault="00000000">
      <w:pPr>
        <w:pStyle w:val="3"/>
        <w:spacing w:line="280" w:lineRule="exact"/>
        <w:jc w:val="left"/>
        <w:rPr>
          <w:rFonts w:ascii="Times New Roman" w:hAnsi="Times New Roman" w:cs="宋体"/>
          <w:b/>
          <w:bCs/>
        </w:rPr>
      </w:pPr>
      <w:bookmarkStart w:id="468" w:name="_Toc989306"/>
      <w:r w:rsidRPr="00F614F9">
        <w:rPr>
          <w:rFonts w:ascii="Times New Roman" w:hAnsi="Times New Roman" w:cs="宋体"/>
          <w:b/>
          <w:bCs/>
        </w:rPr>
        <w:t>55</w:t>
      </w:r>
      <w:r w:rsidRPr="00F614F9">
        <w:rPr>
          <w:rFonts w:ascii="Times New Roman" w:hAnsi="Times New Roman" w:cs="宋体"/>
          <w:b/>
          <w:bCs/>
        </w:rPr>
        <w:t>、资本公积</w:t>
      </w:r>
      <w:bookmarkEnd w:id="468"/>
    </w:p>
    <w:p w14:paraId="0F4FB1AD"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1D26E7" w:rsidRPr="00F614F9" w14:paraId="67D44F5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F5FE44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lastRenderedPageBreak/>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CC48A7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B011D5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4CFAD8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E4212B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r>
      <w:tr w:rsidR="001D26E7" w:rsidRPr="00F614F9" w14:paraId="5CFDF62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6F5AA0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资本溢价（股本溢价）</w:t>
            </w:r>
          </w:p>
        </w:tc>
        <w:tc>
          <w:tcPr>
            <w:tcW w:w="1928" w:type="dxa"/>
            <w:tcBorders>
              <w:top w:val="single" w:sz="2" w:space="0" w:color="auto"/>
              <w:left w:val="single" w:sz="2" w:space="0" w:color="auto"/>
              <w:bottom w:val="single" w:sz="2" w:space="0" w:color="auto"/>
              <w:right w:val="single" w:sz="2" w:space="0" w:color="auto"/>
            </w:tcBorders>
            <w:vAlign w:val="center"/>
          </w:tcPr>
          <w:p w14:paraId="2988C96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789,840,995.07</w:t>
            </w:r>
          </w:p>
        </w:tc>
        <w:tc>
          <w:tcPr>
            <w:tcW w:w="1928" w:type="dxa"/>
            <w:tcBorders>
              <w:top w:val="single" w:sz="2" w:space="0" w:color="auto"/>
              <w:left w:val="single" w:sz="2" w:space="0" w:color="auto"/>
              <w:bottom w:val="single" w:sz="2" w:space="0" w:color="auto"/>
              <w:right w:val="single" w:sz="2" w:space="0" w:color="auto"/>
            </w:tcBorders>
            <w:vAlign w:val="center"/>
          </w:tcPr>
          <w:p w14:paraId="7FA430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189,001.97</w:t>
            </w:r>
          </w:p>
        </w:tc>
        <w:tc>
          <w:tcPr>
            <w:tcW w:w="1928" w:type="dxa"/>
            <w:tcBorders>
              <w:top w:val="single" w:sz="2" w:space="0" w:color="auto"/>
              <w:left w:val="single" w:sz="2" w:space="0" w:color="auto"/>
              <w:bottom w:val="single" w:sz="2" w:space="0" w:color="auto"/>
              <w:right w:val="single" w:sz="2" w:space="0" w:color="auto"/>
            </w:tcBorders>
            <w:vAlign w:val="center"/>
          </w:tcPr>
          <w:p w14:paraId="58DB859A"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8A13F1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790,029,997.04</w:t>
            </w:r>
          </w:p>
        </w:tc>
      </w:tr>
      <w:tr w:rsidR="001D26E7" w:rsidRPr="00F614F9" w14:paraId="54159466"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5D9E56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其他资本公积</w:t>
            </w:r>
          </w:p>
        </w:tc>
        <w:tc>
          <w:tcPr>
            <w:tcW w:w="1928" w:type="dxa"/>
            <w:tcBorders>
              <w:top w:val="single" w:sz="2" w:space="0" w:color="auto"/>
              <w:left w:val="single" w:sz="2" w:space="0" w:color="auto"/>
              <w:bottom w:val="single" w:sz="2" w:space="0" w:color="auto"/>
              <w:right w:val="single" w:sz="2" w:space="0" w:color="auto"/>
            </w:tcBorders>
            <w:vAlign w:val="center"/>
          </w:tcPr>
          <w:p w14:paraId="63427E1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41,989,720.05</w:t>
            </w:r>
          </w:p>
        </w:tc>
        <w:tc>
          <w:tcPr>
            <w:tcW w:w="1928" w:type="dxa"/>
            <w:tcBorders>
              <w:top w:val="single" w:sz="2" w:space="0" w:color="auto"/>
              <w:left w:val="single" w:sz="2" w:space="0" w:color="auto"/>
              <w:bottom w:val="single" w:sz="2" w:space="0" w:color="auto"/>
              <w:right w:val="single" w:sz="2" w:space="0" w:color="auto"/>
            </w:tcBorders>
            <w:vAlign w:val="center"/>
          </w:tcPr>
          <w:p w14:paraId="08EBA10E"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28E5D1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7,062,295.45</w:t>
            </w:r>
          </w:p>
        </w:tc>
        <w:tc>
          <w:tcPr>
            <w:tcW w:w="1928" w:type="dxa"/>
            <w:tcBorders>
              <w:top w:val="single" w:sz="2" w:space="0" w:color="auto"/>
              <w:left w:val="single" w:sz="2" w:space="0" w:color="auto"/>
              <w:bottom w:val="single" w:sz="2" w:space="0" w:color="auto"/>
              <w:right w:val="single" w:sz="2" w:space="0" w:color="auto"/>
            </w:tcBorders>
            <w:vAlign w:val="center"/>
          </w:tcPr>
          <w:p w14:paraId="3A97293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34,927,424.60</w:t>
            </w:r>
          </w:p>
        </w:tc>
      </w:tr>
      <w:tr w:rsidR="001D26E7" w:rsidRPr="00F614F9" w14:paraId="44D14984"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AEAF05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0212E0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831,830,715.12</w:t>
            </w:r>
          </w:p>
        </w:tc>
        <w:tc>
          <w:tcPr>
            <w:tcW w:w="1928" w:type="dxa"/>
            <w:tcBorders>
              <w:top w:val="single" w:sz="2" w:space="0" w:color="auto"/>
              <w:left w:val="single" w:sz="2" w:space="0" w:color="auto"/>
              <w:bottom w:val="single" w:sz="2" w:space="0" w:color="auto"/>
              <w:right w:val="single" w:sz="2" w:space="0" w:color="auto"/>
            </w:tcBorders>
            <w:vAlign w:val="center"/>
          </w:tcPr>
          <w:p w14:paraId="293E05E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189,001.97</w:t>
            </w:r>
          </w:p>
        </w:tc>
        <w:tc>
          <w:tcPr>
            <w:tcW w:w="1928" w:type="dxa"/>
            <w:tcBorders>
              <w:top w:val="single" w:sz="2" w:space="0" w:color="auto"/>
              <w:left w:val="single" w:sz="2" w:space="0" w:color="auto"/>
              <w:bottom w:val="single" w:sz="2" w:space="0" w:color="auto"/>
              <w:right w:val="single" w:sz="2" w:space="0" w:color="auto"/>
            </w:tcBorders>
            <w:vAlign w:val="center"/>
          </w:tcPr>
          <w:p w14:paraId="4B751FA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7,062,295.45</w:t>
            </w:r>
          </w:p>
        </w:tc>
        <w:tc>
          <w:tcPr>
            <w:tcW w:w="1928" w:type="dxa"/>
            <w:tcBorders>
              <w:top w:val="single" w:sz="2" w:space="0" w:color="auto"/>
              <w:left w:val="single" w:sz="2" w:space="0" w:color="auto"/>
              <w:bottom w:val="single" w:sz="2" w:space="0" w:color="auto"/>
              <w:right w:val="single" w:sz="2" w:space="0" w:color="auto"/>
            </w:tcBorders>
            <w:vAlign w:val="center"/>
          </w:tcPr>
          <w:p w14:paraId="674B0A2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824,957,421.64</w:t>
            </w:r>
          </w:p>
        </w:tc>
      </w:tr>
    </w:tbl>
    <w:p w14:paraId="2BFE3481" w14:textId="77777777" w:rsidR="001D26E7" w:rsidRPr="00F614F9" w:rsidRDefault="00000000" w:rsidP="00AD32B3">
      <w:pPr>
        <w:spacing w:line="276" w:lineRule="auto"/>
        <w:rPr>
          <w:rFonts w:ascii="Times New Roman" w:eastAsia="宋体" w:hAnsi="Times New Roman"/>
          <w:sz w:val="18"/>
          <w:szCs w:val="20"/>
        </w:rPr>
      </w:pPr>
      <w:r w:rsidRPr="00F614F9">
        <w:rPr>
          <w:rFonts w:ascii="Times New Roman" w:eastAsia="宋体" w:hAnsi="Times New Roman"/>
          <w:sz w:val="18"/>
          <w:szCs w:val="20"/>
        </w:rPr>
        <w:t>其他说明，包括本期增减变动情况、变动原因说明：</w:t>
      </w:r>
    </w:p>
    <w:p w14:paraId="523113C0" w14:textId="77777777" w:rsidR="0001660E" w:rsidRPr="0001660E" w:rsidRDefault="0001660E" w:rsidP="0001660E">
      <w:pPr>
        <w:spacing w:line="276" w:lineRule="auto"/>
        <w:ind w:firstLineChars="200" w:firstLine="360"/>
        <w:rPr>
          <w:rFonts w:ascii="Times New Roman" w:eastAsia="宋体" w:hAnsi="Times New Roman"/>
          <w:sz w:val="18"/>
          <w:szCs w:val="20"/>
        </w:rPr>
      </w:pPr>
      <w:r w:rsidRPr="0001660E">
        <w:rPr>
          <w:rFonts w:ascii="Times New Roman" w:eastAsia="宋体" w:hAnsi="Times New Roman"/>
          <w:sz w:val="18"/>
          <w:szCs w:val="20"/>
        </w:rPr>
        <w:t>1</w:t>
      </w:r>
      <w:r w:rsidRPr="0001660E">
        <w:rPr>
          <w:rFonts w:ascii="Times New Roman" w:eastAsia="宋体" w:hAnsi="Times New Roman"/>
          <w:sz w:val="18"/>
          <w:szCs w:val="20"/>
        </w:rPr>
        <w:t>、因公司</w:t>
      </w:r>
      <w:r w:rsidRPr="0001660E">
        <w:rPr>
          <w:rFonts w:ascii="Times New Roman" w:eastAsia="宋体" w:hAnsi="Times New Roman"/>
          <w:sz w:val="18"/>
          <w:szCs w:val="20"/>
        </w:rPr>
        <w:t>2023</w:t>
      </w:r>
      <w:r w:rsidRPr="0001660E">
        <w:rPr>
          <w:rFonts w:ascii="Times New Roman" w:eastAsia="宋体" w:hAnsi="Times New Roman"/>
          <w:sz w:val="18"/>
          <w:szCs w:val="20"/>
        </w:rPr>
        <w:t>年股票期权自主行权，增加资本公积（股本溢价）</w:t>
      </w:r>
      <w:r w:rsidRPr="0001660E">
        <w:rPr>
          <w:rFonts w:ascii="Times New Roman" w:eastAsia="宋体" w:hAnsi="Times New Roman"/>
          <w:sz w:val="18"/>
          <w:szCs w:val="20"/>
        </w:rPr>
        <w:t>184,344.36</w:t>
      </w:r>
      <w:r w:rsidRPr="0001660E">
        <w:rPr>
          <w:rFonts w:ascii="Times New Roman" w:eastAsia="宋体" w:hAnsi="Times New Roman"/>
          <w:sz w:val="18"/>
          <w:szCs w:val="20"/>
        </w:rPr>
        <w:t>元。</w:t>
      </w:r>
    </w:p>
    <w:p w14:paraId="3FCF9341" w14:textId="77777777" w:rsidR="0001660E" w:rsidRPr="0001660E" w:rsidRDefault="0001660E" w:rsidP="0001660E">
      <w:pPr>
        <w:spacing w:line="276" w:lineRule="auto"/>
        <w:ind w:firstLineChars="200" w:firstLine="360"/>
        <w:rPr>
          <w:rFonts w:ascii="Times New Roman" w:eastAsia="宋体" w:hAnsi="Times New Roman"/>
          <w:sz w:val="18"/>
          <w:szCs w:val="20"/>
        </w:rPr>
      </w:pPr>
      <w:r w:rsidRPr="0001660E">
        <w:rPr>
          <w:rFonts w:ascii="Times New Roman" w:eastAsia="宋体" w:hAnsi="Times New Roman"/>
          <w:sz w:val="18"/>
          <w:szCs w:val="20"/>
        </w:rPr>
        <w:t>2</w:t>
      </w:r>
      <w:r w:rsidRPr="0001660E">
        <w:rPr>
          <w:rFonts w:ascii="Times New Roman" w:eastAsia="宋体" w:hAnsi="Times New Roman"/>
          <w:sz w:val="18"/>
          <w:szCs w:val="20"/>
        </w:rPr>
        <w:t>、公司可转债转股，由于债转股增加的资本公积（股本溢价）为</w:t>
      </w:r>
      <w:r w:rsidRPr="0001660E">
        <w:rPr>
          <w:rFonts w:ascii="Times New Roman" w:eastAsia="宋体" w:hAnsi="Times New Roman"/>
          <w:sz w:val="18"/>
          <w:szCs w:val="20"/>
        </w:rPr>
        <w:t>4,657.61</w:t>
      </w:r>
      <w:r w:rsidRPr="0001660E">
        <w:rPr>
          <w:rFonts w:ascii="Times New Roman" w:eastAsia="宋体" w:hAnsi="Times New Roman"/>
          <w:sz w:val="18"/>
          <w:szCs w:val="20"/>
        </w:rPr>
        <w:t>元。</w:t>
      </w:r>
    </w:p>
    <w:p w14:paraId="1950EAAD" w14:textId="77777777" w:rsidR="0001660E" w:rsidRPr="0001660E" w:rsidRDefault="0001660E" w:rsidP="0001660E">
      <w:pPr>
        <w:spacing w:line="276" w:lineRule="auto"/>
        <w:ind w:firstLineChars="200" w:firstLine="360"/>
        <w:rPr>
          <w:rFonts w:ascii="Times New Roman" w:eastAsia="宋体" w:hAnsi="Times New Roman"/>
          <w:sz w:val="18"/>
          <w:szCs w:val="20"/>
        </w:rPr>
      </w:pPr>
      <w:r w:rsidRPr="0001660E">
        <w:rPr>
          <w:rFonts w:ascii="Times New Roman" w:eastAsia="宋体" w:hAnsi="Times New Roman"/>
          <w:sz w:val="18"/>
          <w:szCs w:val="20"/>
        </w:rPr>
        <w:t>3</w:t>
      </w:r>
      <w:r w:rsidRPr="0001660E">
        <w:rPr>
          <w:rFonts w:ascii="Times New Roman" w:eastAsia="宋体" w:hAnsi="Times New Roman"/>
          <w:sz w:val="18"/>
          <w:szCs w:val="20"/>
        </w:rPr>
        <w:t>、因公司</w:t>
      </w:r>
      <w:r w:rsidRPr="0001660E">
        <w:rPr>
          <w:rFonts w:ascii="Times New Roman" w:eastAsia="宋体" w:hAnsi="Times New Roman"/>
          <w:sz w:val="18"/>
          <w:szCs w:val="20"/>
        </w:rPr>
        <w:t>2023</w:t>
      </w:r>
      <w:r w:rsidRPr="0001660E">
        <w:rPr>
          <w:rFonts w:ascii="Times New Roman" w:eastAsia="宋体" w:hAnsi="Times New Roman"/>
          <w:sz w:val="18"/>
          <w:szCs w:val="20"/>
        </w:rPr>
        <w:t>年收购子公司江苏龙大沁侬食品有限公司少数股权减少资本公积</w:t>
      </w:r>
      <w:r w:rsidRPr="0001660E">
        <w:rPr>
          <w:rFonts w:ascii="Times New Roman" w:eastAsia="宋体" w:hAnsi="Times New Roman"/>
          <w:sz w:val="18"/>
          <w:szCs w:val="20"/>
        </w:rPr>
        <w:t>4,431,410.13</w:t>
      </w:r>
      <w:r w:rsidRPr="0001660E">
        <w:rPr>
          <w:rFonts w:ascii="Times New Roman" w:eastAsia="宋体" w:hAnsi="Times New Roman"/>
          <w:sz w:val="18"/>
          <w:szCs w:val="20"/>
        </w:rPr>
        <w:t>元。</w:t>
      </w:r>
    </w:p>
    <w:p w14:paraId="50479BF4" w14:textId="77777777" w:rsidR="00872599" w:rsidRPr="00F614F9" w:rsidRDefault="0001660E" w:rsidP="0001660E">
      <w:pPr>
        <w:spacing w:line="276" w:lineRule="auto"/>
        <w:ind w:firstLineChars="200" w:firstLine="360"/>
        <w:rPr>
          <w:rFonts w:ascii="Times New Roman" w:eastAsia="宋体" w:hAnsi="Times New Roman"/>
          <w:sz w:val="18"/>
          <w:szCs w:val="20"/>
        </w:rPr>
      </w:pPr>
      <w:r w:rsidRPr="0001660E">
        <w:rPr>
          <w:rFonts w:ascii="Times New Roman" w:eastAsia="宋体" w:hAnsi="Times New Roman"/>
          <w:sz w:val="18"/>
          <w:szCs w:val="20"/>
        </w:rPr>
        <w:t>4</w:t>
      </w:r>
      <w:r w:rsidRPr="0001660E">
        <w:rPr>
          <w:rFonts w:ascii="Times New Roman" w:eastAsia="宋体" w:hAnsi="Times New Roman"/>
          <w:sz w:val="18"/>
          <w:szCs w:val="20"/>
        </w:rPr>
        <w:t>、因公司</w:t>
      </w:r>
      <w:r w:rsidRPr="0001660E">
        <w:rPr>
          <w:rFonts w:ascii="Times New Roman" w:eastAsia="宋体" w:hAnsi="Times New Roman"/>
          <w:sz w:val="18"/>
          <w:szCs w:val="20"/>
        </w:rPr>
        <w:t>2023</w:t>
      </w:r>
      <w:r w:rsidRPr="0001660E">
        <w:rPr>
          <w:rFonts w:ascii="Times New Roman" w:eastAsia="宋体" w:hAnsi="Times New Roman"/>
          <w:sz w:val="18"/>
          <w:szCs w:val="20"/>
        </w:rPr>
        <w:t>年收购子公司成都龙大肉食品有限公司少数股权减少资本公积</w:t>
      </w:r>
      <w:r w:rsidRPr="0001660E">
        <w:rPr>
          <w:rFonts w:ascii="Times New Roman" w:eastAsia="宋体" w:hAnsi="Times New Roman"/>
          <w:sz w:val="18"/>
          <w:szCs w:val="20"/>
        </w:rPr>
        <w:t>2,630,885.32</w:t>
      </w:r>
      <w:r w:rsidRPr="0001660E">
        <w:rPr>
          <w:rFonts w:ascii="Times New Roman" w:eastAsia="宋体" w:hAnsi="Times New Roman"/>
          <w:sz w:val="18"/>
          <w:szCs w:val="20"/>
        </w:rPr>
        <w:t>元</w:t>
      </w:r>
      <w:r w:rsidRPr="00F614F9">
        <w:rPr>
          <w:rFonts w:ascii="Times New Roman" w:eastAsia="宋体" w:hAnsi="Times New Roman" w:hint="eastAsia"/>
          <w:sz w:val="18"/>
          <w:szCs w:val="20"/>
        </w:rPr>
        <w:t>。</w:t>
      </w:r>
    </w:p>
    <w:p w14:paraId="6636C6D1" w14:textId="77777777" w:rsidR="001D26E7" w:rsidRPr="00F614F9" w:rsidRDefault="00000000">
      <w:pPr>
        <w:pStyle w:val="3"/>
        <w:spacing w:line="280" w:lineRule="exact"/>
        <w:jc w:val="left"/>
        <w:rPr>
          <w:rFonts w:ascii="Times New Roman" w:hAnsi="Times New Roman" w:cs="宋体"/>
          <w:b/>
          <w:bCs/>
        </w:rPr>
      </w:pPr>
      <w:bookmarkStart w:id="469" w:name="_Toc989307"/>
      <w:r w:rsidRPr="00F614F9">
        <w:rPr>
          <w:rFonts w:ascii="Times New Roman" w:hAnsi="Times New Roman" w:cs="宋体"/>
          <w:b/>
          <w:bCs/>
        </w:rPr>
        <w:t>56</w:t>
      </w:r>
      <w:r w:rsidRPr="00F614F9">
        <w:rPr>
          <w:rFonts w:ascii="Times New Roman" w:hAnsi="Times New Roman" w:cs="宋体"/>
          <w:b/>
          <w:bCs/>
        </w:rPr>
        <w:t>、库存股</w:t>
      </w:r>
      <w:bookmarkEnd w:id="469"/>
    </w:p>
    <w:p w14:paraId="5E761E55"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1D26E7" w:rsidRPr="00F614F9" w14:paraId="47A9363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4769DF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597B71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857F8F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1F644F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FC0848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r>
      <w:tr w:rsidR="001D26E7" w:rsidRPr="00F614F9" w14:paraId="1800AF44"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191A98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为员工持股计划或者股权激励而收购的本公司股份</w:t>
            </w:r>
          </w:p>
        </w:tc>
        <w:tc>
          <w:tcPr>
            <w:tcW w:w="1928" w:type="dxa"/>
            <w:tcBorders>
              <w:top w:val="single" w:sz="2" w:space="0" w:color="auto"/>
              <w:left w:val="single" w:sz="2" w:space="0" w:color="auto"/>
              <w:bottom w:val="single" w:sz="2" w:space="0" w:color="auto"/>
              <w:right w:val="single" w:sz="2" w:space="0" w:color="auto"/>
            </w:tcBorders>
            <w:vAlign w:val="center"/>
          </w:tcPr>
          <w:p w14:paraId="0C21A02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37,244,672.24</w:t>
            </w:r>
          </w:p>
        </w:tc>
        <w:tc>
          <w:tcPr>
            <w:tcW w:w="1928" w:type="dxa"/>
            <w:tcBorders>
              <w:top w:val="single" w:sz="2" w:space="0" w:color="auto"/>
              <w:left w:val="single" w:sz="2" w:space="0" w:color="auto"/>
              <w:bottom w:val="single" w:sz="2" w:space="0" w:color="auto"/>
              <w:right w:val="single" w:sz="2" w:space="0" w:color="auto"/>
            </w:tcBorders>
            <w:vAlign w:val="center"/>
          </w:tcPr>
          <w:p w14:paraId="010A82B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292,780,411.05</w:t>
            </w:r>
          </w:p>
        </w:tc>
        <w:tc>
          <w:tcPr>
            <w:tcW w:w="1928" w:type="dxa"/>
            <w:tcBorders>
              <w:top w:val="single" w:sz="2" w:space="0" w:color="auto"/>
              <w:left w:val="single" w:sz="2" w:space="0" w:color="auto"/>
              <w:bottom w:val="single" w:sz="2" w:space="0" w:color="auto"/>
              <w:right w:val="single" w:sz="2" w:space="0" w:color="auto"/>
            </w:tcBorders>
            <w:vAlign w:val="center"/>
          </w:tcPr>
          <w:p w14:paraId="0B447774"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CA744A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330,025,083.29</w:t>
            </w:r>
          </w:p>
        </w:tc>
      </w:tr>
      <w:tr w:rsidR="001D26E7" w:rsidRPr="00F614F9" w14:paraId="74C8DF2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D508C8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462C2C8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37,244,672.24</w:t>
            </w:r>
          </w:p>
        </w:tc>
        <w:tc>
          <w:tcPr>
            <w:tcW w:w="1928" w:type="dxa"/>
            <w:tcBorders>
              <w:top w:val="single" w:sz="2" w:space="0" w:color="auto"/>
              <w:left w:val="single" w:sz="2" w:space="0" w:color="auto"/>
              <w:bottom w:val="single" w:sz="2" w:space="0" w:color="auto"/>
              <w:right w:val="single" w:sz="2" w:space="0" w:color="auto"/>
            </w:tcBorders>
            <w:vAlign w:val="center"/>
          </w:tcPr>
          <w:p w14:paraId="27B4F8E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292,780,411.05</w:t>
            </w:r>
          </w:p>
        </w:tc>
        <w:tc>
          <w:tcPr>
            <w:tcW w:w="1928" w:type="dxa"/>
            <w:tcBorders>
              <w:top w:val="single" w:sz="2" w:space="0" w:color="auto"/>
              <w:left w:val="single" w:sz="2" w:space="0" w:color="auto"/>
              <w:bottom w:val="single" w:sz="2" w:space="0" w:color="auto"/>
              <w:right w:val="single" w:sz="2" w:space="0" w:color="auto"/>
            </w:tcBorders>
            <w:vAlign w:val="center"/>
          </w:tcPr>
          <w:p w14:paraId="64BDA928"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B0F4B4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330,025,083.29</w:t>
            </w:r>
          </w:p>
        </w:tc>
      </w:tr>
    </w:tbl>
    <w:p w14:paraId="5924CF20"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其他说明，包括本期增减变动情况、变动原因说明：</w:t>
      </w:r>
    </w:p>
    <w:p w14:paraId="742AEC3E" w14:textId="77777777" w:rsidR="00872599" w:rsidRPr="00F614F9" w:rsidRDefault="00000000" w:rsidP="00AD32B3">
      <w:pPr>
        <w:pStyle w:val="a3"/>
        <w:spacing w:before="0" w:beforeAutospacing="0" w:after="0" w:afterAutospacing="0" w:line="276" w:lineRule="auto"/>
        <w:ind w:firstLineChars="200" w:firstLine="360"/>
        <w:jc w:val="both"/>
        <w:divId w:val="1097941127"/>
        <w:rPr>
          <w:rFonts w:ascii="Times New Roman" w:hAnsi="Times New Roman" w:cs="Times New Roman"/>
          <w:sz w:val="21"/>
          <w:szCs w:val="21"/>
        </w:rPr>
      </w:pPr>
      <w:r w:rsidRPr="00F614F9">
        <w:rPr>
          <w:rFonts w:ascii="Times New Roman" w:hAnsi="Times New Roman" w:cs="Times New Roman" w:hint="eastAsia"/>
          <w:sz w:val="18"/>
          <w:szCs w:val="18"/>
        </w:rPr>
        <w:t>本年库存股增加系</w:t>
      </w:r>
      <w:r w:rsidRPr="00F614F9">
        <w:rPr>
          <w:rFonts w:ascii="Times New Roman" w:hAnsi="Times New Roman" w:cs="Times New Roman" w:hint="eastAsia"/>
          <w:sz w:val="18"/>
          <w:szCs w:val="18"/>
        </w:rPr>
        <w:t>2022</w:t>
      </w:r>
      <w:r w:rsidRPr="00F614F9">
        <w:rPr>
          <w:rFonts w:ascii="Times New Roman" w:hAnsi="Times New Roman" w:cs="Times New Roman" w:hint="eastAsia"/>
          <w:sz w:val="18"/>
          <w:szCs w:val="18"/>
        </w:rPr>
        <w:t>年</w:t>
      </w:r>
      <w:r w:rsidRPr="00F614F9">
        <w:rPr>
          <w:rFonts w:ascii="Times New Roman" w:hAnsi="Times New Roman" w:cs="Times New Roman" w:hint="eastAsia"/>
          <w:sz w:val="18"/>
          <w:szCs w:val="18"/>
        </w:rPr>
        <w:t>11</w:t>
      </w:r>
      <w:r w:rsidRPr="00F614F9">
        <w:rPr>
          <w:rFonts w:ascii="Times New Roman" w:hAnsi="Times New Roman" w:cs="Times New Roman" w:hint="eastAsia"/>
          <w:sz w:val="18"/>
          <w:szCs w:val="18"/>
        </w:rPr>
        <w:t>月</w:t>
      </w:r>
      <w:r w:rsidRPr="00F614F9">
        <w:rPr>
          <w:rFonts w:ascii="Times New Roman" w:hAnsi="Times New Roman" w:cs="Times New Roman" w:hint="eastAsia"/>
          <w:sz w:val="18"/>
          <w:szCs w:val="18"/>
        </w:rPr>
        <w:t>14</w:t>
      </w:r>
      <w:r w:rsidRPr="00F614F9">
        <w:rPr>
          <w:rFonts w:ascii="Times New Roman" w:hAnsi="Times New Roman" w:cs="Times New Roman" w:hint="eastAsia"/>
          <w:sz w:val="18"/>
          <w:szCs w:val="18"/>
        </w:rPr>
        <w:t>日，公司第五届董事会第八次会议审议通过《关于公司以集中竞价方式回购股份方案的议案》，同意使用自有资金以集中竞价交易方式回购公司部分已发行的人民币普通股（</w:t>
      </w:r>
      <w:r w:rsidRPr="00F614F9">
        <w:rPr>
          <w:rFonts w:ascii="Times New Roman" w:hAnsi="Times New Roman" w:cs="Times New Roman" w:hint="eastAsia"/>
          <w:sz w:val="18"/>
          <w:szCs w:val="18"/>
        </w:rPr>
        <w:t>A</w:t>
      </w:r>
      <w:r w:rsidRPr="00F614F9">
        <w:rPr>
          <w:rFonts w:ascii="Times New Roman" w:hAnsi="Times New Roman" w:cs="Times New Roman" w:hint="eastAsia"/>
          <w:sz w:val="18"/>
          <w:szCs w:val="18"/>
        </w:rPr>
        <w:t>股）股份，作为后期实施员工持股计划或股权激励计划的股份来源，公司已完成回购的库存股。</w:t>
      </w:r>
    </w:p>
    <w:p w14:paraId="2DB5FCC3" w14:textId="77777777" w:rsidR="001D26E7" w:rsidRPr="00F614F9" w:rsidRDefault="00000000">
      <w:pPr>
        <w:pStyle w:val="3"/>
        <w:spacing w:line="280" w:lineRule="exact"/>
        <w:jc w:val="left"/>
        <w:rPr>
          <w:rFonts w:ascii="Times New Roman" w:hAnsi="Times New Roman" w:cs="宋体"/>
          <w:b/>
          <w:bCs/>
        </w:rPr>
      </w:pPr>
      <w:bookmarkStart w:id="470" w:name="_Toc989308"/>
      <w:r w:rsidRPr="00F614F9">
        <w:rPr>
          <w:rFonts w:ascii="Times New Roman" w:hAnsi="Times New Roman" w:cs="宋体"/>
          <w:b/>
          <w:bCs/>
        </w:rPr>
        <w:t>57</w:t>
      </w:r>
      <w:r w:rsidRPr="00F614F9">
        <w:rPr>
          <w:rFonts w:ascii="Times New Roman" w:hAnsi="Times New Roman" w:cs="宋体"/>
          <w:b/>
          <w:bCs/>
        </w:rPr>
        <w:t>、其他综合收益</w:t>
      </w:r>
      <w:bookmarkEnd w:id="470"/>
    </w:p>
    <w:p w14:paraId="39AE9098"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370"/>
        <w:gridCol w:w="1134"/>
        <w:gridCol w:w="850"/>
        <w:gridCol w:w="930"/>
        <w:gridCol w:w="771"/>
        <w:gridCol w:w="1371"/>
        <w:gridCol w:w="756"/>
        <w:gridCol w:w="1386"/>
      </w:tblGrid>
      <w:tr w:rsidR="001D26E7" w:rsidRPr="00F614F9" w14:paraId="4BFDEB92" w14:textId="77777777" w:rsidTr="00AD32B3">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8EDE33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137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931D60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5812"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67ED5EF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138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860934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r>
      <w:tr w:rsidR="001D26E7" w:rsidRPr="00F614F9" w14:paraId="0AAD26DF" w14:textId="77777777" w:rsidTr="00AD32B3">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7431A67" w14:textId="77777777" w:rsidR="001D26E7" w:rsidRPr="00F614F9" w:rsidRDefault="001D26E7">
            <w:pPr>
              <w:rPr>
                <w:rFonts w:ascii="Times New Roman" w:hAnsi="Times New Roman"/>
              </w:rPr>
            </w:pPr>
          </w:p>
        </w:tc>
        <w:tc>
          <w:tcPr>
            <w:tcW w:w="137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458BD82" w14:textId="77777777" w:rsidR="001D26E7" w:rsidRPr="00F614F9" w:rsidRDefault="001D26E7">
            <w:pPr>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B6AE0C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本期所得税前发生额</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3E3DB66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减：前期计入其他综合收益当期转入损益</w:t>
            </w:r>
          </w:p>
        </w:tc>
        <w:tc>
          <w:tcPr>
            <w:tcW w:w="930" w:type="dxa"/>
            <w:tcBorders>
              <w:top w:val="single" w:sz="2" w:space="0" w:color="auto"/>
              <w:left w:val="single" w:sz="2" w:space="0" w:color="auto"/>
              <w:bottom w:val="single" w:sz="2" w:space="0" w:color="auto"/>
              <w:right w:val="single" w:sz="2" w:space="0" w:color="auto"/>
            </w:tcBorders>
            <w:shd w:val="clear" w:color="auto" w:fill="D3D3D3"/>
            <w:vAlign w:val="center"/>
          </w:tcPr>
          <w:p w14:paraId="608BD9F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减：前期计入其他综合收益当期转入留存收益</w:t>
            </w:r>
          </w:p>
        </w:tc>
        <w:tc>
          <w:tcPr>
            <w:tcW w:w="771" w:type="dxa"/>
            <w:tcBorders>
              <w:top w:val="single" w:sz="2" w:space="0" w:color="auto"/>
              <w:left w:val="single" w:sz="2" w:space="0" w:color="auto"/>
              <w:bottom w:val="single" w:sz="2" w:space="0" w:color="auto"/>
              <w:right w:val="single" w:sz="2" w:space="0" w:color="auto"/>
            </w:tcBorders>
            <w:shd w:val="clear" w:color="auto" w:fill="D3D3D3"/>
            <w:vAlign w:val="center"/>
          </w:tcPr>
          <w:p w14:paraId="7035FAA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减：所得税费用</w:t>
            </w:r>
          </w:p>
        </w:tc>
        <w:tc>
          <w:tcPr>
            <w:tcW w:w="1371" w:type="dxa"/>
            <w:tcBorders>
              <w:top w:val="single" w:sz="2" w:space="0" w:color="auto"/>
              <w:left w:val="single" w:sz="2" w:space="0" w:color="auto"/>
              <w:bottom w:val="single" w:sz="2" w:space="0" w:color="auto"/>
              <w:right w:val="single" w:sz="2" w:space="0" w:color="auto"/>
            </w:tcBorders>
            <w:shd w:val="clear" w:color="auto" w:fill="D3D3D3"/>
            <w:vAlign w:val="center"/>
          </w:tcPr>
          <w:p w14:paraId="61DDA04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税后归属于母公司</w:t>
            </w:r>
          </w:p>
        </w:tc>
        <w:tc>
          <w:tcPr>
            <w:tcW w:w="756" w:type="dxa"/>
            <w:tcBorders>
              <w:top w:val="single" w:sz="2" w:space="0" w:color="auto"/>
              <w:left w:val="single" w:sz="2" w:space="0" w:color="auto"/>
              <w:bottom w:val="single" w:sz="2" w:space="0" w:color="auto"/>
              <w:right w:val="single" w:sz="2" w:space="0" w:color="auto"/>
            </w:tcBorders>
            <w:shd w:val="clear" w:color="auto" w:fill="D3D3D3"/>
            <w:vAlign w:val="center"/>
          </w:tcPr>
          <w:p w14:paraId="0E5B765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税后归属于少数股东</w:t>
            </w:r>
          </w:p>
        </w:tc>
        <w:tc>
          <w:tcPr>
            <w:tcW w:w="138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5D72B83" w14:textId="77777777" w:rsidR="001D26E7" w:rsidRPr="00F614F9" w:rsidRDefault="001D26E7">
            <w:pPr>
              <w:rPr>
                <w:rFonts w:ascii="Times New Roman" w:hAnsi="Times New Roman"/>
              </w:rPr>
            </w:pPr>
          </w:p>
        </w:tc>
      </w:tr>
      <w:tr w:rsidR="001D26E7" w:rsidRPr="00F614F9" w14:paraId="4C5542FA" w14:textId="77777777" w:rsidTr="00AD32B3">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FB8EA2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一、不能重分类进损益的其他综合收益</w:t>
            </w:r>
          </w:p>
        </w:tc>
        <w:tc>
          <w:tcPr>
            <w:tcW w:w="1370" w:type="dxa"/>
            <w:tcBorders>
              <w:top w:val="single" w:sz="2" w:space="0" w:color="auto"/>
              <w:left w:val="single" w:sz="2" w:space="0" w:color="auto"/>
              <w:bottom w:val="single" w:sz="2" w:space="0" w:color="auto"/>
              <w:right w:val="single" w:sz="2" w:space="0" w:color="auto"/>
            </w:tcBorders>
            <w:vAlign w:val="center"/>
          </w:tcPr>
          <w:p w14:paraId="63FC2D1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-11,777,820.33</w:t>
            </w:r>
          </w:p>
        </w:tc>
        <w:tc>
          <w:tcPr>
            <w:tcW w:w="1134" w:type="dxa"/>
            <w:tcBorders>
              <w:top w:val="single" w:sz="2" w:space="0" w:color="auto"/>
              <w:left w:val="single" w:sz="2" w:space="0" w:color="auto"/>
              <w:bottom w:val="single" w:sz="2" w:space="0" w:color="auto"/>
              <w:right w:val="single" w:sz="2" w:space="0" w:color="auto"/>
            </w:tcBorders>
            <w:vAlign w:val="center"/>
          </w:tcPr>
          <w:p w14:paraId="5C5AB1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850" w:type="dxa"/>
            <w:tcBorders>
              <w:top w:val="single" w:sz="2" w:space="0" w:color="auto"/>
              <w:left w:val="single" w:sz="2" w:space="0" w:color="auto"/>
              <w:bottom w:val="single" w:sz="2" w:space="0" w:color="auto"/>
              <w:right w:val="single" w:sz="2" w:space="0" w:color="auto"/>
            </w:tcBorders>
            <w:vAlign w:val="center"/>
          </w:tcPr>
          <w:p w14:paraId="1E54CBC2" w14:textId="77777777" w:rsidR="001D26E7" w:rsidRPr="00F614F9" w:rsidRDefault="001D26E7">
            <w:pPr>
              <w:spacing w:line="240" w:lineRule="exact"/>
              <w:jc w:val="right"/>
              <w:rPr>
                <w:rFonts w:ascii="Times New Roman" w:eastAsia="宋体" w:hAnsi="Times New Roman" w:cs="宋体"/>
                <w:sz w:val="18"/>
                <w:szCs w:val="18"/>
              </w:rPr>
            </w:pPr>
          </w:p>
        </w:tc>
        <w:tc>
          <w:tcPr>
            <w:tcW w:w="930" w:type="dxa"/>
            <w:tcBorders>
              <w:top w:val="single" w:sz="2" w:space="0" w:color="auto"/>
              <w:left w:val="single" w:sz="2" w:space="0" w:color="auto"/>
              <w:bottom w:val="single" w:sz="2" w:space="0" w:color="auto"/>
              <w:right w:val="single" w:sz="2" w:space="0" w:color="auto"/>
            </w:tcBorders>
            <w:vAlign w:val="center"/>
          </w:tcPr>
          <w:p w14:paraId="36199750" w14:textId="77777777" w:rsidR="001D26E7" w:rsidRPr="00F614F9" w:rsidRDefault="001D26E7">
            <w:pPr>
              <w:spacing w:line="240" w:lineRule="exact"/>
              <w:jc w:val="right"/>
              <w:rPr>
                <w:rFonts w:ascii="Times New Roman" w:eastAsia="宋体" w:hAnsi="Times New Roman" w:cs="宋体"/>
                <w:sz w:val="18"/>
                <w:szCs w:val="18"/>
              </w:rPr>
            </w:pPr>
          </w:p>
        </w:tc>
        <w:tc>
          <w:tcPr>
            <w:tcW w:w="771" w:type="dxa"/>
            <w:tcBorders>
              <w:top w:val="single" w:sz="2" w:space="0" w:color="auto"/>
              <w:left w:val="single" w:sz="2" w:space="0" w:color="auto"/>
              <w:bottom w:val="single" w:sz="2" w:space="0" w:color="auto"/>
              <w:right w:val="single" w:sz="2" w:space="0" w:color="auto"/>
            </w:tcBorders>
            <w:vAlign w:val="center"/>
          </w:tcPr>
          <w:p w14:paraId="0ECE96A2" w14:textId="77777777" w:rsidR="001D26E7" w:rsidRPr="00F614F9" w:rsidRDefault="001D26E7">
            <w:pPr>
              <w:spacing w:line="240" w:lineRule="exact"/>
              <w:jc w:val="right"/>
              <w:rPr>
                <w:rFonts w:ascii="Times New Roman" w:eastAsia="宋体" w:hAnsi="Times New Roman" w:cs="宋体"/>
                <w:sz w:val="18"/>
                <w:szCs w:val="18"/>
              </w:rPr>
            </w:pPr>
          </w:p>
        </w:tc>
        <w:tc>
          <w:tcPr>
            <w:tcW w:w="1371" w:type="dxa"/>
            <w:tcBorders>
              <w:top w:val="single" w:sz="2" w:space="0" w:color="auto"/>
              <w:left w:val="single" w:sz="2" w:space="0" w:color="auto"/>
              <w:bottom w:val="single" w:sz="2" w:space="0" w:color="auto"/>
              <w:right w:val="single" w:sz="2" w:space="0" w:color="auto"/>
            </w:tcBorders>
            <w:vAlign w:val="center"/>
          </w:tcPr>
          <w:p w14:paraId="26756BA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756" w:type="dxa"/>
            <w:tcBorders>
              <w:top w:val="single" w:sz="2" w:space="0" w:color="auto"/>
              <w:left w:val="single" w:sz="2" w:space="0" w:color="auto"/>
              <w:bottom w:val="single" w:sz="2" w:space="0" w:color="auto"/>
              <w:right w:val="single" w:sz="2" w:space="0" w:color="auto"/>
            </w:tcBorders>
            <w:vAlign w:val="center"/>
          </w:tcPr>
          <w:p w14:paraId="01B0360C" w14:textId="77777777" w:rsidR="001D26E7" w:rsidRPr="00F614F9" w:rsidRDefault="001D26E7">
            <w:pPr>
              <w:spacing w:line="240" w:lineRule="exact"/>
              <w:jc w:val="right"/>
              <w:rPr>
                <w:rFonts w:ascii="Times New Roman" w:eastAsia="宋体" w:hAnsi="Times New Roman" w:cs="宋体"/>
                <w:sz w:val="18"/>
                <w:szCs w:val="18"/>
              </w:rPr>
            </w:pPr>
          </w:p>
        </w:tc>
        <w:tc>
          <w:tcPr>
            <w:tcW w:w="1386" w:type="dxa"/>
            <w:tcBorders>
              <w:top w:val="single" w:sz="2" w:space="0" w:color="auto"/>
              <w:left w:val="single" w:sz="2" w:space="0" w:color="auto"/>
              <w:bottom w:val="single" w:sz="2" w:space="0" w:color="auto"/>
              <w:right w:val="single" w:sz="2" w:space="0" w:color="auto"/>
            </w:tcBorders>
            <w:vAlign w:val="center"/>
          </w:tcPr>
          <w:p w14:paraId="6016234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-12,100,000.00</w:t>
            </w:r>
          </w:p>
        </w:tc>
      </w:tr>
      <w:tr w:rsidR="001D26E7" w:rsidRPr="00F614F9" w14:paraId="11DDB549" w14:textId="77777777" w:rsidTr="00AD32B3">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DF740EA"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其他权益工具投资公允价值变动</w:t>
            </w:r>
          </w:p>
        </w:tc>
        <w:tc>
          <w:tcPr>
            <w:tcW w:w="1370" w:type="dxa"/>
            <w:tcBorders>
              <w:top w:val="single" w:sz="2" w:space="0" w:color="auto"/>
              <w:left w:val="single" w:sz="2" w:space="0" w:color="auto"/>
              <w:bottom w:val="single" w:sz="2" w:space="0" w:color="auto"/>
              <w:right w:val="single" w:sz="2" w:space="0" w:color="auto"/>
            </w:tcBorders>
            <w:vAlign w:val="center"/>
          </w:tcPr>
          <w:p w14:paraId="118257E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-11,777,820.33</w:t>
            </w:r>
          </w:p>
        </w:tc>
        <w:tc>
          <w:tcPr>
            <w:tcW w:w="1134" w:type="dxa"/>
            <w:tcBorders>
              <w:top w:val="single" w:sz="2" w:space="0" w:color="auto"/>
              <w:left w:val="single" w:sz="2" w:space="0" w:color="auto"/>
              <w:bottom w:val="single" w:sz="2" w:space="0" w:color="auto"/>
              <w:right w:val="single" w:sz="2" w:space="0" w:color="auto"/>
            </w:tcBorders>
            <w:vAlign w:val="center"/>
          </w:tcPr>
          <w:p w14:paraId="50722AC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850" w:type="dxa"/>
            <w:tcBorders>
              <w:top w:val="single" w:sz="2" w:space="0" w:color="auto"/>
              <w:left w:val="single" w:sz="2" w:space="0" w:color="auto"/>
              <w:bottom w:val="single" w:sz="2" w:space="0" w:color="auto"/>
              <w:right w:val="single" w:sz="2" w:space="0" w:color="auto"/>
            </w:tcBorders>
            <w:vAlign w:val="center"/>
          </w:tcPr>
          <w:p w14:paraId="46DFFE8B" w14:textId="77777777" w:rsidR="001D26E7" w:rsidRPr="00F614F9" w:rsidRDefault="001D26E7">
            <w:pPr>
              <w:spacing w:line="240" w:lineRule="exact"/>
              <w:jc w:val="right"/>
              <w:rPr>
                <w:rFonts w:ascii="Times New Roman" w:eastAsia="宋体" w:hAnsi="Times New Roman" w:cs="宋体"/>
                <w:sz w:val="18"/>
                <w:szCs w:val="18"/>
              </w:rPr>
            </w:pPr>
          </w:p>
        </w:tc>
        <w:tc>
          <w:tcPr>
            <w:tcW w:w="930" w:type="dxa"/>
            <w:tcBorders>
              <w:top w:val="single" w:sz="2" w:space="0" w:color="auto"/>
              <w:left w:val="single" w:sz="2" w:space="0" w:color="auto"/>
              <w:bottom w:val="single" w:sz="2" w:space="0" w:color="auto"/>
              <w:right w:val="single" w:sz="2" w:space="0" w:color="auto"/>
            </w:tcBorders>
            <w:vAlign w:val="center"/>
          </w:tcPr>
          <w:p w14:paraId="1A34E3B4" w14:textId="77777777" w:rsidR="001D26E7" w:rsidRPr="00F614F9" w:rsidRDefault="001D26E7">
            <w:pPr>
              <w:spacing w:line="240" w:lineRule="exact"/>
              <w:jc w:val="right"/>
              <w:rPr>
                <w:rFonts w:ascii="Times New Roman" w:eastAsia="宋体" w:hAnsi="Times New Roman" w:cs="宋体"/>
                <w:sz w:val="18"/>
                <w:szCs w:val="18"/>
              </w:rPr>
            </w:pPr>
          </w:p>
        </w:tc>
        <w:tc>
          <w:tcPr>
            <w:tcW w:w="771" w:type="dxa"/>
            <w:tcBorders>
              <w:top w:val="single" w:sz="2" w:space="0" w:color="auto"/>
              <w:left w:val="single" w:sz="2" w:space="0" w:color="auto"/>
              <w:bottom w:val="single" w:sz="2" w:space="0" w:color="auto"/>
              <w:right w:val="single" w:sz="2" w:space="0" w:color="auto"/>
            </w:tcBorders>
            <w:vAlign w:val="center"/>
          </w:tcPr>
          <w:p w14:paraId="7A10359F" w14:textId="77777777" w:rsidR="001D26E7" w:rsidRPr="00F614F9" w:rsidRDefault="001D26E7">
            <w:pPr>
              <w:spacing w:line="240" w:lineRule="exact"/>
              <w:jc w:val="right"/>
              <w:rPr>
                <w:rFonts w:ascii="Times New Roman" w:eastAsia="宋体" w:hAnsi="Times New Roman" w:cs="宋体"/>
                <w:sz w:val="18"/>
                <w:szCs w:val="18"/>
              </w:rPr>
            </w:pPr>
          </w:p>
        </w:tc>
        <w:tc>
          <w:tcPr>
            <w:tcW w:w="1371" w:type="dxa"/>
            <w:tcBorders>
              <w:top w:val="single" w:sz="2" w:space="0" w:color="auto"/>
              <w:left w:val="single" w:sz="2" w:space="0" w:color="auto"/>
              <w:bottom w:val="single" w:sz="2" w:space="0" w:color="auto"/>
              <w:right w:val="single" w:sz="2" w:space="0" w:color="auto"/>
            </w:tcBorders>
            <w:vAlign w:val="center"/>
          </w:tcPr>
          <w:p w14:paraId="5AE60EA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756" w:type="dxa"/>
            <w:tcBorders>
              <w:top w:val="single" w:sz="2" w:space="0" w:color="auto"/>
              <w:left w:val="single" w:sz="2" w:space="0" w:color="auto"/>
              <w:bottom w:val="single" w:sz="2" w:space="0" w:color="auto"/>
              <w:right w:val="single" w:sz="2" w:space="0" w:color="auto"/>
            </w:tcBorders>
            <w:vAlign w:val="center"/>
          </w:tcPr>
          <w:p w14:paraId="46CDA457" w14:textId="77777777" w:rsidR="001D26E7" w:rsidRPr="00F614F9" w:rsidRDefault="001D26E7">
            <w:pPr>
              <w:spacing w:line="240" w:lineRule="exact"/>
              <w:jc w:val="right"/>
              <w:rPr>
                <w:rFonts w:ascii="Times New Roman" w:eastAsia="宋体" w:hAnsi="Times New Roman" w:cs="宋体"/>
                <w:sz w:val="18"/>
                <w:szCs w:val="18"/>
              </w:rPr>
            </w:pPr>
          </w:p>
        </w:tc>
        <w:tc>
          <w:tcPr>
            <w:tcW w:w="1386" w:type="dxa"/>
            <w:tcBorders>
              <w:top w:val="single" w:sz="2" w:space="0" w:color="auto"/>
              <w:left w:val="single" w:sz="2" w:space="0" w:color="auto"/>
              <w:bottom w:val="single" w:sz="2" w:space="0" w:color="auto"/>
              <w:right w:val="single" w:sz="2" w:space="0" w:color="auto"/>
            </w:tcBorders>
            <w:vAlign w:val="center"/>
          </w:tcPr>
          <w:p w14:paraId="5A267ED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-12,100,000.00</w:t>
            </w:r>
          </w:p>
        </w:tc>
      </w:tr>
      <w:tr w:rsidR="001D26E7" w:rsidRPr="00F614F9" w14:paraId="6CCA76F1" w14:textId="77777777" w:rsidTr="00AD32B3">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180729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其他综合收益合计</w:t>
            </w:r>
          </w:p>
        </w:tc>
        <w:tc>
          <w:tcPr>
            <w:tcW w:w="1370" w:type="dxa"/>
            <w:tcBorders>
              <w:top w:val="single" w:sz="2" w:space="0" w:color="auto"/>
              <w:left w:val="single" w:sz="2" w:space="0" w:color="auto"/>
              <w:bottom w:val="single" w:sz="2" w:space="0" w:color="auto"/>
              <w:right w:val="single" w:sz="2" w:space="0" w:color="auto"/>
            </w:tcBorders>
            <w:vAlign w:val="center"/>
          </w:tcPr>
          <w:p w14:paraId="37B7A4E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-11,777,820.33</w:t>
            </w:r>
          </w:p>
        </w:tc>
        <w:tc>
          <w:tcPr>
            <w:tcW w:w="1134" w:type="dxa"/>
            <w:tcBorders>
              <w:top w:val="single" w:sz="2" w:space="0" w:color="auto"/>
              <w:left w:val="single" w:sz="2" w:space="0" w:color="auto"/>
              <w:bottom w:val="single" w:sz="2" w:space="0" w:color="auto"/>
              <w:right w:val="single" w:sz="2" w:space="0" w:color="auto"/>
            </w:tcBorders>
            <w:vAlign w:val="center"/>
          </w:tcPr>
          <w:p w14:paraId="1B3DFA4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850" w:type="dxa"/>
            <w:tcBorders>
              <w:top w:val="single" w:sz="2" w:space="0" w:color="auto"/>
              <w:left w:val="single" w:sz="2" w:space="0" w:color="auto"/>
              <w:bottom w:val="single" w:sz="2" w:space="0" w:color="auto"/>
              <w:right w:val="single" w:sz="2" w:space="0" w:color="auto"/>
            </w:tcBorders>
            <w:vAlign w:val="center"/>
          </w:tcPr>
          <w:p w14:paraId="33B82CBF" w14:textId="77777777" w:rsidR="001D26E7" w:rsidRPr="00F614F9" w:rsidRDefault="001D26E7">
            <w:pPr>
              <w:spacing w:line="240" w:lineRule="exact"/>
              <w:jc w:val="right"/>
              <w:rPr>
                <w:rFonts w:ascii="Times New Roman" w:eastAsia="宋体" w:hAnsi="Times New Roman" w:cs="宋体"/>
                <w:sz w:val="18"/>
                <w:szCs w:val="18"/>
              </w:rPr>
            </w:pPr>
          </w:p>
        </w:tc>
        <w:tc>
          <w:tcPr>
            <w:tcW w:w="930" w:type="dxa"/>
            <w:tcBorders>
              <w:top w:val="single" w:sz="2" w:space="0" w:color="auto"/>
              <w:left w:val="single" w:sz="2" w:space="0" w:color="auto"/>
              <w:bottom w:val="single" w:sz="2" w:space="0" w:color="auto"/>
              <w:right w:val="single" w:sz="2" w:space="0" w:color="auto"/>
            </w:tcBorders>
            <w:vAlign w:val="center"/>
          </w:tcPr>
          <w:p w14:paraId="3B996DE2" w14:textId="77777777" w:rsidR="001D26E7" w:rsidRPr="00F614F9" w:rsidRDefault="001D26E7">
            <w:pPr>
              <w:spacing w:line="240" w:lineRule="exact"/>
              <w:jc w:val="right"/>
              <w:rPr>
                <w:rFonts w:ascii="Times New Roman" w:eastAsia="宋体" w:hAnsi="Times New Roman" w:cs="宋体"/>
                <w:sz w:val="18"/>
                <w:szCs w:val="18"/>
              </w:rPr>
            </w:pPr>
          </w:p>
        </w:tc>
        <w:tc>
          <w:tcPr>
            <w:tcW w:w="771" w:type="dxa"/>
            <w:tcBorders>
              <w:top w:val="single" w:sz="2" w:space="0" w:color="auto"/>
              <w:left w:val="single" w:sz="2" w:space="0" w:color="auto"/>
              <w:bottom w:val="single" w:sz="2" w:space="0" w:color="auto"/>
              <w:right w:val="single" w:sz="2" w:space="0" w:color="auto"/>
            </w:tcBorders>
            <w:vAlign w:val="center"/>
          </w:tcPr>
          <w:p w14:paraId="0819506B" w14:textId="77777777" w:rsidR="001D26E7" w:rsidRPr="00F614F9" w:rsidRDefault="001D26E7">
            <w:pPr>
              <w:spacing w:line="240" w:lineRule="exact"/>
              <w:jc w:val="right"/>
              <w:rPr>
                <w:rFonts w:ascii="Times New Roman" w:eastAsia="宋体" w:hAnsi="Times New Roman" w:cs="宋体"/>
                <w:sz w:val="18"/>
                <w:szCs w:val="18"/>
              </w:rPr>
            </w:pPr>
          </w:p>
        </w:tc>
        <w:tc>
          <w:tcPr>
            <w:tcW w:w="1371" w:type="dxa"/>
            <w:tcBorders>
              <w:top w:val="single" w:sz="2" w:space="0" w:color="auto"/>
              <w:left w:val="single" w:sz="2" w:space="0" w:color="auto"/>
              <w:bottom w:val="single" w:sz="2" w:space="0" w:color="auto"/>
              <w:right w:val="single" w:sz="2" w:space="0" w:color="auto"/>
            </w:tcBorders>
            <w:vAlign w:val="center"/>
          </w:tcPr>
          <w:p w14:paraId="4E2EE02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-322,179.67</w:t>
            </w:r>
          </w:p>
        </w:tc>
        <w:tc>
          <w:tcPr>
            <w:tcW w:w="756" w:type="dxa"/>
            <w:tcBorders>
              <w:top w:val="single" w:sz="2" w:space="0" w:color="auto"/>
              <w:left w:val="single" w:sz="2" w:space="0" w:color="auto"/>
              <w:bottom w:val="single" w:sz="2" w:space="0" w:color="auto"/>
              <w:right w:val="single" w:sz="2" w:space="0" w:color="auto"/>
            </w:tcBorders>
            <w:vAlign w:val="center"/>
          </w:tcPr>
          <w:p w14:paraId="775921DC" w14:textId="77777777" w:rsidR="001D26E7" w:rsidRPr="00F614F9" w:rsidRDefault="001D26E7">
            <w:pPr>
              <w:spacing w:line="240" w:lineRule="exact"/>
              <w:jc w:val="right"/>
              <w:rPr>
                <w:rFonts w:ascii="Times New Roman" w:eastAsia="宋体" w:hAnsi="Times New Roman" w:cs="宋体"/>
                <w:sz w:val="18"/>
                <w:szCs w:val="18"/>
              </w:rPr>
            </w:pPr>
          </w:p>
        </w:tc>
        <w:tc>
          <w:tcPr>
            <w:tcW w:w="1386" w:type="dxa"/>
            <w:tcBorders>
              <w:top w:val="single" w:sz="2" w:space="0" w:color="auto"/>
              <w:left w:val="single" w:sz="2" w:space="0" w:color="auto"/>
              <w:bottom w:val="single" w:sz="2" w:space="0" w:color="auto"/>
              <w:right w:val="single" w:sz="2" w:space="0" w:color="auto"/>
            </w:tcBorders>
            <w:vAlign w:val="center"/>
          </w:tcPr>
          <w:p w14:paraId="3174E6E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-12,100,000.00</w:t>
            </w:r>
          </w:p>
        </w:tc>
      </w:tr>
    </w:tbl>
    <w:p w14:paraId="2E41EBA5"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其他说明，包括对现金流量套期损益的有效部分转为被套</w:t>
      </w:r>
      <w:proofErr w:type="gramStart"/>
      <w:r w:rsidRPr="00F614F9">
        <w:rPr>
          <w:rFonts w:ascii="Times New Roman" w:eastAsia="宋体" w:hAnsi="Times New Roman" w:cs="宋体"/>
          <w:sz w:val="18"/>
          <w:szCs w:val="18"/>
        </w:rPr>
        <w:t>期项目</w:t>
      </w:r>
      <w:proofErr w:type="gramEnd"/>
      <w:r w:rsidRPr="00F614F9">
        <w:rPr>
          <w:rFonts w:ascii="Times New Roman" w:eastAsia="宋体" w:hAnsi="Times New Roman" w:cs="宋体"/>
          <w:sz w:val="18"/>
          <w:szCs w:val="18"/>
        </w:rPr>
        <w:t>初始确认金额调整：</w:t>
      </w:r>
    </w:p>
    <w:p w14:paraId="31F9E897" w14:textId="77777777" w:rsidR="001D26E7" w:rsidRPr="00F614F9" w:rsidRDefault="00AD32B3">
      <w:pPr>
        <w:rPr>
          <w:rFonts w:ascii="Times New Roman" w:hAnsi="Times New Roman"/>
        </w:rPr>
      </w:pPr>
      <w:r w:rsidRPr="00F614F9">
        <w:rPr>
          <w:rFonts w:ascii="Times New Roman" w:hAnsi="Times New Roman" w:hint="eastAsia"/>
        </w:rPr>
        <w:lastRenderedPageBreak/>
        <w:t>无</w:t>
      </w:r>
    </w:p>
    <w:p w14:paraId="5B5CC5EA" w14:textId="77777777" w:rsidR="001D26E7" w:rsidRPr="00F614F9" w:rsidRDefault="00000000">
      <w:pPr>
        <w:pStyle w:val="3"/>
        <w:spacing w:line="280" w:lineRule="exact"/>
        <w:jc w:val="left"/>
        <w:rPr>
          <w:rFonts w:ascii="Times New Roman" w:hAnsi="Times New Roman" w:cs="宋体"/>
          <w:b/>
          <w:bCs/>
        </w:rPr>
      </w:pPr>
      <w:bookmarkStart w:id="471" w:name="_Toc989309"/>
      <w:r w:rsidRPr="00F614F9">
        <w:rPr>
          <w:rFonts w:ascii="Times New Roman" w:hAnsi="Times New Roman" w:cs="宋体"/>
          <w:b/>
          <w:bCs/>
        </w:rPr>
        <w:t>58</w:t>
      </w:r>
      <w:r w:rsidRPr="00F614F9">
        <w:rPr>
          <w:rFonts w:ascii="Times New Roman" w:hAnsi="Times New Roman" w:cs="宋体"/>
          <w:b/>
          <w:bCs/>
        </w:rPr>
        <w:t>、专项储备</w:t>
      </w:r>
      <w:bookmarkEnd w:id="471"/>
    </w:p>
    <w:p w14:paraId="112192C7" w14:textId="77777777" w:rsidR="00872599" w:rsidRPr="00F614F9" w:rsidRDefault="00000000">
      <w:pPr>
        <w:pStyle w:val="a3"/>
        <w:divId w:val="1331367376"/>
        <w:rPr>
          <w:rFonts w:ascii="Times New Roman" w:hAnsi="Times New Roman"/>
          <w:sz w:val="18"/>
          <w:szCs w:val="18"/>
        </w:rPr>
      </w:pPr>
      <w:r w:rsidRPr="00F614F9">
        <w:rPr>
          <w:rFonts w:ascii="Times New Roman" w:hAnsi="Times New Roman" w:hint="eastAsia"/>
          <w:sz w:val="18"/>
          <w:szCs w:val="18"/>
        </w:rPr>
        <w:t>无</w:t>
      </w:r>
    </w:p>
    <w:p w14:paraId="50089DEE" w14:textId="77777777" w:rsidR="001D26E7" w:rsidRPr="00F614F9" w:rsidRDefault="00000000">
      <w:pPr>
        <w:pStyle w:val="3"/>
        <w:spacing w:line="280" w:lineRule="exact"/>
        <w:jc w:val="left"/>
        <w:rPr>
          <w:rFonts w:ascii="Times New Roman" w:hAnsi="Times New Roman" w:cs="宋体"/>
          <w:b/>
          <w:bCs/>
        </w:rPr>
      </w:pPr>
      <w:bookmarkStart w:id="472" w:name="_Toc989310"/>
      <w:r w:rsidRPr="00F614F9">
        <w:rPr>
          <w:rFonts w:ascii="Times New Roman" w:hAnsi="Times New Roman" w:cs="宋体"/>
          <w:b/>
          <w:bCs/>
        </w:rPr>
        <w:t>59</w:t>
      </w:r>
      <w:r w:rsidRPr="00F614F9">
        <w:rPr>
          <w:rFonts w:ascii="Times New Roman" w:hAnsi="Times New Roman" w:cs="宋体"/>
          <w:b/>
          <w:bCs/>
        </w:rPr>
        <w:t>、盈余公积</w:t>
      </w:r>
      <w:bookmarkEnd w:id="472"/>
    </w:p>
    <w:p w14:paraId="759F91CB"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1D26E7" w:rsidRPr="00F614F9" w14:paraId="76561CC4"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5A90CE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16028E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10EB20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BCFF37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3BCA01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r>
      <w:tr w:rsidR="001D26E7" w:rsidRPr="00F614F9" w14:paraId="6B7C4424"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09A94E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法定盈余公积</w:t>
            </w:r>
          </w:p>
        </w:tc>
        <w:tc>
          <w:tcPr>
            <w:tcW w:w="1928" w:type="dxa"/>
            <w:tcBorders>
              <w:top w:val="single" w:sz="2" w:space="0" w:color="auto"/>
              <w:left w:val="single" w:sz="2" w:space="0" w:color="auto"/>
              <w:bottom w:val="single" w:sz="2" w:space="0" w:color="auto"/>
              <w:right w:val="single" w:sz="2" w:space="0" w:color="auto"/>
            </w:tcBorders>
            <w:vAlign w:val="center"/>
          </w:tcPr>
          <w:p w14:paraId="254FF62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131,858,964.58</w:t>
            </w:r>
          </w:p>
        </w:tc>
        <w:tc>
          <w:tcPr>
            <w:tcW w:w="1928" w:type="dxa"/>
            <w:tcBorders>
              <w:top w:val="single" w:sz="2" w:space="0" w:color="auto"/>
              <w:left w:val="single" w:sz="2" w:space="0" w:color="auto"/>
              <w:bottom w:val="single" w:sz="2" w:space="0" w:color="auto"/>
              <w:right w:val="single" w:sz="2" w:space="0" w:color="auto"/>
            </w:tcBorders>
            <w:vAlign w:val="center"/>
          </w:tcPr>
          <w:p w14:paraId="07A41164"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C3BD22A"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DFA6ED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131,858,964.58</w:t>
            </w:r>
          </w:p>
        </w:tc>
      </w:tr>
      <w:tr w:rsidR="001D26E7" w:rsidRPr="00F614F9" w14:paraId="1156A96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94EFED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任意盈余公积</w:t>
            </w:r>
          </w:p>
        </w:tc>
        <w:tc>
          <w:tcPr>
            <w:tcW w:w="1928" w:type="dxa"/>
            <w:tcBorders>
              <w:top w:val="single" w:sz="2" w:space="0" w:color="auto"/>
              <w:left w:val="single" w:sz="2" w:space="0" w:color="auto"/>
              <w:bottom w:val="single" w:sz="2" w:space="0" w:color="auto"/>
              <w:right w:val="single" w:sz="2" w:space="0" w:color="auto"/>
            </w:tcBorders>
            <w:vAlign w:val="center"/>
          </w:tcPr>
          <w:p w14:paraId="0692FEA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131,858,964.58</w:t>
            </w:r>
          </w:p>
        </w:tc>
        <w:tc>
          <w:tcPr>
            <w:tcW w:w="1928" w:type="dxa"/>
            <w:tcBorders>
              <w:top w:val="single" w:sz="2" w:space="0" w:color="auto"/>
              <w:left w:val="single" w:sz="2" w:space="0" w:color="auto"/>
              <w:bottom w:val="single" w:sz="2" w:space="0" w:color="auto"/>
              <w:right w:val="single" w:sz="2" w:space="0" w:color="auto"/>
            </w:tcBorders>
            <w:vAlign w:val="center"/>
          </w:tcPr>
          <w:p w14:paraId="503F4ABE"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7233637"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CE391A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131,858,964.58</w:t>
            </w:r>
          </w:p>
        </w:tc>
      </w:tr>
      <w:tr w:rsidR="001D26E7" w:rsidRPr="00F614F9" w14:paraId="1A26A3C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4AE8F9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77C686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263,717,929.16</w:t>
            </w:r>
          </w:p>
        </w:tc>
        <w:tc>
          <w:tcPr>
            <w:tcW w:w="1928" w:type="dxa"/>
            <w:tcBorders>
              <w:top w:val="single" w:sz="2" w:space="0" w:color="auto"/>
              <w:left w:val="single" w:sz="2" w:space="0" w:color="auto"/>
              <w:bottom w:val="single" w:sz="2" w:space="0" w:color="auto"/>
              <w:right w:val="single" w:sz="2" w:space="0" w:color="auto"/>
            </w:tcBorders>
            <w:vAlign w:val="center"/>
          </w:tcPr>
          <w:p w14:paraId="162CE5EC"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37D449B"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7BDDF2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263,717,929.16</w:t>
            </w:r>
          </w:p>
        </w:tc>
      </w:tr>
    </w:tbl>
    <w:p w14:paraId="5765BD24"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盈余公积说明，包括本期增减变动情况、变动原因说明：</w:t>
      </w:r>
    </w:p>
    <w:p w14:paraId="75160297" w14:textId="77777777" w:rsidR="00872599" w:rsidRPr="00F614F9" w:rsidRDefault="00000000">
      <w:pPr>
        <w:pStyle w:val="a3"/>
        <w:spacing w:before="0" w:beforeAutospacing="0" w:after="0" w:afterAutospacing="0"/>
        <w:ind w:firstLine="360"/>
        <w:jc w:val="both"/>
        <w:divId w:val="770706447"/>
        <w:rPr>
          <w:rFonts w:ascii="Times New Roman" w:hAnsi="Times New Roman" w:cs="Calibri"/>
          <w:sz w:val="21"/>
          <w:szCs w:val="21"/>
        </w:rPr>
      </w:pPr>
      <w:r w:rsidRPr="00F614F9">
        <w:rPr>
          <w:rFonts w:ascii="Times New Roman" w:hAnsi="Times New Roman" w:cs="Calibri" w:hint="eastAsia"/>
          <w:sz w:val="18"/>
          <w:szCs w:val="18"/>
        </w:rPr>
        <w:t>根据《公司法》、公司章程的规定，本公司按净利润的</w:t>
      </w:r>
      <w:r w:rsidRPr="00F614F9">
        <w:rPr>
          <w:rFonts w:ascii="Times New Roman" w:hAnsi="Times New Roman" w:cs="Calibri" w:hint="eastAsia"/>
          <w:sz w:val="18"/>
          <w:szCs w:val="18"/>
        </w:rPr>
        <w:t xml:space="preserve"> 10%</w:t>
      </w:r>
      <w:r w:rsidRPr="00F614F9">
        <w:rPr>
          <w:rFonts w:ascii="Times New Roman" w:hAnsi="Times New Roman" w:cs="Calibri" w:hint="eastAsia"/>
          <w:sz w:val="18"/>
          <w:szCs w:val="18"/>
        </w:rPr>
        <w:t>提取法定盈余公积。法定盈余公积累计额达到本公司注册资本</w:t>
      </w:r>
      <w:r w:rsidRPr="00F614F9">
        <w:rPr>
          <w:rFonts w:ascii="Times New Roman" w:hAnsi="Times New Roman" w:cs="Calibri" w:hint="eastAsia"/>
          <w:sz w:val="18"/>
          <w:szCs w:val="18"/>
        </w:rPr>
        <w:t xml:space="preserve"> 50%</w:t>
      </w:r>
      <w:r w:rsidRPr="00F614F9">
        <w:rPr>
          <w:rFonts w:ascii="Times New Roman" w:hAnsi="Times New Roman" w:cs="Calibri" w:hint="eastAsia"/>
          <w:sz w:val="18"/>
          <w:szCs w:val="18"/>
        </w:rPr>
        <w:t>以上的，不再提取。</w:t>
      </w:r>
    </w:p>
    <w:p w14:paraId="686E4600" w14:textId="77777777" w:rsidR="00872599" w:rsidRPr="00F614F9" w:rsidRDefault="00000000">
      <w:pPr>
        <w:pStyle w:val="a3"/>
        <w:spacing w:before="0" w:beforeAutospacing="0" w:after="0" w:afterAutospacing="0"/>
        <w:ind w:firstLine="360"/>
        <w:jc w:val="both"/>
        <w:divId w:val="770706447"/>
        <w:rPr>
          <w:rFonts w:ascii="Times New Roman" w:hAnsi="Times New Roman" w:cs="Calibri"/>
          <w:sz w:val="21"/>
          <w:szCs w:val="21"/>
        </w:rPr>
      </w:pPr>
      <w:r w:rsidRPr="00F614F9">
        <w:rPr>
          <w:rFonts w:ascii="Times New Roman" w:hAnsi="Times New Roman" w:cs="Calibri" w:hint="eastAsia"/>
          <w:sz w:val="18"/>
          <w:szCs w:val="18"/>
        </w:rPr>
        <w:t>本公司在提取法定盈余公积金后，可提取任意盈余公积金。经批准，任意盈余公积金可用于弥补以前年度亏损或增加股本。</w:t>
      </w:r>
    </w:p>
    <w:p w14:paraId="6980649C" w14:textId="77777777" w:rsidR="001D26E7" w:rsidRPr="00F614F9" w:rsidRDefault="00000000">
      <w:pPr>
        <w:pStyle w:val="3"/>
        <w:spacing w:line="280" w:lineRule="exact"/>
        <w:jc w:val="left"/>
        <w:rPr>
          <w:rFonts w:ascii="Times New Roman" w:hAnsi="Times New Roman" w:cs="宋体"/>
          <w:b/>
          <w:bCs/>
        </w:rPr>
      </w:pPr>
      <w:bookmarkStart w:id="473" w:name="_Toc989311"/>
      <w:r w:rsidRPr="00F614F9">
        <w:rPr>
          <w:rFonts w:ascii="Times New Roman" w:hAnsi="Times New Roman" w:cs="宋体"/>
          <w:b/>
          <w:bCs/>
        </w:rPr>
        <w:t>60</w:t>
      </w:r>
      <w:r w:rsidRPr="00F614F9">
        <w:rPr>
          <w:rFonts w:ascii="Times New Roman" w:hAnsi="Times New Roman" w:cs="宋体"/>
          <w:b/>
          <w:bCs/>
        </w:rPr>
        <w:t>、未分配利润</w:t>
      </w:r>
      <w:bookmarkEnd w:id="473"/>
    </w:p>
    <w:p w14:paraId="7DA0A31D"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30AD210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9E85B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7BE8B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9C63C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w:t>
            </w:r>
          </w:p>
        </w:tc>
      </w:tr>
      <w:tr w:rsidR="001D26E7" w:rsidRPr="00F614F9" w14:paraId="77B0673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D847C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调整前上期末未分配利润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1045A4E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1,022,982,107.97</w:t>
            </w:r>
          </w:p>
        </w:tc>
        <w:tc>
          <w:tcPr>
            <w:tcW w:w="3213" w:type="dxa"/>
            <w:tcBorders>
              <w:top w:val="single" w:sz="2" w:space="0" w:color="auto"/>
              <w:left w:val="single" w:sz="2" w:space="0" w:color="auto"/>
              <w:bottom w:val="single" w:sz="2" w:space="0" w:color="auto"/>
              <w:right w:val="single" w:sz="2" w:space="0" w:color="auto"/>
            </w:tcBorders>
            <w:vAlign w:val="center"/>
          </w:tcPr>
          <w:p w14:paraId="5AD34FF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947,273,347.94</w:t>
            </w:r>
          </w:p>
        </w:tc>
      </w:tr>
      <w:tr w:rsidR="001D26E7" w:rsidRPr="00F614F9" w14:paraId="2164C5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75703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调整期初未分配利润合计数（调增</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，调减</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p>
        </w:tc>
        <w:tc>
          <w:tcPr>
            <w:tcW w:w="3213" w:type="dxa"/>
            <w:tcBorders>
              <w:top w:val="single" w:sz="2" w:space="0" w:color="auto"/>
              <w:left w:val="single" w:sz="2" w:space="0" w:color="auto"/>
              <w:bottom w:val="single" w:sz="2" w:space="0" w:color="auto"/>
              <w:right w:val="single" w:sz="2" w:space="0" w:color="auto"/>
            </w:tcBorders>
            <w:vAlign w:val="center"/>
          </w:tcPr>
          <w:p w14:paraId="455DEA5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72,221.95</w:t>
            </w:r>
          </w:p>
        </w:tc>
        <w:tc>
          <w:tcPr>
            <w:tcW w:w="3213" w:type="dxa"/>
            <w:tcBorders>
              <w:top w:val="single" w:sz="2" w:space="0" w:color="auto"/>
              <w:left w:val="single" w:sz="2" w:space="0" w:color="auto"/>
              <w:bottom w:val="single" w:sz="2" w:space="0" w:color="auto"/>
              <w:right w:val="single" w:sz="2" w:space="0" w:color="auto"/>
            </w:tcBorders>
            <w:vAlign w:val="center"/>
          </w:tcPr>
          <w:p w14:paraId="3EF39340"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8EE63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0B1B5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调整后期初未分配利润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6F24186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1,023,054,329.92</w:t>
            </w:r>
          </w:p>
        </w:tc>
        <w:tc>
          <w:tcPr>
            <w:tcW w:w="3213" w:type="dxa"/>
            <w:tcBorders>
              <w:top w:val="single" w:sz="2" w:space="0" w:color="auto"/>
              <w:left w:val="single" w:sz="2" w:space="0" w:color="auto"/>
              <w:bottom w:val="single" w:sz="2" w:space="0" w:color="auto"/>
              <w:right w:val="single" w:sz="2" w:space="0" w:color="auto"/>
            </w:tcBorders>
            <w:vAlign w:val="center"/>
          </w:tcPr>
          <w:p w14:paraId="56C89AF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947,273,347.94</w:t>
            </w:r>
          </w:p>
        </w:tc>
      </w:tr>
      <w:tr w:rsidR="001D26E7" w:rsidRPr="00F614F9" w14:paraId="7339868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6566A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加：本期归属于母公司所有者的净利润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14:paraId="792100E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-1,538,353,704.08</w:t>
            </w:r>
          </w:p>
        </w:tc>
        <w:tc>
          <w:tcPr>
            <w:tcW w:w="3213" w:type="dxa"/>
            <w:tcBorders>
              <w:top w:val="single" w:sz="2" w:space="0" w:color="auto"/>
              <w:left w:val="single" w:sz="2" w:space="0" w:color="auto"/>
              <w:bottom w:val="single" w:sz="2" w:space="0" w:color="auto"/>
              <w:right w:val="single" w:sz="2" w:space="0" w:color="auto"/>
            </w:tcBorders>
            <w:vAlign w:val="center"/>
          </w:tcPr>
          <w:p w14:paraId="022C295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75,375,610.30</w:t>
            </w:r>
          </w:p>
        </w:tc>
      </w:tr>
      <w:tr w:rsidR="001D26E7" w:rsidRPr="00F614F9" w14:paraId="42D11A6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EBBAAD"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应付普通股股利</w:t>
            </w:r>
          </w:p>
        </w:tc>
        <w:tc>
          <w:tcPr>
            <w:tcW w:w="3213" w:type="dxa"/>
            <w:tcBorders>
              <w:top w:val="single" w:sz="2" w:space="0" w:color="auto"/>
              <w:left w:val="single" w:sz="2" w:space="0" w:color="auto"/>
              <w:bottom w:val="single" w:sz="2" w:space="0" w:color="auto"/>
              <w:right w:val="single" w:sz="2" w:space="0" w:color="auto"/>
            </w:tcBorders>
            <w:vAlign w:val="center"/>
          </w:tcPr>
          <w:p w14:paraId="6E65352B"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BB5A6E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-333,149.73</w:t>
            </w:r>
          </w:p>
        </w:tc>
      </w:tr>
      <w:tr w:rsidR="001D26E7" w:rsidRPr="00F614F9" w14:paraId="379056E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EFA30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064D74A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-515,299,374.16</w:t>
            </w:r>
          </w:p>
        </w:tc>
        <w:tc>
          <w:tcPr>
            <w:tcW w:w="3213" w:type="dxa"/>
            <w:tcBorders>
              <w:top w:val="single" w:sz="2" w:space="0" w:color="auto"/>
              <w:left w:val="single" w:sz="2" w:space="0" w:color="auto"/>
              <w:bottom w:val="single" w:sz="2" w:space="0" w:color="auto"/>
              <w:right w:val="single" w:sz="2" w:space="0" w:color="auto"/>
            </w:tcBorders>
            <w:vAlign w:val="center"/>
          </w:tcPr>
          <w:p w14:paraId="6480AD9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1,022,982,107.97</w:t>
            </w:r>
          </w:p>
        </w:tc>
      </w:tr>
    </w:tbl>
    <w:p w14:paraId="37633FC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调整期初未分配利润明细：</w:t>
      </w:r>
    </w:p>
    <w:p w14:paraId="759276ED"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）由于《企业会计准则》及其相关新规定进行追溯调整，影响期初未分配利润</w:t>
      </w:r>
      <w:r w:rsidRPr="00F614F9">
        <w:rPr>
          <w:rFonts w:ascii="Times New Roman" w:eastAsia="宋体" w:hAnsi="Times New Roman" w:cs="宋体"/>
          <w:sz w:val="18"/>
          <w:szCs w:val="18"/>
        </w:rPr>
        <w:t>72,221.95</w:t>
      </w:r>
      <w:r w:rsidRPr="00F614F9">
        <w:rPr>
          <w:rFonts w:ascii="Times New Roman" w:eastAsia="宋体" w:hAnsi="Times New Roman" w:cs="宋体"/>
          <w:sz w:val="18"/>
          <w:szCs w:val="18"/>
        </w:rPr>
        <w:t>元。</w:t>
      </w:r>
    </w:p>
    <w:p w14:paraId="0EE966CD"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）由于会计政策变更，影响期初未分配利润</w:t>
      </w:r>
      <w:r w:rsidRPr="00F614F9">
        <w:rPr>
          <w:rFonts w:ascii="Times New Roman" w:eastAsia="宋体" w:hAnsi="Times New Roman" w:cs="宋体"/>
          <w:sz w:val="18"/>
          <w:szCs w:val="18"/>
        </w:rPr>
        <w:t>0.00</w:t>
      </w:r>
      <w:r w:rsidRPr="00F614F9">
        <w:rPr>
          <w:rFonts w:ascii="Times New Roman" w:eastAsia="宋体" w:hAnsi="Times New Roman" w:cs="宋体"/>
          <w:sz w:val="18"/>
          <w:szCs w:val="18"/>
        </w:rPr>
        <w:t>元。</w:t>
      </w:r>
    </w:p>
    <w:p w14:paraId="2B196DF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）由于重大会计差错更正，影响期初未分配利润</w:t>
      </w:r>
      <w:r w:rsidRPr="00F614F9">
        <w:rPr>
          <w:rFonts w:ascii="Times New Roman" w:eastAsia="宋体" w:hAnsi="Times New Roman" w:cs="宋体"/>
          <w:sz w:val="18"/>
          <w:szCs w:val="18"/>
        </w:rPr>
        <w:t>0.00</w:t>
      </w:r>
      <w:r w:rsidRPr="00F614F9">
        <w:rPr>
          <w:rFonts w:ascii="Times New Roman" w:eastAsia="宋体" w:hAnsi="Times New Roman" w:cs="宋体"/>
          <w:sz w:val="18"/>
          <w:szCs w:val="18"/>
        </w:rPr>
        <w:t>元。</w:t>
      </w:r>
    </w:p>
    <w:p w14:paraId="099C45A5"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）由于同</w:t>
      </w:r>
      <w:proofErr w:type="gramStart"/>
      <w:r w:rsidRPr="00F614F9">
        <w:rPr>
          <w:rFonts w:ascii="Times New Roman" w:eastAsia="宋体" w:hAnsi="Times New Roman" w:cs="宋体"/>
          <w:sz w:val="18"/>
          <w:szCs w:val="18"/>
        </w:rPr>
        <w:t>一控制</w:t>
      </w:r>
      <w:proofErr w:type="gramEnd"/>
      <w:r w:rsidRPr="00F614F9">
        <w:rPr>
          <w:rFonts w:ascii="Times New Roman" w:eastAsia="宋体" w:hAnsi="Times New Roman" w:cs="宋体"/>
          <w:sz w:val="18"/>
          <w:szCs w:val="18"/>
        </w:rPr>
        <w:t>导致的合并范围变更，影响期初未分配利润</w:t>
      </w:r>
      <w:r w:rsidRPr="00F614F9">
        <w:rPr>
          <w:rFonts w:ascii="Times New Roman" w:eastAsia="宋体" w:hAnsi="Times New Roman" w:cs="宋体"/>
          <w:sz w:val="18"/>
          <w:szCs w:val="18"/>
        </w:rPr>
        <w:t>0.00</w:t>
      </w:r>
      <w:r w:rsidRPr="00F614F9">
        <w:rPr>
          <w:rFonts w:ascii="Times New Roman" w:eastAsia="宋体" w:hAnsi="Times New Roman" w:cs="宋体"/>
          <w:sz w:val="18"/>
          <w:szCs w:val="18"/>
        </w:rPr>
        <w:t>元。</w:t>
      </w:r>
    </w:p>
    <w:p w14:paraId="4B288529"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5</w:t>
      </w:r>
      <w:r w:rsidRPr="00F614F9">
        <w:rPr>
          <w:rFonts w:ascii="Times New Roman" w:eastAsia="宋体" w:hAnsi="Times New Roman" w:cs="宋体"/>
          <w:sz w:val="18"/>
          <w:szCs w:val="18"/>
        </w:rPr>
        <w:t>）其他调整合计影响期初未分配利润</w:t>
      </w:r>
      <w:r w:rsidRPr="00F614F9">
        <w:rPr>
          <w:rFonts w:ascii="Times New Roman" w:eastAsia="宋体" w:hAnsi="Times New Roman" w:cs="宋体"/>
          <w:sz w:val="18"/>
          <w:szCs w:val="18"/>
        </w:rPr>
        <w:t>0.00</w:t>
      </w:r>
      <w:r w:rsidRPr="00F614F9">
        <w:rPr>
          <w:rFonts w:ascii="Times New Roman" w:eastAsia="宋体" w:hAnsi="Times New Roman" w:cs="宋体"/>
          <w:sz w:val="18"/>
          <w:szCs w:val="18"/>
        </w:rPr>
        <w:t>元。</w:t>
      </w:r>
    </w:p>
    <w:p w14:paraId="6C8954E7" w14:textId="77777777" w:rsidR="001D26E7" w:rsidRPr="00F614F9" w:rsidRDefault="00000000">
      <w:pPr>
        <w:pStyle w:val="3"/>
        <w:spacing w:line="280" w:lineRule="exact"/>
        <w:jc w:val="left"/>
        <w:rPr>
          <w:rFonts w:ascii="Times New Roman" w:hAnsi="Times New Roman" w:cs="宋体"/>
          <w:b/>
          <w:bCs/>
        </w:rPr>
      </w:pPr>
      <w:bookmarkStart w:id="474" w:name="_Toc989312"/>
      <w:r w:rsidRPr="00F614F9">
        <w:rPr>
          <w:rFonts w:ascii="Times New Roman" w:hAnsi="Times New Roman" w:cs="宋体"/>
          <w:b/>
          <w:bCs/>
        </w:rPr>
        <w:t>61</w:t>
      </w:r>
      <w:r w:rsidRPr="00F614F9">
        <w:rPr>
          <w:rFonts w:ascii="Times New Roman" w:hAnsi="Times New Roman" w:cs="宋体"/>
          <w:b/>
          <w:bCs/>
        </w:rPr>
        <w:t>、营业收入和营业成本</w:t>
      </w:r>
      <w:bookmarkEnd w:id="474"/>
    </w:p>
    <w:p w14:paraId="6B8B080B"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1D26E7" w:rsidRPr="00F614F9" w14:paraId="11F398B1"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FC07E0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6AF283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8A6616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67EB6AAF"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93583D6" w14:textId="77777777" w:rsidR="001D26E7" w:rsidRPr="00F614F9" w:rsidRDefault="001D26E7">
            <w:pPr>
              <w:rPr>
                <w:rFonts w:ascii="Times New Roman" w:hAnsi="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50F71C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C8D7CC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AF86D5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788031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成本</w:t>
            </w:r>
          </w:p>
        </w:tc>
      </w:tr>
      <w:tr w:rsidR="001D26E7" w:rsidRPr="00F614F9" w14:paraId="077D67B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D68B9E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14:paraId="45B0B63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13,299,921,655.02</w:t>
            </w:r>
          </w:p>
        </w:tc>
        <w:tc>
          <w:tcPr>
            <w:tcW w:w="1928" w:type="dxa"/>
            <w:tcBorders>
              <w:top w:val="single" w:sz="2" w:space="0" w:color="auto"/>
              <w:left w:val="single" w:sz="2" w:space="0" w:color="auto"/>
              <w:bottom w:val="single" w:sz="2" w:space="0" w:color="auto"/>
              <w:right w:val="single" w:sz="2" w:space="0" w:color="auto"/>
            </w:tcBorders>
            <w:vAlign w:val="center"/>
          </w:tcPr>
          <w:p w14:paraId="274A8FD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13,518,711,004.25</w:t>
            </w:r>
          </w:p>
        </w:tc>
        <w:tc>
          <w:tcPr>
            <w:tcW w:w="1928" w:type="dxa"/>
            <w:tcBorders>
              <w:top w:val="single" w:sz="2" w:space="0" w:color="auto"/>
              <w:left w:val="single" w:sz="2" w:space="0" w:color="auto"/>
              <w:bottom w:val="single" w:sz="2" w:space="0" w:color="auto"/>
              <w:right w:val="single" w:sz="2" w:space="0" w:color="auto"/>
            </w:tcBorders>
            <w:vAlign w:val="center"/>
          </w:tcPr>
          <w:p w14:paraId="727D896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16,092,666,445.08</w:t>
            </w:r>
          </w:p>
        </w:tc>
        <w:tc>
          <w:tcPr>
            <w:tcW w:w="1928" w:type="dxa"/>
            <w:tcBorders>
              <w:top w:val="single" w:sz="2" w:space="0" w:color="auto"/>
              <w:left w:val="single" w:sz="2" w:space="0" w:color="auto"/>
              <w:bottom w:val="single" w:sz="2" w:space="0" w:color="auto"/>
              <w:right w:val="single" w:sz="2" w:space="0" w:color="auto"/>
            </w:tcBorders>
            <w:vAlign w:val="center"/>
          </w:tcPr>
          <w:p w14:paraId="550DA4F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15,449,266,473.18</w:t>
            </w:r>
          </w:p>
        </w:tc>
      </w:tr>
      <w:tr w:rsidR="001D26E7" w:rsidRPr="00F614F9" w14:paraId="2C0202B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1010A8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其他业务</w:t>
            </w:r>
          </w:p>
        </w:tc>
        <w:tc>
          <w:tcPr>
            <w:tcW w:w="1928" w:type="dxa"/>
            <w:tcBorders>
              <w:top w:val="single" w:sz="2" w:space="0" w:color="auto"/>
              <w:left w:val="single" w:sz="2" w:space="0" w:color="auto"/>
              <w:bottom w:val="single" w:sz="2" w:space="0" w:color="auto"/>
              <w:right w:val="single" w:sz="2" w:space="0" w:color="auto"/>
            </w:tcBorders>
            <w:vAlign w:val="center"/>
          </w:tcPr>
          <w:p w14:paraId="4FFEEE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18,551,556.88</w:t>
            </w:r>
          </w:p>
        </w:tc>
        <w:tc>
          <w:tcPr>
            <w:tcW w:w="1928" w:type="dxa"/>
            <w:tcBorders>
              <w:top w:val="single" w:sz="2" w:space="0" w:color="auto"/>
              <w:left w:val="single" w:sz="2" w:space="0" w:color="auto"/>
              <w:bottom w:val="single" w:sz="2" w:space="0" w:color="auto"/>
              <w:right w:val="single" w:sz="2" w:space="0" w:color="auto"/>
            </w:tcBorders>
            <w:vAlign w:val="center"/>
          </w:tcPr>
          <w:p w14:paraId="020DF41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9,956,430.18</w:t>
            </w:r>
          </w:p>
        </w:tc>
        <w:tc>
          <w:tcPr>
            <w:tcW w:w="1928" w:type="dxa"/>
            <w:tcBorders>
              <w:top w:val="single" w:sz="2" w:space="0" w:color="auto"/>
              <w:left w:val="single" w:sz="2" w:space="0" w:color="auto"/>
              <w:bottom w:val="single" w:sz="2" w:space="0" w:color="auto"/>
              <w:right w:val="single" w:sz="2" w:space="0" w:color="auto"/>
            </w:tcBorders>
            <w:vAlign w:val="center"/>
          </w:tcPr>
          <w:p w14:paraId="6C5AC39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23,640,614.33</w:t>
            </w:r>
          </w:p>
        </w:tc>
        <w:tc>
          <w:tcPr>
            <w:tcW w:w="1928" w:type="dxa"/>
            <w:tcBorders>
              <w:top w:val="single" w:sz="2" w:space="0" w:color="auto"/>
              <w:left w:val="single" w:sz="2" w:space="0" w:color="auto"/>
              <w:bottom w:val="single" w:sz="2" w:space="0" w:color="auto"/>
              <w:right w:val="single" w:sz="2" w:space="0" w:color="auto"/>
            </w:tcBorders>
            <w:vAlign w:val="center"/>
          </w:tcPr>
          <w:p w14:paraId="710D730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17,582,695.60</w:t>
            </w:r>
          </w:p>
        </w:tc>
      </w:tr>
      <w:tr w:rsidR="001D26E7" w:rsidRPr="00F614F9" w14:paraId="5E9FF9D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42E40F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5D7EA5C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13,318,473,211.90</w:t>
            </w:r>
          </w:p>
        </w:tc>
        <w:tc>
          <w:tcPr>
            <w:tcW w:w="1928" w:type="dxa"/>
            <w:tcBorders>
              <w:top w:val="single" w:sz="2" w:space="0" w:color="auto"/>
              <w:left w:val="single" w:sz="2" w:space="0" w:color="auto"/>
              <w:bottom w:val="single" w:sz="2" w:space="0" w:color="auto"/>
              <w:right w:val="single" w:sz="2" w:space="0" w:color="auto"/>
            </w:tcBorders>
            <w:vAlign w:val="center"/>
          </w:tcPr>
          <w:p w14:paraId="5EA9EA8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13,528,667,434.43</w:t>
            </w:r>
          </w:p>
        </w:tc>
        <w:tc>
          <w:tcPr>
            <w:tcW w:w="1928" w:type="dxa"/>
            <w:tcBorders>
              <w:top w:val="single" w:sz="2" w:space="0" w:color="auto"/>
              <w:left w:val="single" w:sz="2" w:space="0" w:color="auto"/>
              <w:bottom w:val="single" w:sz="2" w:space="0" w:color="auto"/>
              <w:right w:val="single" w:sz="2" w:space="0" w:color="auto"/>
            </w:tcBorders>
            <w:vAlign w:val="center"/>
          </w:tcPr>
          <w:p w14:paraId="3796275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16,116,307,059.41</w:t>
            </w:r>
          </w:p>
        </w:tc>
        <w:tc>
          <w:tcPr>
            <w:tcW w:w="1928" w:type="dxa"/>
            <w:tcBorders>
              <w:top w:val="single" w:sz="2" w:space="0" w:color="auto"/>
              <w:left w:val="single" w:sz="2" w:space="0" w:color="auto"/>
              <w:bottom w:val="single" w:sz="2" w:space="0" w:color="auto"/>
              <w:right w:val="single" w:sz="2" w:space="0" w:color="auto"/>
            </w:tcBorders>
            <w:vAlign w:val="center"/>
          </w:tcPr>
          <w:p w14:paraId="166FEB3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15,466,849,168.78</w:t>
            </w:r>
          </w:p>
        </w:tc>
      </w:tr>
    </w:tbl>
    <w:p w14:paraId="3A41A5C5"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经审计扣除非经常损益</w:t>
      </w:r>
      <w:proofErr w:type="gramStart"/>
      <w:r w:rsidRPr="00F614F9">
        <w:rPr>
          <w:rFonts w:ascii="Times New Roman" w:eastAsia="宋体" w:hAnsi="Times New Roman" w:cs="宋体"/>
          <w:sz w:val="18"/>
          <w:szCs w:val="18"/>
        </w:rPr>
        <w:t>前后净</w:t>
      </w:r>
      <w:proofErr w:type="gramEnd"/>
      <w:r w:rsidRPr="00F614F9">
        <w:rPr>
          <w:rFonts w:ascii="Times New Roman" w:eastAsia="宋体" w:hAnsi="Times New Roman" w:cs="宋体"/>
          <w:sz w:val="18"/>
          <w:szCs w:val="18"/>
        </w:rPr>
        <w:t>利润孰</w:t>
      </w:r>
      <w:proofErr w:type="gramStart"/>
      <w:r w:rsidRPr="00F614F9">
        <w:rPr>
          <w:rFonts w:ascii="Times New Roman" w:eastAsia="宋体" w:hAnsi="Times New Roman" w:cs="宋体"/>
          <w:sz w:val="18"/>
          <w:szCs w:val="18"/>
        </w:rPr>
        <w:t>低是否</w:t>
      </w:r>
      <w:proofErr w:type="gramEnd"/>
      <w:r w:rsidRPr="00F614F9">
        <w:rPr>
          <w:rFonts w:ascii="Times New Roman" w:eastAsia="宋体" w:hAnsi="Times New Roman" w:cs="宋体"/>
          <w:sz w:val="18"/>
          <w:szCs w:val="18"/>
        </w:rPr>
        <w:t>为负值</w:t>
      </w:r>
    </w:p>
    <w:p w14:paraId="03815488"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否</w:t>
      </w:r>
    </w:p>
    <w:p w14:paraId="13949058"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1D26E7" w:rsidRPr="00F614F9" w14:paraId="07BCE49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572368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9A248C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本年度</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1CF10E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具体扣除情况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FC8252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上年度</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C45AAF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具体扣除情况</w:t>
            </w:r>
          </w:p>
        </w:tc>
      </w:tr>
      <w:tr w:rsidR="001D26E7" w:rsidRPr="00F614F9" w14:paraId="41FF2C2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499DE9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营业收入金额</w:t>
            </w:r>
          </w:p>
        </w:tc>
        <w:tc>
          <w:tcPr>
            <w:tcW w:w="1928" w:type="dxa"/>
            <w:tcBorders>
              <w:top w:val="single" w:sz="2" w:space="0" w:color="auto"/>
              <w:left w:val="single" w:sz="2" w:space="0" w:color="auto"/>
              <w:bottom w:val="single" w:sz="2" w:space="0" w:color="auto"/>
              <w:right w:val="single" w:sz="2" w:space="0" w:color="auto"/>
            </w:tcBorders>
            <w:vAlign w:val="center"/>
          </w:tcPr>
          <w:p w14:paraId="4DFD95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13,318,473,211.90</w:t>
            </w:r>
          </w:p>
        </w:tc>
        <w:tc>
          <w:tcPr>
            <w:tcW w:w="1928" w:type="dxa"/>
            <w:tcBorders>
              <w:top w:val="single" w:sz="2" w:space="0" w:color="auto"/>
              <w:left w:val="single" w:sz="2" w:space="0" w:color="auto"/>
              <w:bottom w:val="single" w:sz="2" w:space="0" w:color="auto"/>
              <w:right w:val="single" w:sz="2" w:space="0" w:color="auto"/>
            </w:tcBorders>
            <w:vAlign w:val="center"/>
          </w:tcPr>
          <w:p w14:paraId="1468F45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经营租赁收入、材料销售收入、服务费收入等</w:t>
            </w:r>
          </w:p>
        </w:tc>
        <w:tc>
          <w:tcPr>
            <w:tcW w:w="1928" w:type="dxa"/>
            <w:tcBorders>
              <w:top w:val="single" w:sz="2" w:space="0" w:color="auto"/>
              <w:left w:val="single" w:sz="2" w:space="0" w:color="auto"/>
              <w:bottom w:val="single" w:sz="2" w:space="0" w:color="auto"/>
              <w:right w:val="single" w:sz="2" w:space="0" w:color="auto"/>
            </w:tcBorders>
            <w:vAlign w:val="center"/>
          </w:tcPr>
          <w:p w14:paraId="1972E57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16,116,307,059.41</w:t>
            </w:r>
          </w:p>
        </w:tc>
        <w:tc>
          <w:tcPr>
            <w:tcW w:w="1928" w:type="dxa"/>
            <w:tcBorders>
              <w:top w:val="single" w:sz="2" w:space="0" w:color="auto"/>
              <w:left w:val="single" w:sz="2" w:space="0" w:color="auto"/>
              <w:bottom w:val="single" w:sz="2" w:space="0" w:color="auto"/>
              <w:right w:val="single" w:sz="2" w:space="0" w:color="auto"/>
            </w:tcBorders>
            <w:vAlign w:val="center"/>
          </w:tcPr>
          <w:p w14:paraId="67DA6FC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经营租赁收入、材料销售收入、服务费收入等</w:t>
            </w:r>
          </w:p>
        </w:tc>
      </w:tr>
      <w:tr w:rsidR="001D26E7" w:rsidRPr="00F614F9" w14:paraId="6C050F8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54E1F4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营业收入扣除项目合计金额</w:t>
            </w:r>
          </w:p>
        </w:tc>
        <w:tc>
          <w:tcPr>
            <w:tcW w:w="1928" w:type="dxa"/>
            <w:tcBorders>
              <w:top w:val="single" w:sz="2" w:space="0" w:color="auto"/>
              <w:left w:val="single" w:sz="2" w:space="0" w:color="auto"/>
              <w:bottom w:val="single" w:sz="2" w:space="0" w:color="auto"/>
              <w:right w:val="single" w:sz="2" w:space="0" w:color="auto"/>
            </w:tcBorders>
            <w:vAlign w:val="center"/>
          </w:tcPr>
          <w:p w14:paraId="511390D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18,551,556.88</w:t>
            </w:r>
          </w:p>
        </w:tc>
        <w:tc>
          <w:tcPr>
            <w:tcW w:w="1928" w:type="dxa"/>
            <w:tcBorders>
              <w:top w:val="single" w:sz="2" w:space="0" w:color="auto"/>
              <w:left w:val="single" w:sz="2" w:space="0" w:color="auto"/>
              <w:bottom w:val="single" w:sz="2" w:space="0" w:color="auto"/>
              <w:right w:val="single" w:sz="2" w:space="0" w:color="auto"/>
            </w:tcBorders>
            <w:vAlign w:val="center"/>
          </w:tcPr>
          <w:p w14:paraId="76A9114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经营租赁收入、材料销售收入、服务费收入等</w:t>
            </w:r>
          </w:p>
        </w:tc>
        <w:tc>
          <w:tcPr>
            <w:tcW w:w="1928" w:type="dxa"/>
            <w:tcBorders>
              <w:top w:val="single" w:sz="2" w:space="0" w:color="auto"/>
              <w:left w:val="single" w:sz="2" w:space="0" w:color="auto"/>
              <w:bottom w:val="single" w:sz="2" w:space="0" w:color="auto"/>
              <w:right w:val="single" w:sz="2" w:space="0" w:color="auto"/>
            </w:tcBorders>
            <w:vAlign w:val="center"/>
          </w:tcPr>
          <w:p w14:paraId="4F08A3F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23,640,614.33</w:t>
            </w:r>
          </w:p>
        </w:tc>
        <w:tc>
          <w:tcPr>
            <w:tcW w:w="1928" w:type="dxa"/>
            <w:tcBorders>
              <w:top w:val="single" w:sz="2" w:space="0" w:color="auto"/>
              <w:left w:val="single" w:sz="2" w:space="0" w:color="auto"/>
              <w:bottom w:val="single" w:sz="2" w:space="0" w:color="auto"/>
              <w:right w:val="single" w:sz="2" w:space="0" w:color="auto"/>
            </w:tcBorders>
            <w:vAlign w:val="center"/>
          </w:tcPr>
          <w:p w14:paraId="1987063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经营租赁收入、材料销售收入、服务费收入等</w:t>
            </w:r>
          </w:p>
        </w:tc>
      </w:tr>
      <w:tr w:rsidR="001D26E7" w:rsidRPr="00F614F9" w14:paraId="073D118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932128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营业收入扣除项目合计金额占营业收入的比重</w:t>
            </w:r>
          </w:p>
        </w:tc>
        <w:tc>
          <w:tcPr>
            <w:tcW w:w="1928" w:type="dxa"/>
            <w:tcBorders>
              <w:top w:val="single" w:sz="2" w:space="0" w:color="auto"/>
              <w:left w:val="single" w:sz="2" w:space="0" w:color="auto"/>
              <w:bottom w:val="single" w:sz="2" w:space="0" w:color="auto"/>
              <w:right w:val="single" w:sz="2" w:space="0" w:color="auto"/>
            </w:tcBorders>
            <w:vAlign w:val="center"/>
          </w:tcPr>
          <w:p w14:paraId="30FC8B9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0.14%</w:t>
            </w:r>
          </w:p>
        </w:tc>
        <w:tc>
          <w:tcPr>
            <w:tcW w:w="1928" w:type="dxa"/>
            <w:tcBorders>
              <w:top w:val="single" w:sz="2" w:space="0" w:color="auto"/>
              <w:left w:val="single" w:sz="2" w:space="0" w:color="auto"/>
              <w:bottom w:val="single" w:sz="2" w:space="0" w:color="auto"/>
              <w:right w:val="single" w:sz="2" w:space="0" w:color="auto"/>
            </w:tcBorders>
            <w:vAlign w:val="center"/>
          </w:tcPr>
          <w:p w14:paraId="638430EA" w14:textId="77777777" w:rsidR="001D26E7" w:rsidRPr="00F614F9" w:rsidRDefault="001D26E7">
            <w:pPr>
              <w:spacing w:line="240" w:lineRule="exac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155740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0.15%</w:t>
            </w:r>
          </w:p>
        </w:tc>
        <w:tc>
          <w:tcPr>
            <w:tcW w:w="1928" w:type="dxa"/>
            <w:tcBorders>
              <w:top w:val="single" w:sz="2" w:space="0" w:color="auto"/>
              <w:left w:val="single" w:sz="2" w:space="0" w:color="auto"/>
              <w:bottom w:val="single" w:sz="2" w:space="0" w:color="auto"/>
              <w:right w:val="single" w:sz="2" w:space="0" w:color="auto"/>
            </w:tcBorders>
            <w:vAlign w:val="center"/>
          </w:tcPr>
          <w:p w14:paraId="2650DD0D"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7FBE9AF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CD5CDF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一、与主营业务无关的业务收入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14B74D7" w14:textId="77777777" w:rsidR="001D26E7" w:rsidRPr="00F614F9" w:rsidRDefault="001D26E7">
            <w:pPr>
              <w:rPr>
                <w:rFonts w:ascii="Times New Roman" w:hAnsi="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6CE3C78" w14:textId="77777777" w:rsidR="001D26E7" w:rsidRPr="00F614F9" w:rsidRDefault="001D26E7">
            <w:pPr>
              <w:rPr>
                <w:rFonts w:ascii="Times New Roman" w:hAnsi="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0F26B56" w14:textId="77777777" w:rsidR="001D26E7" w:rsidRPr="00F614F9" w:rsidRDefault="001D26E7">
            <w:pPr>
              <w:rPr>
                <w:rFonts w:ascii="Times New Roman" w:hAnsi="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F0C8E5E" w14:textId="77777777" w:rsidR="001D26E7" w:rsidRPr="00F614F9" w:rsidRDefault="001D26E7">
            <w:pPr>
              <w:rPr>
                <w:rFonts w:ascii="Times New Roman" w:hAnsi="Times New Roman"/>
              </w:rPr>
            </w:pPr>
          </w:p>
        </w:tc>
      </w:tr>
      <w:tr w:rsidR="001D26E7" w:rsidRPr="00F614F9" w14:paraId="56B087F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E4BE85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．正常经营之外的其他业务收入。如出租固定资产、无形资产、包装物，销售材料，用材料进行非货币性资产交换，经营受托管理业务等实现的收入，</w:t>
            </w:r>
            <w:proofErr w:type="gramStart"/>
            <w:r w:rsidRPr="00F614F9">
              <w:rPr>
                <w:rFonts w:ascii="Times New Roman" w:eastAsia="宋体" w:hAnsi="Times New Roman" w:cs="宋体"/>
                <w:sz w:val="18"/>
                <w:szCs w:val="18"/>
              </w:rPr>
              <w:t>以及虽计入主</w:t>
            </w:r>
            <w:proofErr w:type="gramEnd"/>
            <w:r w:rsidRPr="00F614F9">
              <w:rPr>
                <w:rFonts w:ascii="Times New Roman" w:eastAsia="宋体" w:hAnsi="Times New Roman" w:cs="宋体"/>
                <w:sz w:val="18"/>
                <w:szCs w:val="18"/>
              </w:rPr>
              <w:t>营业务收入，但属于上市公司正常经营之外的收入。</w:t>
            </w:r>
          </w:p>
        </w:tc>
        <w:tc>
          <w:tcPr>
            <w:tcW w:w="1928" w:type="dxa"/>
            <w:tcBorders>
              <w:top w:val="single" w:sz="2" w:space="0" w:color="auto"/>
              <w:left w:val="single" w:sz="2" w:space="0" w:color="auto"/>
              <w:bottom w:val="single" w:sz="2" w:space="0" w:color="auto"/>
              <w:right w:val="single" w:sz="2" w:space="0" w:color="auto"/>
            </w:tcBorders>
            <w:vAlign w:val="center"/>
          </w:tcPr>
          <w:p w14:paraId="511E5B0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18,551,556.88</w:t>
            </w:r>
          </w:p>
        </w:tc>
        <w:tc>
          <w:tcPr>
            <w:tcW w:w="1928" w:type="dxa"/>
            <w:tcBorders>
              <w:top w:val="single" w:sz="2" w:space="0" w:color="auto"/>
              <w:left w:val="single" w:sz="2" w:space="0" w:color="auto"/>
              <w:bottom w:val="single" w:sz="2" w:space="0" w:color="auto"/>
              <w:right w:val="single" w:sz="2" w:space="0" w:color="auto"/>
            </w:tcBorders>
            <w:vAlign w:val="center"/>
          </w:tcPr>
          <w:p w14:paraId="1497FA0F" w14:textId="77777777" w:rsidR="001D26E7" w:rsidRPr="00F614F9" w:rsidRDefault="001D26E7">
            <w:pPr>
              <w:spacing w:line="240" w:lineRule="exac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560E05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23,640,614.33</w:t>
            </w:r>
          </w:p>
        </w:tc>
        <w:tc>
          <w:tcPr>
            <w:tcW w:w="1928" w:type="dxa"/>
            <w:tcBorders>
              <w:top w:val="single" w:sz="2" w:space="0" w:color="auto"/>
              <w:left w:val="single" w:sz="2" w:space="0" w:color="auto"/>
              <w:bottom w:val="single" w:sz="2" w:space="0" w:color="auto"/>
              <w:right w:val="single" w:sz="2" w:space="0" w:color="auto"/>
            </w:tcBorders>
            <w:vAlign w:val="center"/>
          </w:tcPr>
          <w:p w14:paraId="108B9A70"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14441F7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D5BE67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与主营业务无关的业务收入小计</w:t>
            </w:r>
          </w:p>
        </w:tc>
        <w:tc>
          <w:tcPr>
            <w:tcW w:w="1928" w:type="dxa"/>
            <w:tcBorders>
              <w:top w:val="single" w:sz="2" w:space="0" w:color="auto"/>
              <w:left w:val="single" w:sz="2" w:space="0" w:color="auto"/>
              <w:bottom w:val="single" w:sz="2" w:space="0" w:color="auto"/>
              <w:right w:val="single" w:sz="2" w:space="0" w:color="auto"/>
            </w:tcBorders>
            <w:vAlign w:val="center"/>
          </w:tcPr>
          <w:p w14:paraId="59A458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18,551,556.88</w:t>
            </w:r>
          </w:p>
        </w:tc>
        <w:tc>
          <w:tcPr>
            <w:tcW w:w="1928" w:type="dxa"/>
            <w:tcBorders>
              <w:top w:val="single" w:sz="2" w:space="0" w:color="auto"/>
              <w:left w:val="single" w:sz="2" w:space="0" w:color="auto"/>
              <w:bottom w:val="single" w:sz="2" w:space="0" w:color="auto"/>
              <w:right w:val="single" w:sz="2" w:space="0" w:color="auto"/>
            </w:tcBorders>
            <w:vAlign w:val="center"/>
          </w:tcPr>
          <w:p w14:paraId="10D9F82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经营租赁收入、材料销售收入、服务费收入等</w:t>
            </w:r>
          </w:p>
        </w:tc>
        <w:tc>
          <w:tcPr>
            <w:tcW w:w="1928" w:type="dxa"/>
            <w:tcBorders>
              <w:top w:val="single" w:sz="2" w:space="0" w:color="auto"/>
              <w:left w:val="single" w:sz="2" w:space="0" w:color="auto"/>
              <w:bottom w:val="single" w:sz="2" w:space="0" w:color="auto"/>
              <w:right w:val="single" w:sz="2" w:space="0" w:color="auto"/>
            </w:tcBorders>
            <w:vAlign w:val="center"/>
          </w:tcPr>
          <w:p w14:paraId="15128BE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23,640,614.33</w:t>
            </w:r>
          </w:p>
        </w:tc>
        <w:tc>
          <w:tcPr>
            <w:tcW w:w="1928" w:type="dxa"/>
            <w:tcBorders>
              <w:top w:val="single" w:sz="2" w:space="0" w:color="auto"/>
              <w:left w:val="single" w:sz="2" w:space="0" w:color="auto"/>
              <w:bottom w:val="single" w:sz="2" w:space="0" w:color="auto"/>
              <w:right w:val="single" w:sz="2" w:space="0" w:color="auto"/>
            </w:tcBorders>
            <w:vAlign w:val="center"/>
          </w:tcPr>
          <w:p w14:paraId="038EB1B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经营租赁收入、材料销售收入、服务费收入等</w:t>
            </w:r>
          </w:p>
        </w:tc>
      </w:tr>
      <w:tr w:rsidR="001D26E7" w:rsidRPr="00F614F9" w14:paraId="510E706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4788A6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二、不具备商业实质的收入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F62474A" w14:textId="77777777" w:rsidR="001D26E7" w:rsidRPr="00F614F9" w:rsidRDefault="001D26E7">
            <w:pPr>
              <w:rPr>
                <w:rFonts w:ascii="Times New Roman" w:hAnsi="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855D2BA" w14:textId="77777777" w:rsidR="001D26E7" w:rsidRPr="00F614F9" w:rsidRDefault="001D26E7">
            <w:pPr>
              <w:rPr>
                <w:rFonts w:ascii="Times New Roman" w:hAnsi="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F81F252" w14:textId="77777777" w:rsidR="001D26E7" w:rsidRPr="00F614F9" w:rsidRDefault="001D26E7">
            <w:pPr>
              <w:rPr>
                <w:rFonts w:ascii="Times New Roman" w:hAnsi="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73A424E" w14:textId="77777777" w:rsidR="001D26E7" w:rsidRPr="00F614F9" w:rsidRDefault="001D26E7">
            <w:pPr>
              <w:rPr>
                <w:rFonts w:ascii="Times New Roman" w:hAnsi="Times New Roman"/>
              </w:rPr>
            </w:pPr>
          </w:p>
        </w:tc>
      </w:tr>
      <w:tr w:rsidR="001D26E7" w:rsidRPr="00F614F9" w14:paraId="7B9D57D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1FAA62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不具备商业实质的收入小计</w:t>
            </w:r>
          </w:p>
        </w:tc>
        <w:tc>
          <w:tcPr>
            <w:tcW w:w="1928" w:type="dxa"/>
            <w:tcBorders>
              <w:top w:val="single" w:sz="2" w:space="0" w:color="auto"/>
              <w:left w:val="single" w:sz="2" w:space="0" w:color="auto"/>
              <w:bottom w:val="single" w:sz="2" w:space="0" w:color="auto"/>
              <w:right w:val="single" w:sz="2" w:space="0" w:color="auto"/>
            </w:tcBorders>
            <w:vAlign w:val="center"/>
          </w:tcPr>
          <w:p w14:paraId="77C55A1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14:paraId="691D42F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无</w:t>
            </w:r>
          </w:p>
        </w:tc>
        <w:tc>
          <w:tcPr>
            <w:tcW w:w="1928" w:type="dxa"/>
            <w:tcBorders>
              <w:top w:val="single" w:sz="2" w:space="0" w:color="auto"/>
              <w:left w:val="single" w:sz="2" w:space="0" w:color="auto"/>
              <w:bottom w:val="single" w:sz="2" w:space="0" w:color="auto"/>
              <w:right w:val="single" w:sz="2" w:space="0" w:color="auto"/>
            </w:tcBorders>
            <w:vAlign w:val="center"/>
          </w:tcPr>
          <w:p w14:paraId="229E390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14:paraId="2AFE5F5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无</w:t>
            </w:r>
          </w:p>
        </w:tc>
      </w:tr>
      <w:tr w:rsidR="001D26E7" w:rsidRPr="00F614F9" w14:paraId="5646EED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E40946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营业收入扣除后金额</w:t>
            </w:r>
          </w:p>
        </w:tc>
        <w:tc>
          <w:tcPr>
            <w:tcW w:w="1928" w:type="dxa"/>
            <w:tcBorders>
              <w:top w:val="single" w:sz="2" w:space="0" w:color="auto"/>
              <w:left w:val="single" w:sz="2" w:space="0" w:color="auto"/>
              <w:bottom w:val="single" w:sz="2" w:space="0" w:color="auto"/>
              <w:right w:val="single" w:sz="2" w:space="0" w:color="auto"/>
            </w:tcBorders>
            <w:vAlign w:val="center"/>
          </w:tcPr>
          <w:p w14:paraId="6E89E21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13,299,921,655.02</w:t>
            </w:r>
          </w:p>
        </w:tc>
        <w:tc>
          <w:tcPr>
            <w:tcW w:w="1928" w:type="dxa"/>
            <w:tcBorders>
              <w:top w:val="single" w:sz="2" w:space="0" w:color="auto"/>
              <w:left w:val="single" w:sz="2" w:space="0" w:color="auto"/>
              <w:bottom w:val="single" w:sz="2" w:space="0" w:color="auto"/>
              <w:right w:val="single" w:sz="2" w:space="0" w:color="auto"/>
            </w:tcBorders>
            <w:vAlign w:val="center"/>
          </w:tcPr>
          <w:p w14:paraId="3AB3B92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经营租赁收入、材料销售收入、服务费收入等</w:t>
            </w:r>
          </w:p>
        </w:tc>
        <w:tc>
          <w:tcPr>
            <w:tcW w:w="1928" w:type="dxa"/>
            <w:tcBorders>
              <w:top w:val="single" w:sz="2" w:space="0" w:color="auto"/>
              <w:left w:val="single" w:sz="2" w:space="0" w:color="auto"/>
              <w:bottom w:val="single" w:sz="2" w:space="0" w:color="auto"/>
              <w:right w:val="single" w:sz="2" w:space="0" w:color="auto"/>
            </w:tcBorders>
            <w:vAlign w:val="center"/>
          </w:tcPr>
          <w:p w14:paraId="1BD26ED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16,092,666,445.08</w:t>
            </w:r>
          </w:p>
        </w:tc>
        <w:tc>
          <w:tcPr>
            <w:tcW w:w="1928" w:type="dxa"/>
            <w:tcBorders>
              <w:top w:val="single" w:sz="2" w:space="0" w:color="auto"/>
              <w:left w:val="single" w:sz="2" w:space="0" w:color="auto"/>
              <w:bottom w:val="single" w:sz="2" w:space="0" w:color="auto"/>
              <w:right w:val="single" w:sz="2" w:space="0" w:color="auto"/>
            </w:tcBorders>
            <w:vAlign w:val="center"/>
          </w:tcPr>
          <w:p w14:paraId="72F258D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经营租赁收入、材料销售收入、服务费收入等</w:t>
            </w:r>
          </w:p>
        </w:tc>
      </w:tr>
    </w:tbl>
    <w:p w14:paraId="7A44C97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营业收入、营业成本的分解信息：</w:t>
      </w:r>
    </w:p>
    <w:p w14:paraId="3BF22955"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0"/>
        <w:gridCol w:w="1476"/>
        <w:gridCol w:w="1477"/>
        <w:gridCol w:w="761"/>
        <w:gridCol w:w="761"/>
        <w:gridCol w:w="1476"/>
        <w:gridCol w:w="2920"/>
      </w:tblGrid>
      <w:tr w:rsidR="00AD32B3" w:rsidRPr="00F614F9" w14:paraId="6BBFE63F" w14:textId="77777777" w:rsidTr="00AD32B3">
        <w:trPr>
          <w:trHeight w:val="240"/>
        </w:trPr>
        <w:tc>
          <w:tcPr>
            <w:tcW w:w="395"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4287DD1" w14:textId="77777777" w:rsidR="00AD32B3" w:rsidRPr="00F614F9" w:rsidRDefault="00AD32B3">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合同分类</w:t>
            </w:r>
          </w:p>
        </w:tc>
        <w:tc>
          <w:tcPr>
            <w:tcW w:w="1533"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06F8FE5" w14:textId="77777777" w:rsidR="00AD32B3" w:rsidRPr="00F614F9" w:rsidRDefault="00AD32B3">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分部</w:t>
            </w:r>
            <w:r w:rsidRPr="00F614F9">
              <w:rPr>
                <w:rFonts w:ascii="Times New Roman" w:eastAsia="宋体" w:hAnsi="Times New Roman" w:cs="宋体"/>
                <w:sz w:val="18"/>
                <w:szCs w:val="18"/>
              </w:rPr>
              <w:t>1</w:t>
            </w:r>
          </w:p>
        </w:tc>
        <w:tc>
          <w:tcPr>
            <w:tcW w:w="790"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2F01D48" w14:textId="77777777" w:rsidR="00AD32B3" w:rsidRPr="00F614F9" w:rsidRDefault="00AD32B3">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分部</w:t>
            </w:r>
            <w:r w:rsidRPr="00F614F9">
              <w:rPr>
                <w:rFonts w:ascii="Times New Roman" w:eastAsia="宋体" w:hAnsi="Times New Roman" w:cs="宋体"/>
                <w:sz w:val="18"/>
                <w:szCs w:val="18"/>
              </w:rPr>
              <w:t>2</w:t>
            </w:r>
          </w:p>
        </w:tc>
        <w:tc>
          <w:tcPr>
            <w:tcW w:w="2283"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0A02BE0" w14:textId="77777777" w:rsidR="00AD32B3" w:rsidRPr="00F614F9" w:rsidRDefault="00AD32B3">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合计</w:t>
            </w:r>
          </w:p>
        </w:tc>
      </w:tr>
      <w:tr w:rsidR="00AD32B3" w:rsidRPr="00F614F9" w14:paraId="38893A5E" w14:textId="77777777" w:rsidTr="00AD32B3">
        <w:trPr>
          <w:trHeight w:val="240"/>
        </w:trPr>
        <w:tc>
          <w:tcPr>
            <w:tcW w:w="395"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3BF0EFBB" w14:textId="77777777" w:rsidR="00AD32B3" w:rsidRPr="00F614F9" w:rsidRDefault="00AD32B3">
            <w:pPr>
              <w:rPr>
                <w:rFonts w:ascii="Times New Roman" w:hAnsi="Times New Roman"/>
              </w:rPr>
            </w:pPr>
          </w:p>
        </w:tc>
        <w:tc>
          <w:tcPr>
            <w:tcW w:w="766" w:type="pct"/>
            <w:tcBorders>
              <w:top w:val="single" w:sz="2" w:space="0" w:color="auto"/>
              <w:left w:val="single" w:sz="2" w:space="0" w:color="auto"/>
              <w:bottom w:val="single" w:sz="2" w:space="0" w:color="auto"/>
              <w:right w:val="single" w:sz="2" w:space="0" w:color="auto"/>
            </w:tcBorders>
            <w:shd w:val="clear" w:color="auto" w:fill="D3D3D3"/>
            <w:vAlign w:val="center"/>
          </w:tcPr>
          <w:p w14:paraId="2529A1B1" w14:textId="77777777" w:rsidR="00AD32B3" w:rsidRPr="00F614F9" w:rsidRDefault="00AD32B3">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营业收入</w:t>
            </w:r>
          </w:p>
        </w:tc>
        <w:tc>
          <w:tcPr>
            <w:tcW w:w="766" w:type="pct"/>
            <w:tcBorders>
              <w:top w:val="single" w:sz="2" w:space="0" w:color="auto"/>
              <w:left w:val="single" w:sz="2" w:space="0" w:color="auto"/>
              <w:bottom w:val="single" w:sz="2" w:space="0" w:color="auto"/>
              <w:right w:val="single" w:sz="2" w:space="0" w:color="auto"/>
            </w:tcBorders>
            <w:shd w:val="clear" w:color="auto" w:fill="D3D3D3"/>
            <w:vAlign w:val="center"/>
          </w:tcPr>
          <w:p w14:paraId="492CC516" w14:textId="77777777" w:rsidR="00AD32B3" w:rsidRPr="00F614F9" w:rsidRDefault="00AD32B3">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营业成本</w:t>
            </w:r>
          </w:p>
        </w:tc>
        <w:tc>
          <w:tcPr>
            <w:tcW w:w="395" w:type="pct"/>
            <w:tcBorders>
              <w:top w:val="single" w:sz="2" w:space="0" w:color="auto"/>
              <w:left w:val="single" w:sz="2" w:space="0" w:color="auto"/>
              <w:bottom w:val="single" w:sz="2" w:space="0" w:color="auto"/>
              <w:right w:val="single" w:sz="2" w:space="0" w:color="auto"/>
            </w:tcBorders>
            <w:shd w:val="clear" w:color="auto" w:fill="D3D3D3"/>
            <w:vAlign w:val="center"/>
          </w:tcPr>
          <w:p w14:paraId="5591C943" w14:textId="77777777" w:rsidR="00AD32B3" w:rsidRPr="00F614F9" w:rsidRDefault="00AD32B3">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营业收入</w:t>
            </w:r>
          </w:p>
        </w:tc>
        <w:tc>
          <w:tcPr>
            <w:tcW w:w="395" w:type="pct"/>
            <w:tcBorders>
              <w:top w:val="single" w:sz="2" w:space="0" w:color="auto"/>
              <w:left w:val="single" w:sz="2" w:space="0" w:color="auto"/>
              <w:bottom w:val="single" w:sz="2" w:space="0" w:color="auto"/>
              <w:right w:val="single" w:sz="2" w:space="0" w:color="auto"/>
            </w:tcBorders>
            <w:shd w:val="clear" w:color="auto" w:fill="D3D3D3"/>
            <w:vAlign w:val="center"/>
          </w:tcPr>
          <w:p w14:paraId="54E2FB3C" w14:textId="77777777" w:rsidR="00AD32B3" w:rsidRPr="00F614F9" w:rsidRDefault="00AD32B3">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营业成本</w:t>
            </w:r>
          </w:p>
        </w:tc>
        <w:tc>
          <w:tcPr>
            <w:tcW w:w="766" w:type="pct"/>
            <w:tcBorders>
              <w:top w:val="single" w:sz="2" w:space="0" w:color="auto"/>
              <w:left w:val="single" w:sz="2" w:space="0" w:color="auto"/>
              <w:bottom w:val="single" w:sz="2" w:space="0" w:color="auto"/>
              <w:right w:val="single" w:sz="2" w:space="0" w:color="auto"/>
            </w:tcBorders>
            <w:shd w:val="clear" w:color="auto" w:fill="D3D3D3"/>
            <w:vAlign w:val="center"/>
          </w:tcPr>
          <w:p w14:paraId="22CD1C38" w14:textId="77777777" w:rsidR="00AD32B3" w:rsidRPr="00F614F9" w:rsidRDefault="00AD32B3">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营业收入</w:t>
            </w:r>
          </w:p>
        </w:tc>
        <w:tc>
          <w:tcPr>
            <w:tcW w:w="1517" w:type="pct"/>
            <w:tcBorders>
              <w:top w:val="single" w:sz="2" w:space="0" w:color="auto"/>
              <w:left w:val="single" w:sz="2" w:space="0" w:color="auto"/>
              <w:bottom w:val="single" w:sz="2" w:space="0" w:color="auto"/>
              <w:right w:val="single" w:sz="2" w:space="0" w:color="auto"/>
            </w:tcBorders>
            <w:shd w:val="clear" w:color="auto" w:fill="D3D3D3"/>
            <w:vAlign w:val="center"/>
          </w:tcPr>
          <w:p w14:paraId="31C047A4" w14:textId="77777777" w:rsidR="00AD32B3" w:rsidRPr="00F614F9" w:rsidRDefault="00AD32B3">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营业成本</w:t>
            </w:r>
          </w:p>
        </w:tc>
      </w:tr>
      <w:tr w:rsidR="00AD32B3" w:rsidRPr="00F614F9" w14:paraId="4126988E" w14:textId="77777777" w:rsidTr="00AD32B3">
        <w:trPr>
          <w:trHeight w:val="240"/>
        </w:trPr>
        <w:tc>
          <w:tcPr>
            <w:tcW w:w="395" w:type="pct"/>
            <w:tcBorders>
              <w:top w:val="single" w:sz="2" w:space="0" w:color="auto"/>
              <w:left w:val="single" w:sz="2" w:space="0" w:color="auto"/>
              <w:bottom w:val="single" w:sz="2" w:space="0" w:color="auto"/>
              <w:right w:val="single" w:sz="2" w:space="0" w:color="auto"/>
            </w:tcBorders>
            <w:shd w:val="clear" w:color="auto" w:fill="D3D3D3"/>
            <w:vAlign w:val="center"/>
          </w:tcPr>
          <w:p w14:paraId="0390EF2F" w14:textId="77777777" w:rsidR="00AD32B3" w:rsidRPr="00F614F9" w:rsidRDefault="00AD32B3">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业务类型</w:t>
            </w:r>
          </w:p>
        </w:tc>
        <w:tc>
          <w:tcPr>
            <w:tcW w:w="766" w:type="pct"/>
            <w:tcBorders>
              <w:top w:val="single" w:sz="2" w:space="0" w:color="auto"/>
              <w:left w:val="single" w:sz="2" w:space="0" w:color="auto"/>
              <w:bottom w:val="single" w:sz="2" w:space="0" w:color="auto"/>
              <w:right w:val="single" w:sz="2" w:space="0" w:color="auto"/>
            </w:tcBorders>
            <w:vAlign w:val="center"/>
          </w:tcPr>
          <w:p w14:paraId="6A34990A" w14:textId="77777777" w:rsidR="00AD32B3" w:rsidRPr="00F614F9" w:rsidRDefault="00AD32B3">
            <w:pPr>
              <w:spacing w:line="240" w:lineRule="exact"/>
              <w:jc w:val="right"/>
              <w:rPr>
                <w:rFonts w:ascii="Times New Roman" w:eastAsia="宋体" w:hAnsi="Times New Roman" w:cs="宋体"/>
                <w:sz w:val="18"/>
                <w:szCs w:val="18"/>
              </w:rPr>
            </w:pPr>
          </w:p>
        </w:tc>
        <w:tc>
          <w:tcPr>
            <w:tcW w:w="766" w:type="pct"/>
            <w:tcBorders>
              <w:top w:val="single" w:sz="2" w:space="0" w:color="auto"/>
              <w:left w:val="single" w:sz="2" w:space="0" w:color="auto"/>
              <w:bottom w:val="single" w:sz="2" w:space="0" w:color="auto"/>
              <w:right w:val="single" w:sz="2" w:space="0" w:color="auto"/>
            </w:tcBorders>
            <w:vAlign w:val="center"/>
          </w:tcPr>
          <w:p w14:paraId="7EE012F5" w14:textId="77777777" w:rsidR="00AD32B3" w:rsidRPr="00F614F9" w:rsidRDefault="00AD32B3">
            <w:pPr>
              <w:spacing w:line="240" w:lineRule="exact"/>
              <w:jc w:val="right"/>
              <w:rPr>
                <w:rFonts w:ascii="Times New Roman" w:eastAsia="宋体" w:hAnsi="Times New Roman" w:cs="宋体"/>
                <w:sz w:val="18"/>
                <w:szCs w:val="18"/>
              </w:rPr>
            </w:pPr>
          </w:p>
        </w:tc>
        <w:tc>
          <w:tcPr>
            <w:tcW w:w="395" w:type="pct"/>
            <w:tcBorders>
              <w:top w:val="single" w:sz="2" w:space="0" w:color="auto"/>
              <w:left w:val="single" w:sz="2" w:space="0" w:color="auto"/>
              <w:bottom w:val="single" w:sz="2" w:space="0" w:color="auto"/>
              <w:right w:val="single" w:sz="2" w:space="0" w:color="auto"/>
            </w:tcBorders>
            <w:vAlign w:val="center"/>
          </w:tcPr>
          <w:p w14:paraId="75444AA5" w14:textId="77777777" w:rsidR="00AD32B3" w:rsidRPr="00F614F9" w:rsidRDefault="00AD32B3">
            <w:pPr>
              <w:spacing w:line="240" w:lineRule="exact"/>
              <w:jc w:val="right"/>
              <w:rPr>
                <w:rFonts w:ascii="Times New Roman" w:eastAsia="宋体" w:hAnsi="Times New Roman" w:cs="宋体"/>
                <w:sz w:val="18"/>
                <w:szCs w:val="18"/>
              </w:rPr>
            </w:pPr>
          </w:p>
        </w:tc>
        <w:tc>
          <w:tcPr>
            <w:tcW w:w="395" w:type="pct"/>
            <w:tcBorders>
              <w:top w:val="single" w:sz="2" w:space="0" w:color="auto"/>
              <w:left w:val="single" w:sz="2" w:space="0" w:color="auto"/>
              <w:bottom w:val="single" w:sz="2" w:space="0" w:color="auto"/>
              <w:right w:val="single" w:sz="2" w:space="0" w:color="auto"/>
            </w:tcBorders>
            <w:vAlign w:val="center"/>
          </w:tcPr>
          <w:p w14:paraId="57F08FB4" w14:textId="77777777" w:rsidR="00AD32B3" w:rsidRPr="00F614F9" w:rsidRDefault="00AD32B3">
            <w:pPr>
              <w:spacing w:line="240" w:lineRule="exact"/>
              <w:jc w:val="right"/>
              <w:rPr>
                <w:rFonts w:ascii="Times New Roman" w:eastAsia="宋体" w:hAnsi="Times New Roman" w:cs="宋体"/>
                <w:sz w:val="18"/>
                <w:szCs w:val="18"/>
              </w:rPr>
            </w:pPr>
          </w:p>
        </w:tc>
        <w:tc>
          <w:tcPr>
            <w:tcW w:w="766" w:type="pct"/>
            <w:tcBorders>
              <w:top w:val="single" w:sz="2" w:space="0" w:color="auto"/>
              <w:left w:val="single" w:sz="2" w:space="0" w:color="auto"/>
              <w:bottom w:val="single" w:sz="2" w:space="0" w:color="auto"/>
              <w:right w:val="single" w:sz="2" w:space="0" w:color="auto"/>
            </w:tcBorders>
            <w:vAlign w:val="center"/>
          </w:tcPr>
          <w:p w14:paraId="42C5DEA8" w14:textId="77777777" w:rsidR="00AD32B3" w:rsidRPr="00F614F9" w:rsidRDefault="00AD32B3">
            <w:pPr>
              <w:spacing w:line="240" w:lineRule="exact"/>
              <w:jc w:val="right"/>
              <w:rPr>
                <w:rFonts w:ascii="Times New Roman" w:eastAsia="宋体" w:hAnsi="Times New Roman" w:cs="宋体"/>
                <w:sz w:val="18"/>
                <w:szCs w:val="18"/>
              </w:rPr>
            </w:pPr>
          </w:p>
        </w:tc>
        <w:tc>
          <w:tcPr>
            <w:tcW w:w="1517" w:type="pct"/>
            <w:tcBorders>
              <w:top w:val="single" w:sz="2" w:space="0" w:color="auto"/>
              <w:left w:val="single" w:sz="2" w:space="0" w:color="auto"/>
              <w:bottom w:val="single" w:sz="2" w:space="0" w:color="auto"/>
              <w:right w:val="single" w:sz="2" w:space="0" w:color="auto"/>
            </w:tcBorders>
            <w:vAlign w:val="center"/>
          </w:tcPr>
          <w:p w14:paraId="3BFBACF2" w14:textId="77777777" w:rsidR="00AD32B3" w:rsidRPr="00F614F9" w:rsidRDefault="00AD32B3">
            <w:pPr>
              <w:spacing w:line="240" w:lineRule="exact"/>
              <w:jc w:val="right"/>
              <w:rPr>
                <w:rFonts w:ascii="Times New Roman" w:eastAsia="宋体" w:hAnsi="Times New Roman" w:cs="宋体"/>
                <w:sz w:val="18"/>
                <w:szCs w:val="18"/>
              </w:rPr>
            </w:pPr>
          </w:p>
        </w:tc>
      </w:tr>
      <w:tr w:rsidR="00AD32B3" w:rsidRPr="00F614F9" w14:paraId="016E3D49" w14:textId="77777777" w:rsidTr="00AD32B3">
        <w:trPr>
          <w:trHeight w:val="240"/>
        </w:trPr>
        <w:tc>
          <w:tcPr>
            <w:tcW w:w="395" w:type="pct"/>
            <w:tcBorders>
              <w:top w:val="single" w:sz="2" w:space="0" w:color="auto"/>
              <w:left w:val="single" w:sz="2" w:space="0" w:color="auto"/>
              <w:bottom w:val="single" w:sz="2" w:space="0" w:color="auto"/>
              <w:right w:val="single" w:sz="2" w:space="0" w:color="auto"/>
            </w:tcBorders>
            <w:shd w:val="clear" w:color="auto" w:fill="D3D3D3"/>
            <w:vAlign w:val="center"/>
          </w:tcPr>
          <w:p w14:paraId="00B754DC" w14:textId="77777777" w:rsidR="00AD32B3" w:rsidRPr="00F614F9" w:rsidRDefault="00AD32B3">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其中：</w:t>
            </w:r>
          </w:p>
        </w:tc>
        <w:tc>
          <w:tcPr>
            <w:tcW w:w="766" w:type="pct"/>
            <w:tcBorders>
              <w:top w:val="single" w:sz="2" w:space="0" w:color="auto"/>
              <w:left w:val="single" w:sz="2" w:space="0" w:color="auto"/>
              <w:bottom w:val="single" w:sz="2" w:space="0" w:color="auto"/>
              <w:right w:val="single" w:sz="2" w:space="0" w:color="auto"/>
            </w:tcBorders>
            <w:shd w:val="clear" w:color="auto" w:fill="D3D3D3"/>
            <w:vAlign w:val="center"/>
          </w:tcPr>
          <w:p w14:paraId="143F2429" w14:textId="77777777" w:rsidR="00AD32B3" w:rsidRPr="00F614F9" w:rsidRDefault="00AD32B3">
            <w:pPr>
              <w:rPr>
                <w:rFonts w:ascii="Times New Roman" w:hAnsi="Times New Roman"/>
              </w:rPr>
            </w:pPr>
          </w:p>
        </w:tc>
        <w:tc>
          <w:tcPr>
            <w:tcW w:w="766" w:type="pct"/>
            <w:tcBorders>
              <w:top w:val="single" w:sz="2" w:space="0" w:color="auto"/>
              <w:left w:val="single" w:sz="2" w:space="0" w:color="auto"/>
              <w:bottom w:val="single" w:sz="2" w:space="0" w:color="auto"/>
              <w:right w:val="single" w:sz="2" w:space="0" w:color="auto"/>
            </w:tcBorders>
            <w:shd w:val="clear" w:color="auto" w:fill="D3D3D3"/>
            <w:vAlign w:val="center"/>
          </w:tcPr>
          <w:p w14:paraId="555B0120" w14:textId="77777777" w:rsidR="00AD32B3" w:rsidRPr="00F614F9" w:rsidRDefault="00AD32B3">
            <w:pPr>
              <w:rPr>
                <w:rFonts w:ascii="Times New Roman" w:hAnsi="Times New Roman"/>
              </w:rPr>
            </w:pPr>
          </w:p>
        </w:tc>
        <w:tc>
          <w:tcPr>
            <w:tcW w:w="395" w:type="pct"/>
            <w:tcBorders>
              <w:top w:val="single" w:sz="2" w:space="0" w:color="auto"/>
              <w:left w:val="single" w:sz="2" w:space="0" w:color="auto"/>
              <w:bottom w:val="single" w:sz="2" w:space="0" w:color="auto"/>
              <w:right w:val="single" w:sz="2" w:space="0" w:color="auto"/>
            </w:tcBorders>
            <w:shd w:val="clear" w:color="auto" w:fill="D3D3D3"/>
            <w:vAlign w:val="center"/>
          </w:tcPr>
          <w:p w14:paraId="1F4711DD" w14:textId="77777777" w:rsidR="00AD32B3" w:rsidRPr="00F614F9" w:rsidRDefault="00AD32B3">
            <w:pPr>
              <w:rPr>
                <w:rFonts w:ascii="Times New Roman" w:hAnsi="Times New Roman"/>
              </w:rPr>
            </w:pPr>
          </w:p>
        </w:tc>
        <w:tc>
          <w:tcPr>
            <w:tcW w:w="395" w:type="pct"/>
            <w:tcBorders>
              <w:top w:val="single" w:sz="2" w:space="0" w:color="auto"/>
              <w:left w:val="single" w:sz="2" w:space="0" w:color="auto"/>
              <w:bottom w:val="single" w:sz="2" w:space="0" w:color="auto"/>
              <w:right w:val="single" w:sz="2" w:space="0" w:color="auto"/>
            </w:tcBorders>
            <w:shd w:val="clear" w:color="auto" w:fill="D3D3D3"/>
            <w:vAlign w:val="center"/>
          </w:tcPr>
          <w:p w14:paraId="0485165E" w14:textId="77777777" w:rsidR="00AD32B3" w:rsidRPr="00F614F9" w:rsidRDefault="00AD32B3">
            <w:pPr>
              <w:rPr>
                <w:rFonts w:ascii="Times New Roman" w:hAnsi="Times New Roman"/>
              </w:rPr>
            </w:pPr>
          </w:p>
        </w:tc>
        <w:tc>
          <w:tcPr>
            <w:tcW w:w="766" w:type="pct"/>
            <w:tcBorders>
              <w:top w:val="single" w:sz="2" w:space="0" w:color="auto"/>
              <w:left w:val="single" w:sz="2" w:space="0" w:color="auto"/>
              <w:bottom w:val="single" w:sz="2" w:space="0" w:color="auto"/>
              <w:right w:val="single" w:sz="2" w:space="0" w:color="auto"/>
            </w:tcBorders>
            <w:shd w:val="clear" w:color="auto" w:fill="D3D3D3"/>
            <w:vAlign w:val="center"/>
          </w:tcPr>
          <w:p w14:paraId="00B7C7C7" w14:textId="77777777" w:rsidR="00AD32B3" w:rsidRPr="00F614F9" w:rsidRDefault="00AD32B3">
            <w:pPr>
              <w:rPr>
                <w:rFonts w:ascii="Times New Roman" w:hAnsi="Times New Roman"/>
              </w:rPr>
            </w:pPr>
          </w:p>
        </w:tc>
        <w:tc>
          <w:tcPr>
            <w:tcW w:w="1517" w:type="pct"/>
            <w:tcBorders>
              <w:top w:val="single" w:sz="2" w:space="0" w:color="auto"/>
              <w:left w:val="single" w:sz="2" w:space="0" w:color="auto"/>
              <w:bottom w:val="single" w:sz="2" w:space="0" w:color="auto"/>
              <w:right w:val="single" w:sz="2" w:space="0" w:color="auto"/>
            </w:tcBorders>
            <w:shd w:val="clear" w:color="auto" w:fill="D3D3D3"/>
            <w:vAlign w:val="center"/>
          </w:tcPr>
          <w:p w14:paraId="2577D68A" w14:textId="77777777" w:rsidR="00AD32B3" w:rsidRPr="00F614F9" w:rsidRDefault="00AD32B3">
            <w:pPr>
              <w:rPr>
                <w:rFonts w:ascii="Times New Roman" w:hAnsi="Times New Roman"/>
              </w:rPr>
            </w:pPr>
          </w:p>
        </w:tc>
      </w:tr>
      <w:tr w:rsidR="00AD32B3" w:rsidRPr="00F614F9" w14:paraId="73529CEB" w14:textId="77777777" w:rsidTr="00AD32B3">
        <w:trPr>
          <w:trHeight w:val="240"/>
        </w:trPr>
        <w:tc>
          <w:tcPr>
            <w:tcW w:w="395" w:type="pct"/>
            <w:tcBorders>
              <w:top w:val="single" w:sz="2" w:space="0" w:color="auto"/>
              <w:left w:val="single" w:sz="2" w:space="0" w:color="auto"/>
              <w:bottom w:val="single" w:sz="2" w:space="0" w:color="auto"/>
              <w:right w:val="single" w:sz="2" w:space="0" w:color="auto"/>
            </w:tcBorders>
            <w:vAlign w:val="center"/>
          </w:tcPr>
          <w:p w14:paraId="7D31CDA1" w14:textId="77777777" w:rsidR="00AD32B3" w:rsidRPr="00F614F9" w:rsidRDefault="00AD32B3">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鲜冻肉</w:t>
            </w:r>
          </w:p>
        </w:tc>
        <w:tc>
          <w:tcPr>
            <w:tcW w:w="766" w:type="pct"/>
            <w:tcBorders>
              <w:top w:val="single" w:sz="2" w:space="0" w:color="auto"/>
              <w:left w:val="single" w:sz="2" w:space="0" w:color="auto"/>
              <w:bottom w:val="single" w:sz="2" w:space="0" w:color="auto"/>
              <w:right w:val="single" w:sz="2" w:space="0" w:color="auto"/>
            </w:tcBorders>
            <w:vAlign w:val="center"/>
          </w:tcPr>
          <w:p w14:paraId="7AAA9335"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9,631,433,952.20</w:t>
            </w:r>
          </w:p>
        </w:tc>
        <w:tc>
          <w:tcPr>
            <w:tcW w:w="766" w:type="pct"/>
            <w:tcBorders>
              <w:top w:val="single" w:sz="2" w:space="0" w:color="auto"/>
              <w:left w:val="single" w:sz="2" w:space="0" w:color="auto"/>
              <w:bottom w:val="single" w:sz="2" w:space="0" w:color="auto"/>
              <w:right w:val="single" w:sz="2" w:space="0" w:color="auto"/>
            </w:tcBorders>
            <w:vAlign w:val="center"/>
          </w:tcPr>
          <w:p w14:paraId="7CDE53A8"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9,844,332,552.89</w:t>
            </w:r>
          </w:p>
        </w:tc>
        <w:tc>
          <w:tcPr>
            <w:tcW w:w="395" w:type="pct"/>
            <w:tcBorders>
              <w:top w:val="single" w:sz="2" w:space="0" w:color="auto"/>
              <w:left w:val="single" w:sz="2" w:space="0" w:color="auto"/>
              <w:bottom w:val="single" w:sz="2" w:space="0" w:color="auto"/>
              <w:right w:val="single" w:sz="2" w:space="0" w:color="auto"/>
            </w:tcBorders>
            <w:vAlign w:val="center"/>
          </w:tcPr>
          <w:p w14:paraId="783C5A86" w14:textId="77777777" w:rsidR="00AD32B3" w:rsidRPr="00F614F9" w:rsidRDefault="00AD32B3">
            <w:pPr>
              <w:spacing w:line="240" w:lineRule="exact"/>
              <w:jc w:val="right"/>
              <w:rPr>
                <w:rFonts w:ascii="Times New Roman" w:eastAsia="宋体" w:hAnsi="Times New Roman" w:cs="宋体"/>
                <w:sz w:val="18"/>
                <w:szCs w:val="18"/>
              </w:rPr>
            </w:pPr>
          </w:p>
        </w:tc>
        <w:tc>
          <w:tcPr>
            <w:tcW w:w="395" w:type="pct"/>
            <w:tcBorders>
              <w:top w:val="single" w:sz="2" w:space="0" w:color="auto"/>
              <w:left w:val="single" w:sz="2" w:space="0" w:color="auto"/>
              <w:bottom w:val="single" w:sz="2" w:space="0" w:color="auto"/>
              <w:right w:val="single" w:sz="2" w:space="0" w:color="auto"/>
            </w:tcBorders>
            <w:vAlign w:val="center"/>
          </w:tcPr>
          <w:p w14:paraId="3E69C8AE" w14:textId="77777777" w:rsidR="00AD32B3" w:rsidRPr="00F614F9" w:rsidRDefault="00AD32B3">
            <w:pPr>
              <w:spacing w:line="240" w:lineRule="exact"/>
              <w:jc w:val="right"/>
              <w:rPr>
                <w:rFonts w:ascii="Times New Roman" w:eastAsia="宋体" w:hAnsi="Times New Roman" w:cs="宋体"/>
                <w:sz w:val="18"/>
                <w:szCs w:val="18"/>
              </w:rPr>
            </w:pPr>
          </w:p>
        </w:tc>
        <w:tc>
          <w:tcPr>
            <w:tcW w:w="766" w:type="pct"/>
            <w:tcBorders>
              <w:top w:val="single" w:sz="2" w:space="0" w:color="auto"/>
              <w:left w:val="single" w:sz="2" w:space="0" w:color="auto"/>
              <w:bottom w:val="single" w:sz="2" w:space="0" w:color="auto"/>
              <w:right w:val="single" w:sz="2" w:space="0" w:color="auto"/>
            </w:tcBorders>
            <w:vAlign w:val="center"/>
          </w:tcPr>
          <w:p w14:paraId="7B449ABE"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9,631,433,952.20</w:t>
            </w:r>
          </w:p>
        </w:tc>
        <w:tc>
          <w:tcPr>
            <w:tcW w:w="1517" w:type="pct"/>
            <w:tcBorders>
              <w:top w:val="single" w:sz="2" w:space="0" w:color="auto"/>
              <w:left w:val="single" w:sz="2" w:space="0" w:color="auto"/>
              <w:bottom w:val="single" w:sz="2" w:space="0" w:color="auto"/>
              <w:right w:val="single" w:sz="2" w:space="0" w:color="auto"/>
            </w:tcBorders>
            <w:vAlign w:val="center"/>
          </w:tcPr>
          <w:p w14:paraId="11F15B92"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9,844,332,552.89</w:t>
            </w:r>
          </w:p>
        </w:tc>
      </w:tr>
      <w:tr w:rsidR="00AD32B3" w:rsidRPr="00F614F9" w14:paraId="1D65CCD2" w14:textId="77777777" w:rsidTr="00AD32B3">
        <w:trPr>
          <w:trHeight w:val="240"/>
        </w:trPr>
        <w:tc>
          <w:tcPr>
            <w:tcW w:w="395" w:type="pct"/>
            <w:tcBorders>
              <w:top w:val="single" w:sz="2" w:space="0" w:color="auto"/>
              <w:left w:val="single" w:sz="2" w:space="0" w:color="auto"/>
              <w:bottom w:val="single" w:sz="2" w:space="0" w:color="auto"/>
              <w:right w:val="single" w:sz="2" w:space="0" w:color="auto"/>
            </w:tcBorders>
            <w:vAlign w:val="center"/>
          </w:tcPr>
          <w:p w14:paraId="435ADC01" w14:textId="77777777" w:rsidR="00AD32B3" w:rsidRPr="00F614F9" w:rsidRDefault="00AD32B3">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熟食制品</w:t>
            </w:r>
          </w:p>
        </w:tc>
        <w:tc>
          <w:tcPr>
            <w:tcW w:w="766" w:type="pct"/>
            <w:tcBorders>
              <w:top w:val="single" w:sz="2" w:space="0" w:color="auto"/>
              <w:left w:val="single" w:sz="2" w:space="0" w:color="auto"/>
              <w:bottom w:val="single" w:sz="2" w:space="0" w:color="auto"/>
              <w:right w:val="single" w:sz="2" w:space="0" w:color="auto"/>
            </w:tcBorders>
            <w:vAlign w:val="center"/>
          </w:tcPr>
          <w:p w14:paraId="0FB6FD4A"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239,312,078.33</w:t>
            </w:r>
          </w:p>
        </w:tc>
        <w:tc>
          <w:tcPr>
            <w:tcW w:w="766" w:type="pct"/>
            <w:tcBorders>
              <w:top w:val="single" w:sz="2" w:space="0" w:color="auto"/>
              <w:left w:val="single" w:sz="2" w:space="0" w:color="auto"/>
              <w:bottom w:val="single" w:sz="2" w:space="0" w:color="auto"/>
              <w:right w:val="single" w:sz="2" w:space="0" w:color="auto"/>
            </w:tcBorders>
            <w:vAlign w:val="center"/>
          </w:tcPr>
          <w:p w14:paraId="7A1FBB13"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207,157,310.59</w:t>
            </w:r>
          </w:p>
        </w:tc>
        <w:tc>
          <w:tcPr>
            <w:tcW w:w="395" w:type="pct"/>
            <w:tcBorders>
              <w:top w:val="single" w:sz="2" w:space="0" w:color="auto"/>
              <w:left w:val="single" w:sz="2" w:space="0" w:color="auto"/>
              <w:bottom w:val="single" w:sz="2" w:space="0" w:color="auto"/>
              <w:right w:val="single" w:sz="2" w:space="0" w:color="auto"/>
            </w:tcBorders>
            <w:vAlign w:val="center"/>
          </w:tcPr>
          <w:p w14:paraId="2E58B4C6" w14:textId="77777777" w:rsidR="00AD32B3" w:rsidRPr="00F614F9" w:rsidRDefault="00AD32B3">
            <w:pPr>
              <w:spacing w:line="240" w:lineRule="exact"/>
              <w:jc w:val="right"/>
              <w:rPr>
                <w:rFonts w:ascii="Times New Roman" w:eastAsia="宋体" w:hAnsi="Times New Roman" w:cs="宋体"/>
                <w:sz w:val="18"/>
                <w:szCs w:val="18"/>
              </w:rPr>
            </w:pPr>
          </w:p>
        </w:tc>
        <w:tc>
          <w:tcPr>
            <w:tcW w:w="395" w:type="pct"/>
            <w:tcBorders>
              <w:top w:val="single" w:sz="2" w:space="0" w:color="auto"/>
              <w:left w:val="single" w:sz="2" w:space="0" w:color="auto"/>
              <w:bottom w:val="single" w:sz="2" w:space="0" w:color="auto"/>
              <w:right w:val="single" w:sz="2" w:space="0" w:color="auto"/>
            </w:tcBorders>
            <w:vAlign w:val="center"/>
          </w:tcPr>
          <w:p w14:paraId="1C1BE6ED" w14:textId="77777777" w:rsidR="00AD32B3" w:rsidRPr="00F614F9" w:rsidRDefault="00AD32B3">
            <w:pPr>
              <w:spacing w:line="240" w:lineRule="exact"/>
              <w:jc w:val="right"/>
              <w:rPr>
                <w:rFonts w:ascii="Times New Roman" w:eastAsia="宋体" w:hAnsi="Times New Roman" w:cs="宋体"/>
                <w:sz w:val="18"/>
                <w:szCs w:val="18"/>
              </w:rPr>
            </w:pPr>
          </w:p>
        </w:tc>
        <w:tc>
          <w:tcPr>
            <w:tcW w:w="766" w:type="pct"/>
            <w:tcBorders>
              <w:top w:val="single" w:sz="2" w:space="0" w:color="auto"/>
              <w:left w:val="single" w:sz="2" w:space="0" w:color="auto"/>
              <w:bottom w:val="single" w:sz="2" w:space="0" w:color="auto"/>
              <w:right w:val="single" w:sz="2" w:space="0" w:color="auto"/>
            </w:tcBorders>
            <w:vAlign w:val="center"/>
          </w:tcPr>
          <w:p w14:paraId="7576C126"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239,312,078.33</w:t>
            </w:r>
          </w:p>
        </w:tc>
        <w:tc>
          <w:tcPr>
            <w:tcW w:w="1517" w:type="pct"/>
            <w:tcBorders>
              <w:top w:val="single" w:sz="2" w:space="0" w:color="auto"/>
              <w:left w:val="single" w:sz="2" w:space="0" w:color="auto"/>
              <w:bottom w:val="single" w:sz="2" w:space="0" w:color="auto"/>
              <w:right w:val="single" w:sz="2" w:space="0" w:color="auto"/>
            </w:tcBorders>
            <w:vAlign w:val="center"/>
          </w:tcPr>
          <w:p w14:paraId="67DCD1B4"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207,157,310.59</w:t>
            </w:r>
          </w:p>
        </w:tc>
      </w:tr>
      <w:tr w:rsidR="00AD32B3" w:rsidRPr="00F614F9" w14:paraId="3BB71F70" w14:textId="77777777" w:rsidTr="00AD32B3">
        <w:trPr>
          <w:trHeight w:val="240"/>
        </w:trPr>
        <w:tc>
          <w:tcPr>
            <w:tcW w:w="395" w:type="pct"/>
            <w:tcBorders>
              <w:top w:val="single" w:sz="2" w:space="0" w:color="auto"/>
              <w:left w:val="single" w:sz="2" w:space="0" w:color="auto"/>
              <w:bottom w:val="single" w:sz="2" w:space="0" w:color="auto"/>
              <w:right w:val="single" w:sz="2" w:space="0" w:color="auto"/>
            </w:tcBorders>
            <w:vAlign w:val="center"/>
          </w:tcPr>
          <w:p w14:paraId="656F5360" w14:textId="77777777" w:rsidR="00AD32B3" w:rsidRPr="00F614F9" w:rsidRDefault="00AD32B3">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预制食品</w:t>
            </w:r>
          </w:p>
        </w:tc>
        <w:tc>
          <w:tcPr>
            <w:tcW w:w="766" w:type="pct"/>
            <w:tcBorders>
              <w:top w:val="single" w:sz="2" w:space="0" w:color="auto"/>
              <w:left w:val="single" w:sz="2" w:space="0" w:color="auto"/>
              <w:bottom w:val="single" w:sz="2" w:space="0" w:color="auto"/>
              <w:right w:val="single" w:sz="2" w:space="0" w:color="auto"/>
            </w:tcBorders>
            <w:vAlign w:val="center"/>
          </w:tcPr>
          <w:p w14:paraId="7ADE87D4"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1,983,804,802.03</w:t>
            </w:r>
          </w:p>
        </w:tc>
        <w:tc>
          <w:tcPr>
            <w:tcW w:w="766" w:type="pct"/>
            <w:tcBorders>
              <w:top w:val="single" w:sz="2" w:space="0" w:color="auto"/>
              <w:left w:val="single" w:sz="2" w:space="0" w:color="auto"/>
              <w:bottom w:val="single" w:sz="2" w:space="0" w:color="auto"/>
              <w:right w:val="single" w:sz="2" w:space="0" w:color="auto"/>
            </w:tcBorders>
            <w:vAlign w:val="center"/>
          </w:tcPr>
          <w:p w14:paraId="460DB6D1"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1,791,073,735.92</w:t>
            </w:r>
          </w:p>
        </w:tc>
        <w:tc>
          <w:tcPr>
            <w:tcW w:w="395" w:type="pct"/>
            <w:tcBorders>
              <w:top w:val="single" w:sz="2" w:space="0" w:color="auto"/>
              <w:left w:val="single" w:sz="2" w:space="0" w:color="auto"/>
              <w:bottom w:val="single" w:sz="2" w:space="0" w:color="auto"/>
              <w:right w:val="single" w:sz="2" w:space="0" w:color="auto"/>
            </w:tcBorders>
            <w:vAlign w:val="center"/>
          </w:tcPr>
          <w:p w14:paraId="172B51DC" w14:textId="77777777" w:rsidR="00AD32B3" w:rsidRPr="00F614F9" w:rsidRDefault="00AD32B3">
            <w:pPr>
              <w:spacing w:line="240" w:lineRule="exact"/>
              <w:jc w:val="right"/>
              <w:rPr>
                <w:rFonts w:ascii="Times New Roman" w:eastAsia="宋体" w:hAnsi="Times New Roman" w:cs="宋体"/>
                <w:sz w:val="18"/>
                <w:szCs w:val="18"/>
              </w:rPr>
            </w:pPr>
          </w:p>
        </w:tc>
        <w:tc>
          <w:tcPr>
            <w:tcW w:w="395" w:type="pct"/>
            <w:tcBorders>
              <w:top w:val="single" w:sz="2" w:space="0" w:color="auto"/>
              <w:left w:val="single" w:sz="2" w:space="0" w:color="auto"/>
              <w:bottom w:val="single" w:sz="2" w:space="0" w:color="auto"/>
              <w:right w:val="single" w:sz="2" w:space="0" w:color="auto"/>
            </w:tcBorders>
            <w:vAlign w:val="center"/>
          </w:tcPr>
          <w:p w14:paraId="73F027E8" w14:textId="77777777" w:rsidR="00AD32B3" w:rsidRPr="00F614F9" w:rsidRDefault="00AD32B3">
            <w:pPr>
              <w:spacing w:line="240" w:lineRule="exact"/>
              <w:jc w:val="right"/>
              <w:rPr>
                <w:rFonts w:ascii="Times New Roman" w:eastAsia="宋体" w:hAnsi="Times New Roman" w:cs="宋体"/>
                <w:sz w:val="18"/>
                <w:szCs w:val="18"/>
              </w:rPr>
            </w:pPr>
          </w:p>
        </w:tc>
        <w:tc>
          <w:tcPr>
            <w:tcW w:w="766" w:type="pct"/>
            <w:tcBorders>
              <w:top w:val="single" w:sz="2" w:space="0" w:color="auto"/>
              <w:left w:val="single" w:sz="2" w:space="0" w:color="auto"/>
              <w:bottom w:val="single" w:sz="2" w:space="0" w:color="auto"/>
              <w:right w:val="single" w:sz="2" w:space="0" w:color="auto"/>
            </w:tcBorders>
            <w:vAlign w:val="center"/>
          </w:tcPr>
          <w:p w14:paraId="5F37D7F4"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1,983,804,802.03</w:t>
            </w:r>
          </w:p>
        </w:tc>
        <w:tc>
          <w:tcPr>
            <w:tcW w:w="1517" w:type="pct"/>
            <w:tcBorders>
              <w:top w:val="single" w:sz="2" w:space="0" w:color="auto"/>
              <w:left w:val="single" w:sz="2" w:space="0" w:color="auto"/>
              <w:bottom w:val="single" w:sz="2" w:space="0" w:color="auto"/>
              <w:right w:val="single" w:sz="2" w:space="0" w:color="auto"/>
            </w:tcBorders>
            <w:vAlign w:val="center"/>
          </w:tcPr>
          <w:p w14:paraId="7C64A266"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1,791,073,735.92</w:t>
            </w:r>
          </w:p>
        </w:tc>
      </w:tr>
      <w:tr w:rsidR="00AD32B3" w:rsidRPr="00F614F9" w14:paraId="667AC8F2" w14:textId="77777777" w:rsidTr="00AD32B3">
        <w:trPr>
          <w:trHeight w:val="240"/>
        </w:trPr>
        <w:tc>
          <w:tcPr>
            <w:tcW w:w="395" w:type="pct"/>
            <w:tcBorders>
              <w:top w:val="single" w:sz="2" w:space="0" w:color="auto"/>
              <w:left w:val="single" w:sz="2" w:space="0" w:color="auto"/>
              <w:bottom w:val="single" w:sz="2" w:space="0" w:color="auto"/>
              <w:right w:val="single" w:sz="2" w:space="0" w:color="auto"/>
            </w:tcBorders>
            <w:vAlign w:val="center"/>
          </w:tcPr>
          <w:p w14:paraId="7B3DD33E" w14:textId="77777777" w:rsidR="00AD32B3" w:rsidRPr="00F614F9" w:rsidRDefault="00AD32B3">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进口贸易</w:t>
            </w:r>
          </w:p>
        </w:tc>
        <w:tc>
          <w:tcPr>
            <w:tcW w:w="766" w:type="pct"/>
            <w:tcBorders>
              <w:top w:val="single" w:sz="2" w:space="0" w:color="auto"/>
              <w:left w:val="single" w:sz="2" w:space="0" w:color="auto"/>
              <w:bottom w:val="single" w:sz="2" w:space="0" w:color="auto"/>
              <w:right w:val="single" w:sz="2" w:space="0" w:color="auto"/>
            </w:tcBorders>
            <w:vAlign w:val="center"/>
          </w:tcPr>
          <w:p w14:paraId="0DDDDD46"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1,123,029,725.45</w:t>
            </w:r>
          </w:p>
        </w:tc>
        <w:tc>
          <w:tcPr>
            <w:tcW w:w="766" w:type="pct"/>
            <w:tcBorders>
              <w:top w:val="single" w:sz="2" w:space="0" w:color="auto"/>
              <w:left w:val="single" w:sz="2" w:space="0" w:color="auto"/>
              <w:bottom w:val="single" w:sz="2" w:space="0" w:color="auto"/>
              <w:right w:val="single" w:sz="2" w:space="0" w:color="auto"/>
            </w:tcBorders>
            <w:vAlign w:val="center"/>
          </w:tcPr>
          <w:p w14:paraId="137E81B3"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1,263,269,938.20</w:t>
            </w:r>
          </w:p>
        </w:tc>
        <w:tc>
          <w:tcPr>
            <w:tcW w:w="395" w:type="pct"/>
            <w:tcBorders>
              <w:top w:val="single" w:sz="2" w:space="0" w:color="auto"/>
              <w:left w:val="single" w:sz="2" w:space="0" w:color="auto"/>
              <w:bottom w:val="single" w:sz="2" w:space="0" w:color="auto"/>
              <w:right w:val="single" w:sz="2" w:space="0" w:color="auto"/>
            </w:tcBorders>
            <w:vAlign w:val="center"/>
          </w:tcPr>
          <w:p w14:paraId="77427D80" w14:textId="77777777" w:rsidR="00AD32B3" w:rsidRPr="00F614F9" w:rsidRDefault="00AD32B3">
            <w:pPr>
              <w:spacing w:line="240" w:lineRule="exact"/>
              <w:jc w:val="right"/>
              <w:rPr>
                <w:rFonts w:ascii="Times New Roman" w:eastAsia="宋体" w:hAnsi="Times New Roman" w:cs="宋体"/>
                <w:sz w:val="18"/>
                <w:szCs w:val="18"/>
              </w:rPr>
            </w:pPr>
          </w:p>
        </w:tc>
        <w:tc>
          <w:tcPr>
            <w:tcW w:w="395" w:type="pct"/>
            <w:tcBorders>
              <w:top w:val="single" w:sz="2" w:space="0" w:color="auto"/>
              <w:left w:val="single" w:sz="2" w:space="0" w:color="auto"/>
              <w:bottom w:val="single" w:sz="2" w:space="0" w:color="auto"/>
              <w:right w:val="single" w:sz="2" w:space="0" w:color="auto"/>
            </w:tcBorders>
            <w:vAlign w:val="center"/>
          </w:tcPr>
          <w:p w14:paraId="4CD590A9" w14:textId="77777777" w:rsidR="00AD32B3" w:rsidRPr="00F614F9" w:rsidRDefault="00AD32B3">
            <w:pPr>
              <w:spacing w:line="240" w:lineRule="exact"/>
              <w:jc w:val="right"/>
              <w:rPr>
                <w:rFonts w:ascii="Times New Roman" w:eastAsia="宋体" w:hAnsi="Times New Roman" w:cs="宋体"/>
                <w:sz w:val="18"/>
                <w:szCs w:val="18"/>
              </w:rPr>
            </w:pPr>
          </w:p>
        </w:tc>
        <w:tc>
          <w:tcPr>
            <w:tcW w:w="766" w:type="pct"/>
            <w:tcBorders>
              <w:top w:val="single" w:sz="2" w:space="0" w:color="auto"/>
              <w:left w:val="single" w:sz="2" w:space="0" w:color="auto"/>
              <w:bottom w:val="single" w:sz="2" w:space="0" w:color="auto"/>
              <w:right w:val="single" w:sz="2" w:space="0" w:color="auto"/>
            </w:tcBorders>
            <w:vAlign w:val="center"/>
          </w:tcPr>
          <w:p w14:paraId="381B724B"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1,123,029,725.45</w:t>
            </w:r>
          </w:p>
        </w:tc>
        <w:tc>
          <w:tcPr>
            <w:tcW w:w="1517" w:type="pct"/>
            <w:tcBorders>
              <w:top w:val="single" w:sz="2" w:space="0" w:color="auto"/>
              <w:left w:val="single" w:sz="2" w:space="0" w:color="auto"/>
              <w:bottom w:val="single" w:sz="2" w:space="0" w:color="auto"/>
              <w:right w:val="single" w:sz="2" w:space="0" w:color="auto"/>
            </w:tcBorders>
            <w:vAlign w:val="center"/>
          </w:tcPr>
          <w:p w14:paraId="0FFC8B5B"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1,263,269,938.20</w:t>
            </w:r>
          </w:p>
        </w:tc>
      </w:tr>
      <w:tr w:rsidR="00AD32B3" w:rsidRPr="00F614F9" w14:paraId="5C20D98C" w14:textId="77777777" w:rsidTr="00AD32B3">
        <w:trPr>
          <w:trHeight w:val="240"/>
        </w:trPr>
        <w:tc>
          <w:tcPr>
            <w:tcW w:w="395" w:type="pct"/>
            <w:tcBorders>
              <w:top w:val="single" w:sz="2" w:space="0" w:color="auto"/>
              <w:left w:val="single" w:sz="2" w:space="0" w:color="auto"/>
              <w:bottom w:val="single" w:sz="2" w:space="0" w:color="auto"/>
              <w:right w:val="single" w:sz="2" w:space="0" w:color="auto"/>
            </w:tcBorders>
            <w:vAlign w:val="center"/>
          </w:tcPr>
          <w:p w14:paraId="0F7BD02C" w14:textId="77777777" w:rsidR="00AD32B3" w:rsidRPr="00F614F9" w:rsidRDefault="00AD32B3">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766" w:type="pct"/>
            <w:tcBorders>
              <w:top w:val="single" w:sz="2" w:space="0" w:color="auto"/>
              <w:left w:val="single" w:sz="2" w:space="0" w:color="auto"/>
              <w:bottom w:val="single" w:sz="2" w:space="0" w:color="auto"/>
              <w:right w:val="single" w:sz="2" w:space="0" w:color="auto"/>
            </w:tcBorders>
            <w:vAlign w:val="center"/>
          </w:tcPr>
          <w:p w14:paraId="1BEDDCD0"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340,892,653.89</w:t>
            </w:r>
          </w:p>
        </w:tc>
        <w:tc>
          <w:tcPr>
            <w:tcW w:w="766" w:type="pct"/>
            <w:tcBorders>
              <w:top w:val="single" w:sz="2" w:space="0" w:color="auto"/>
              <w:left w:val="single" w:sz="2" w:space="0" w:color="auto"/>
              <w:bottom w:val="single" w:sz="2" w:space="0" w:color="auto"/>
              <w:right w:val="single" w:sz="2" w:space="0" w:color="auto"/>
            </w:tcBorders>
            <w:vAlign w:val="center"/>
          </w:tcPr>
          <w:p w14:paraId="0F3CCD37"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422,833,896.83</w:t>
            </w:r>
          </w:p>
        </w:tc>
        <w:tc>
          <w:tcPr>
            <w:tcW w:w="395" w:type="pct"/>
            <w:tcBorders>
              <w:top w:val="single" w:sz="2" w:space="0" w:color="auto"/>
              <w:left w:val="single" w:sz="2" w:space="0" w:color="auto"/>
              <w:bottom w:val="single" w:sz="2" w:space="0" w:color="auto"/>
              <w:right w:val="single" w:sz="2" w:space="0" w:color="auto"/>
            </w:tcBorders>
            <w:vAlign w:val="center"/>
          </w:tcPr>
          <w:p w14:paraId="2A996C8E" w14:textId="77777777" w:rsidR="00AD32B3" w:rsidRPr="00F614F9" w:rsidRDefault="00AD32B3">
            <w:pPr>
              <w:spacing w:line="240" w:lineRule="exact"/>
              <w:jc w:val="right"/>
              <w:rPr>
                <w:rFonts w:ascii="Times New Roman" w:eastAsia="宋体" w:hAnsi="Times New Roman" w:cs="宋体"/>
                <w:sz w:val="18"/>
                <w:szCs w:val="18"/>
              </w:rPr>
            </w:pPr>
          </w:p>
        </w:tc>
        <w:tc>
          <w:tcPr>
            <w:tcW w:w="395" w:type="pct"/>
            <w:tcBorders>
              <w:top w:val="single" w:sz="2" w:space="0" w:color="auto"/>
              <w:left w:val="single" w:sz="2" w:space="0" w:color="auto"/>
              <w:bottom w:val="single" w:sz="2" w:space="0" w:color="auto"/>
              <w:right w:val="single" w:sz="2" w:space="0" w:color="auto"/>
            </w:tcBorders>
            <w:vAlign w:val="center"/>
          </w:tcPr>
          <w:p w14:paraId="5AE6588E" w14:textId="77777777" w:rsidR="00AD32B3" w:rsidRPr="00F614F9" w:rsidRDefault="00AD32B3">
            <w:pPr>
              <w:spacing w:line="240" w:lineRule="exact"/>
              <w:jc w:val="right"/>
              <w:rPr>
                <w:rFonts w:ascii="Times New Roman" w:eastAsia="宋体" w:hAnsi="Times New Roman" w:cs="宋体"/>
                <w:sz w:val="18"/>
                <w:szCs w:val="18"/>
              </w:rPr>
            </w:pPr>
          </w:p>
        </w:tc>
        <w:tc>
          <w:tcPr>
            <w:tcW w:w="766" w:type="pct"/>
            <w:tcBorders>
              <w:top w:val="single" w:sz="2" w:space="0" w:color="auto"/>
              <w:left w:val="single" w:sz="2" w:space="0" w:color="auto"/>
              <w:bottom w:val="single" w:sz="2" w:space="0" w:color="auto"/>
              <w:right w:val="single" w:sz="2" w:space="0" w:color="auto"/>
            </w:tcBorders>
            <w:vAlign w:val="center"/>
          </w:tcPr>
          <w:p w14:paraId="51E018AD"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340,892,653.89</w:t>
            </w:r>
          </w:p>
        </w:tc>
        <w:tc>
          <w:tcPr>
            <w:tcW w:w="1517" w:type="pct"/>
            <w:tcBorders>
              <w:top w:val="single" w:sz="2" w:space="0" w:color="auto"/>
              <w:left w:val="single" w:sz="2" w:space="0" w:color="auto"/>
              <w:bottom w:val="single" w:sz="2" w:space="0" w:color="auto"/>
              <w:right w:val="single" w:sz="2" w:space="0" w:color="auto"/>
            </w:tcBorders>
            <w:vAlign w:val="center"/>
          </w:tcPr>
          <w:p w14:paraId="1D1F7D91"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422,833,896.83</w:t>
            </w:r>
          </w:p>
        </w:tc>
      </w:tr>
      <w:tr w:rsidR="00AD32B3" w:rsidRPr="00F614F9" w14:paraId="77E0480D" w14:textId="77777777" w:rsidTr="00AD32B3">
        <w:trPr>
          <w:trHeight w:val="240"/>
        </w:trPr>
        <w:tc>
          <w:tcPr>
            <w:tcW w:w="395" w:type="pct"/>
            <w:tcBorders>
              <w:top w:val="single" w:sz="2" w:space="0" w:color="auto"/>
              <w:left w:val="single" w:sz="2" w:space="0" w:color="auto"/>
              <w:bottom w:val="single" w:sz="2" w:space="0" w:color="auto"/>
              <w:right w:val="single" w:sz="2" w:space="0" w:color="auto"/>
            </w:tcBorders>
            <w:shd w:val="clear" w:color="auto" w:fill="D3D3D3"/>
            <w:vAlign w:val="center"/>
          </w:tcPr>
          <w:p w14:paraId="7346C0B3" w14:textId="77777777" w:rsidR="00AD32B3" w:rsidRPr="00F614F9" w:rsidRDefault="00AD32B3">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按经营地区分类</w:t>
            </w:r>
          </w:p>
        </w:tc>
        <w:tc>
          <w:tcPr>
            <w:tcW w:w="766" w:type="pct"/>
            <w:tcBorders>
              <w:top w:val="single" w:sz="2" w:space="0" w:color="auto"/>
              <w:left w:val="single" w:sz="2" w:space="0" w:color="auto"/>
              <w:bottom w:val="single" w:sz="2" w:space="0" w:color="auto"/>
              <w:right w:val="single" w:sz="2" w:space="0" w:color="auto"/>
            </w:tcBorders>
            <w:vAlign w:val="center"/>
          </w:tcPr>
          <w:p w14:paraId="7C5B81FE" w14:textId="77777777" w:rsidR="00AD32B3" w:rsidRPr="00F614F9" w:rsidRDefault="00AD32B3">
            <w:pPr>
              <w:spacing w:line="240" w:lineRule="exact"/>
              <w:jc w:val="right"/>
              <w:rPr>
                <w:rFonts w:ascii="Times New Roman" w:eastAsia="宋体" w:hAnsi="Times New Roman" w:cs="宋体"/>
                <w:sz w:val="18"/>
                <w:szCs w:val="18"/>
              </w:rPr>
            </w:pPr>
          </w:p>
        </w:tc>
        <w:tc>
          <w:tcPr>
            <w:tcW w:w="766" w:type="pct"/>
            <w:tcBorders>
              <w:top w:val="single" w:sz="2" w:space="0" w:color="auto"/>
              <w:left w:val="single" w:sz="2" w:space="0" w:color="auto"/>
              <w:bottom w:val="single" w:sz="2" w:space="0" w:color="auto"/>
              <w:right w:val="single" w:sz="2" w:space="0" w:color="auto"/>
            </w:tcBorders>
            <w:vAlign w:val="center"/>
          </w:tcPr>
          <w:p w14:paraId="5D96EDED" w14:textId="77777777" w:rsidR="00AD32B3" w:rsidRPr="00F614F9" w:rsidRDefault="00AD32B3">
            <w:pPr>
              <w:spacing w:line="240" w:lineRule="exact"/>
              <w:jc w:val="right"/>
              <w:rPr>
                <w:rFonts w:ascii="Times New Roman" w:eastAsia="宋体" w:hAnsi="Times New Roman" w:cs="宋体"/>
                <w:sz w:val="18"/>
                <w:szCs w:val="18"/>
              </w:rPr>
            </w:pPr>
          </w:p>
        </w:tc>
        <w:tc>
          <w:tcPr>
            <w:tcW w:w="395" w:type="pct"/>
            <w:tcBorders>
              <w:top w:val="single" w:sz="2" w:space="0" w:color="auto"/>
              <w:left w:val="single" w:sz="2" w:space="0" w:color="auto"/>
              <w:bottom w:val="single" w:sz="2" w:space="0" w:color="auto"/>
              <w:right w:val="single" w:sz="2" w:space="0" w:color="auto"/>
            </w:tcBorders>
            <w:vAlign w:val="center"/>
          </w:tcPr>
          <w:p w14:paraId="0232724C" w14:textId="77777777" w:rsidR="00AD32B3" w:rsidRPr="00F614F9" w:rsidRDefault="00AD32B3">
            <w:pPr>
              <w:spacing w:line="240" w:lineRule="exact"/>
              <w:jc w:val="right"/>
              <w:rPr>
                <w:rFonts w:ascii="Times New Roman" w:eastAsia="宋体" w:hAnsi="Times New Roman" w:cs="宋体"/>
                <w:sz w:val="18"/>
                <w:szCs w:val="18"/>
              </w:rPr>
            </w:pPr>
          </w:p>
        </w:tc>
        <w:tc>
          <w:tcPr>
            <w:tcW w:w="395" w:type="pct"/>
            <w:tcBorders>
              <w:top w:val="single" w:sz="2" w:space="0" w:color="auto"/>
              <w:left w:val="single" w:sz="2" w:space="0" w:color="auto"/>
              <w:bottom w:val="single" w:sz="2" w:space="0" w:color="auto"/>
              <w:right w:val="single" w:sz="2" w:space="0" w:color="auto"/>
            </w:tcBorders>
            <w:vAlign w:val="center"/>
          </w:tcPr>
          <w:p w14:paraId="64576EE0" w14:textId="77777777" w:rsidR="00AD32B3" w:rsidRPr="00F614F9" w:rsidRDefault="00AD32B3">
            <w:pPr>
              <w:spacing w:line="240" w:lineRule="exact"/>
              <w:jc w:val="right"/>
              <w:rPr>
                <w:rFonts w:ascii="Times New Roman" w:eastAsia="宋体" w:hAnsi="Times New Roman" w:cs="宋体"/>
                <w:sz w:val="18"/>
                <w:szCs w:val="18"/>
              </w:rPr>
            </w:pPr>
          </w:p>
        </w:tc>
        <w:tc>
          <w:tcPr>
            <w:tcW w:w="766" w:type="pct"/>
            <w:tcBorders>
              <w:top w:val="single" w:sz="2" w:space="0" w:color="auto"/>
              <w:left w:val="single" w:sz="2" w:space="0" w:color="auto"/>
              <w:bottom w:val="single" w:sz="2" w:space="0" w:color="auto"/>
              <w:right w:val="single" w:sz="2" w:space="0" w:color="auto"/>
            </w:tcBorders>
            <w:vAlign w:val="center"/>
          </w:tcPr>
          <w:p w14:paraId="09457A19" w14:textId="77777777" w:rsidR="00AD32B3" w:rsidRPr="00F614F9" w:rsidRDefault="00AD32B3">
            <w:pPr>
              <w:spacing w:line="240" w:lineRule="exact"/>
              <w:jc w:val="right"/>
              <w:rPr>
                <w:rFonts w:ascii="Times New Roman" w:eastAsia="宋体" w:hAnsi="Times New Roman" w:cs="宋体"/>
                <w:sz w:val="18"/>
                <w:szCs w:val="18"/>
              </w:rPr>
            </w:pPr>
          </w:p>
        </w:tc>
        <w:tc>
          <w:tcPr>
            <w:tcW w:w="1517" w:type="pct"/>
            <w:tcBorders>
              <w:top w:val="single" w:sz="2" w:space="0" w:color="auto"/>
              <w:left w:val="single" w:sz="2" w:space="0" w:color="auto"/>
              <w:bottom w:val="single" w:sz="2" w:space="0" w:color="auto"/>
              <w:right w:val="single" w:sz="2" w:space="0" w:color="auto"/>
            </w:tcBorders>
            <w:vAlign w:val="center"/>
          </w:tcPr>
          <w:p w14:paraId="4969B8B8" w14:textId="77777777" w:rsidR="00AD32B3" w:rsidRPr="00F614F9" w:rsidRDefault="00AD32B3">
            <w:pPr>
              <w:spacing w:line="240" w:lineRule="exact"/>
              <w:jc w:val="right"/>
              <w:rPr>
                <w:rFonts w:ascii="Times New Roman" w:eastAsia="宋体" w:hAnsi="Times New Roman" w:cs="宋体"/>
                <w:sz w:val="18"/>
                <w:szCs w:val="18"/>
              </w:rPr>
            </w:pPr>
          </w:p>
        </w:tc>
      </w:tr>
      <w:tr w:rsidR="00AD32B3" w:rsidRPr="00F614F9" w14:paraId="29B00673" w14:textId="77777777" w:rsidTr="00AD32B3">
        <w:trPr>
          <w:trHeight w:val="240"/>
        </w:trPr>
        <w:tc>
          <w:tcPr>
            <w:tcW w:w="395" w:type="pct"/>
            <w:tcBorders>
              <w:top w:val="single" w:sz="2" w:space="0" w:color="auto"/>
              <w:left w:val="single" w:sz="2" w:space="0" w:color="auto"/>
              <w:bottom w:val="single" w:sz="2" w:space="0" w:color="auto"/>
              <w:right w:val="single" w:sz="2" w:space="0" w:color="auto"/>
            </w:tcBorders>
            <w:shd w:val="clear" w:color="auto" w:fill="D3D3D3"/>
            <w:vAlign w:val="center"/>
          </w:tcPr>
          <w:p w14:paraId="7239196C" w14:textId="77777777" w:rsidR="00AD32B3" w:rsidRPr="00F614F9" w:rsidRDefault="00AD32B3">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 xml:space="preserve">　其中：</w:t>
            </w:r>
          </w:p>
        </w:tc>
        <w:tc>
          <w:tcPr>
            <w:tcW w:w="766" w:type="pct"/>
            <w:tcBorders>
              <w:top w:val="single" w:sz="2" w:space="0" w:color="auto"/>
              <w:left w:val="single" w:sz="2" w:space="0" w:color="auto"/>
              <w:bottom w:val="single" w:sz="2" w:space="0" w:color="auto"/>
              <w:right w:val="single" w:sz="2" w:space="0" w:color="auto"/>
            </w:tcBorders>
            <w:shd w:val="clear" w:color="auto" w:fill="D3D3D3"/>
            <w:vAlign w:val="center"/>
          </w:tcPr>
          <w:p w14:paraId="13914A6F" w14:textId="77777777" w:rsidR="00AD32B3" w:rsidRPr="00F614F9" w:rsidRDefault="00AD32B3">
            <w:pPr>
              <w:rPr>
                <w:rFonts w:ascii="Times New Roman" w:hAnsi="Times New Roman"/>
              </w:rPr>
            </w:pPr>
          </w:p>
        </w:tc>
        <w:tc>
          <w:tcPr>
            <w:tcW w:w="766" w:type="pct"/>
            <w:tcBorders>
              <w:top w:val="single" w:sz="2" w:space="0" w:color="auto"/>
              <w:left w:val="single" w:sz="2" w:space="0" w:color="auto"/>
              <w:bottom w:val="single" w:sz="2" w:space="0" w:color="auto"/>
              <w:right w:val="single" w:sz="2" w:space="0" w:color="auto"/>
            </w:tcBorders>
            <w:shd w:val="clear" w:color="auto" w:fill="D3D3D3"/>
            <w:vAlign w:val="center"/>
          </w:tcPr>
          <w:p w14:paraId="47E14417" w14:textId="77777777" w:rsidR="00AD32B3" w:rsidRPr="00F614F9" w:rsidRDefault="00AD32B3">
            <w:pPr>
              <w:rPr>
                <w:rFonts w:ascii="Times New Roman" w:hAnsi="Times New Roman"/>
              </w:rPr>
            </w:pPr>
          </w:p>
        </w:tc>
        <w:tc>
          <w:tcPr>
            <w:tcW w:w="395" w:type="pct"/>
            <w:tcBorders>
              <w:top w:val="single" w:sz="2" w:space="0" w:color="auto"/>
              <w:left w:val="single" w:sz="2" w:space="0" w:color="auto"/>
              <w:bottom w:val="single" w:sz="2" w:space="0" w:color="auto"/>
              <w:right w:val="single" w:sz="2" w:space="0" w:color="auto"/>
            </w:tcBorders>
            <w:shd w:val="clear" w:color="auto" w:fill="D3D3D3"/>
            <w:vAlign w:val="center"/>
          </w:tcPr>
          <w:p w14:paraId="27FDEFF0" w14:textId="77777777" w:rsidR="00AD32B3" w:rsidRPr="00F614F9" w:rsidRDefault="00AD32B3">
            <w:pPr>
              <w:rPr>
                <w:rFonts w:ascii="Times New Roman" w:hAnsi="Times New Roman"/>
              </w:rPr>
            </w:pPr>
          </w:p>
        </w:tc>
        <w:tc>
          <w:tcPr>
            <w:tcW w:w="395" w:type="pct"/>
            <w:tcBorders>
              <w:top w:val="single" w:sz="2" w:space="0" w:color="auto"/>
              <w:left w:val="single" w:sz="2" w:space="0" w:color="auto"/>
              <w:bottom w:val="single" w:sz="2" w:space="0" w:color="auto"/>
              <w:right w:val="single" w:sz="2" w:space="0" w:color="auto"/>
            </w:tcBorders>
            <w:shd w:val="clear" w:color="auto" w:fill="D3D3D3"/>
            <w:vAlign w:val="center"/>
          </w:tcPr>
          <w:p w14:paraId="53EA8BE6" w14:textId="77777777" w:rsidR="00AD32B3" w:rsidRPr="00F614F9" w:rsidRDefault="00AD32B3">
            <w:pPr>
              <w:rPr>
                <w:rFonts w:ascii="Times New Roman" w:hAnsi="Times New Roman"/>
              </w:rPr>
            </w:pPr>
          </w:p>
        </w:tc>
        <w:tc>
          <w:tcPr>
            <w:tcW w:w="766" w:type="pct"/>
            <w:tcBorders>
              <w:top w:val="single" w:sz="2" w:space="0" w:color="auto"/>
              <w:left w:val="single" w:sz="2" w:space="0" w:color="auto"/>
              <w:bottom w:val="single" w:sz="2" w:space="0" w:color="auto"/>
              <w:right w:val="single" w:sz="2" w:space="0" w:color="auto"/>
            </w:tcBorders>
            <w:shd w:val="clear" w:color="auto" w:fill="D3D3D3"/>
            <w:vAlign w:val="center"/>
          </w:tcPr>
          <w:p w14:paraId="6805DBDB" w14:textId="77777777" w:rsidR="00AD32B3" w:rsidRPr="00F614F9" w:rsidRDefault="00AD32B3">
            <w:pPr>
              <w:rPr>
                <w:rFonts w:ascii="Times New Roman" w:hAnsi="Times New Roman"/>
              </w:rPr>
            </w:pPr>
          </w:p>
        </w:tc>
        <w:tc>
          <w:tcPr>
            <w:tcW w:w="1517" w:type="pct"/>
            <w:tcBorders>
              <w:top w:val="single" w:sz="2" w:space="0" w:color="auto"/>
              <w:left w:val="single" w:sz="2" w:space="0" w:color="auto"/>
              <w:bottom w:val="single" w:sz="2" w:space="0" w:color="auto"/>
              <w:right w:val="single" w:sz="2" w:space="0" w:color="auto"/>
            </w:tcBorders>
            <w:shd w:val="clear" w:color="auto" w:fill="D3D3D3"/>
            <w:vAlign w:val="center"/>
          </w:tcPr>
          <w:p w14:paraId="43D05094" w14:textId="77777777" w:rsidR="00AD32B3" w:rsidRPr="00F614F9" w:rsidRDefault="00AD32B3">
            <w:pPr>
              <w:rPr>
                <w:rFonts w:ascii="Times New Roman" w:hAnsi="Times New Roman"/>
              </w:rPr>
            </w:pPr>
          </w:p>
        </w:tc>
      </w:tr>
      <w:tr w:rsidR="00AD32B3" w:rsidRPr="00F614F9" w14:paraId="6F1675AE" w14:textId="77777777" w:rsidTr="00AD32B3">
        <w:trPr>
          <w:trHeight w:val="240"/>
        </w:trPr>
        <w:tc>
          <w:tcPr>
            <w:tcW w:w="395" w:type="pct"/>
            <w:tcBorders>
              <w:top w:val="single" w:sz="2" w:space="0" w:color="auto"/>
              <w:left w:val="single" w:sz="2" w:space="0" w:color="auto"/>
              <w:bottom w:val="single" w:sz="2" w:space="0" w:color="auto"/>
              <w:right w:val="single" w:sz="2" w:space="0" w:color="auto"/>
            </w:tcBorders>
            <w:vAlign w:val="center"/>
          </w:tcPr>
          <w:p w14:paraId="60F42498" w14:textId="77777777" w:rsidR="00AD32B3" w:rsidRPr="00F614F9" w:rsidRDefault="00AD32B3">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山东省内</w:t>
            </w:r>
          </w:p>
        </w:tc>
        <w:tc>
          <w:tcPr>
            <w:tcW w:w="766" w:type="pct"/>
            <w:tcBorders>
              <w:top w:val="single" w:sz="2" w:space="0" w:color="auto"/>
              <w:left w:val="single" w:sz="2" w:space="0" w:color="auto"/>
              <w:bottom w:val="single" w:sz="2" w:space="0" w:color="auto"/>
              <w:right w:val="single" w:sz="2" w:space="0" w:color="auto"/>
            </w:tcBorders>
            <w:vAlign w:val="center"/>
          </w:tcPr>
          <w:p w14:paraId="112CCB9D"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5,077,770,225.48</w:t>
            </w:r>
          </w:p>
        </w:tc>
        <w:tc>
          <w:tcPr>
            <w:tcW w:w="766" w:type="pct"/>
            <w:tcBorders>
              <w:top w:val="single" w:sz="2" w:space="0" w:color="auto"/>
              <w:left w:val="single" w:sz="2" w:space="0" w:color="auto"/>
              <w:bottom w:val="single" w:sz="2" w:space="0" w:color="auto"/>
              <w:right w:val="single" w:sz="2" w:space="0" w:color="auto"/>
            </w:tcBorders>
            <w:vAlign w:val="center"/>
          </w:tcPr>
          <w:p w14:paraId="7E8C0B31"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5,301,801,357.17</w:t>
            </w:r>
          </w:p>
        </w:tc>
        <w:tc>
          <w:tcPr>
            <w:tcW w:w="395" w:type="pct"/>
            <w:tcBorders>
              <w:top w:val="single" w:sz="2" w:space="0" w:color="auto"/>
              <w:left w:val="single" w:sz="2" w:space="0" w:color="auto"/>
              <w:bottom w:val="single" w:sz="2" w:space="0" w:color="auto"/>
              <w:right w:val="single" w:sz="2" w:space="0" w:color="auto"/>
            </w:tcBorders>
            <w:vAlign w:val="center"/>
          </w:tcPr>
          <w:p w14:paraId="5D9649BD" w14:textId="77777777" w:rsidR="00AD32B3" w:rsidRPr="00F614F9" w:rsidRDefault="00AD32B3">
            <w:pPr>
              <w:spacing w:line="240" w:lineRule="exact"/>
              <w:jc w:val="right"/>
              <w:rPr>
                <w:rFonts w:ascii="Times New Roman" w:eastAsia="宋体" w:hAnsi="Times New Roman" w:cs="宋体"/>
                <w:sz w:val="18"/>
                <w:szCs w:val="18"/>
              </w:rPr>
            </w:pPr>
          </w:p>
        </w:tc>
        <w:tc>
          <w:tcPr>
            <w:tcW w:w="395" w:type="pct"/>
            <w:tcBorders>
              <w:top w:val="single" w:sz="2" w:space="0" w:color="auto"/>
              <w:left w:val="single" w:sz="2" w:space="0" w:color="auto"/>
              <w:bottom w:val="single" w:sz="2" w:space="0" w:color="auto"/>
              <w:right w:val="single" w:sz="2" w:space="0" w:color="auto"/>
            </w:tcBorders>
            <w:vAlign w:val="center"/>
          </w:tcPr>
          <w:p w14:paraId="6997CA13" w14:textId="77777777" w:rsidR="00AD32B3" w:rsidRPr="00F614F9" w:rsidRDefault="00AD32B3">
            <w:pPr>
              <w:spacing w:line="240" w:lineRule="exact"/>
              <w:jc w:val="right"/>
              <w:rPr>
                <w:rFonts w:ascii="Times New Roman" w:eastAsia="宋体" w:hAnsi="Times New Roman" w:cs="宋体"/>
                <w:sz w:val="18"/>
                <w:szCs w:val="18"/>
              </w:rPr>
            </w:pPr>
          </w:p>
        </w:tc>
        <w:tc>
          <w:tcPr>
            <w:tcW w:w="766" w:type="pct"/>
            <w:tcBorders>
              <w:top w:val="single" w:sz="2" w:space="0" w:color="auto"/>
              <w:left w:val="single" w:sz="2" w:space="0" w:color="auto"/>
              <w:bottom w:val="single" w:sz="2" w:space="0" w:color="auto"/>
              <w:right w:val="single" w:sz="2" w:space="0" w:color="auto"/>
            </w:tcBorders>
            <w:vAlign w:val="center"/>
          </w:tcPr>
          <w:p w14:paraId="7F3022C0"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5,077,770,225.48</w:t>
            </w:r>
          </w:p>
        </w:tc>
        <w:tc>
          <w:tcPr>
            <w:tcW w:w="1517" w:type="pct"/>
            <w:tcBorders>
              <w:top w:val="single" w:sz="2" w:space="0" w:color="auto"/>
              <w:left w:val="single" w:sz="2" w:space="0" w:color="auto"/>
              <w:bottom w:val="single" w:sz="2" w:space="0" w:color="auto"/>
              <w:right w:val="single" w:sz="2" w:space="0" w:color="auto"/>
            </w:tcBorders>
            <w:vAlign w:val="center"/>
          </w:tcPr>
          <w:p w14:paraId="74B21682"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5,301,801,357.17</w:t>
            </w:r>
          </w:p>
        </w:tc>
      </w:tr>
      <w:tr w:rsidR="00AD32B3" w:rsidRPr="00F614F9" w14:paraId="4EDF7DCA" w14:textId="77777777" w:rsidTr="00AD32B3">
        <w:trPr>
          <w:trHeight w:val="240"/>
        </w:trPr>
        <w:tc>
          <w:tcPr>
            <w:tcW w:w="395" w:type="pct"/>
            <w:tcBorders>
              <w:top w:val="single" w:sz="2" w:space="0" w:color="auto"/>
              <w:left w:val="single" w:sz="2" w:space="0" w:color="auto"/>
              <w:bottom w:val="single" w:sz="2" w:space="0" w:color="auto"/>
              <w:right w:val="single" w:sz="2" w:space="0" w:color="auto"/>
            </w:tcBorders>
            <w:vAlign w:val="center"/>
          </w:tcPr>
          <w:p w14:paraId="4BAD892C" w14:textId="77777777" w:rsidR="00AD32B3" w:rsidRPr="00F614F9" w:rsidRDefault="00AD32B3">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华东其他地区</w:t>
            </w:r>
          </w:p>
        </w:tc>
        <w:tc>
          <w:tcPr>
            <w:tcW w:w="766" w:type="pct"/>
            <w:tcBorders>
              <w:top w:val="single" w:sz="2" w:space="0" w:color="auto"/>
              <w:left w:val="single" w:sz="2" w:space="0" w:color="auto"/>
              <w:bottom w:val="single" w:sz="2" w:space="0" w:color="auto"/>
              <w:right w:val="single" w:sz="2" w:space="0" w:color="auto"/>
            </w:tcBorders>
            <w:vAlign w:val="center"/>
          </w:tcPr>
          <w:p w14:paraId="5B744BA7"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3,825,477,417.59</w:t>
            </w:r>
          </w:p>
        </w:tc>
        <w:tc>
          <w:tcPr>
            <w:tcW w:w="766" w:type="pct"/>
            <w:tcBorders>
              <w:top w:val="single" w:sz="2" w:space="0" w:color="auto"/>
              <w:left w:val="single" w:sz="2" w:space="0" w:color="auto"/>
              <w:bottom w:val="single" w:sz="2" w:space="0" w:color="auto"/>
              <w:right w:val="single" w:sz="2" w:space="0" w:color="auto"/>
            </w:tcBorders>
            <w:vAlign w:val="center"/>
          </w:tcPr>
          <w:p w14:paraId="17872A60"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3,750,065,864.86</w:t>
            </w:r>
          </w:p>
        </w:tc>
        <w:tc>
          <w:tcPr>
            <w:tcW w:w="395" w:type="pct"/>
            <w:tcBorders>
              <w:top w:val="single" w:sz="2" w:space="0" w:color="auto"/>
              <w:left w:val="single" w:sz="2" w:space="0" w:color="auto"/>
              <w:bottom w:val="single" w:sz="2" w:space="0" w:color="auto"/>
              <w:right w:val="single" w:sz="2" w:space="0" w:color="auto"/>
            </w:tcBorders>
            <w:vAlign w:val="center"/>
          </w:tcPr>
          <w:p w14:paraId="37715D26" w14:textId="77777777" w:rsidR="00AD32B3" w:rsidRPr="00F614F9" w:rsidRDefault="00AD32B3">
            <w:pPr>
              <w:spacing w:line="240" w:lineRule="exact"/>
              <w:jc w:val="right"/>
              <w:rPr>
                <w:rFonts w:ascii="Times New Roman" w:eastAsia="宋体" w:hAnsi="Times New Roman" w:cs="宋体"/>
                <w:sz w:val="18"/>
                <w:szCs w:val="18"/>
              </w:rPr>
            </w:pPr>
          </w:p>
        </w:tc>
        <w:tc>
          <w:tcPr>
            <w:tcW w:w="395" w:type="pct"/>
            <w:tcBorders>
              <w:top w:val="single" w:sz="2" w:space="0" w:color="auto"/>
              <w:left w:val="single" w:sz="2" w:space="0" w:color="auto"/>
              <w:bottom w:val="single" w:sz="2" w:space="0" w:color="auto"/>
              <w:right w:val="single" w:sz="2" w:space="0" w:color="auto"/>
            </w:tcBorders>
            <w:vAlign w:val="center"/>
          </w:tcPr>
          <w:p w14:paraId="130F3E18" w14:textId="77777777" w:rsidR="00AD32B3" w:rsidRPr="00F614F9" w:rsidRDefault="00AD32B3">
            <w:pPr>
              <w:spacing w:line="240" w:lineRule="exact"/>
              <w:jc w:val="right"/>
              <w:rPr>
                <w:rFonts w:ascii="Times New Roman" w:eastAsia="宋体" w:hAnsi="Times New Roman" w:cs="宋体"/>
                <w:sz w:val="18"/>
                <w:szCs w:val="18"/>
              </w:rPr>
            </w:pPr>
          </w:p>
        </w:tc>
        <w:tc>
          <w:tcPr>
            <w:tcW w:w="766" w:type="pct"/>
            <w:tcBorders>
              <w:top w:val="single" w:sz="2" w:space="0" w:color="auto"/>
              <w:left w:val="single" w:sz="2" w:space="0" w:color="auto"/>
              <w:bottom w:val="single" w:sz="2" w:space="0" w:color="auto"/>
              <w:right w:val="single" w:sz="2" w:space="0" w:color="auto"/>
            </w:tcBorders>
            <w:vAlign w:val="center"/>
          </w:tcPr>
          <w:p w14:paraId="4ACDD68A"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3,825,477,417.59</w:t>
            </w:r>
          </w:p>
        </w:tc>
        <w:tc>
          <w:tcPr>
            <w:tcW w:w="1517" w:type="pct"/>
            <w:tcBorders>
              <w:top w:val="single" w:sz="2" w:space="0" w:color="auto"/>
              <w:left w:val="single" w:sz="2" w:space="0" w:color="auto"/>
              <w:bottom w:val="single" w:sz="2" w:space="0" w:color="auto"/>
              <w:right w:val="single" w:sz="2" w:space="0" w:color="auto"/>
            </w:tcBorders>
            <w:vAlign w:val="center"/>
          </w:tcPr>
          <w:p w14:paraId="55AC5256"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3,750,065,864.86</w:t>
            </w:r>
          </w:p>
        </w:tc>
      </w:tr>
      <w:tr w:rsidR="00AD32B3" w:rsidRPr="00F614F9" w14:paraId="1F4C649C" w14:textId="77777777" w:rsidTr="00AD32B3">
        <w:trPr>
          <w:trHeight w:val="240"/>
        </w:trPr>
        <w:tc>
          <w:tcPr>
            <w:tcW w:w="395" w:type="pct"/>
            <w:tcBorders>
              <w:top w:val="single" w:sz="2" w:space="0" w:color="auto"/>
              <w:left w:val="single" w:sz="2" w:space="0" w:color="auto"/>
              <w:bottom w:val="single" w:sz="2" w:space="0" w:color="auto"/>
              <w:right w:val="single" w:sz="2" w:space="0" w:color="auto"/>
            </w:tcBorders>
            <w:vAlign w:val="center"/>
          </w:tcPr>
          <w:p w14:paraId="6EE99256" w14:textId="77777777" w:rsidR="00AD32B3" w:rsidRPr="00F614F9" w:rsidRDefault="00AD32B3">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华中地区</w:t>
            </w:r>
          </w:p>
        </w:tc>
        <w:tc>
          <w:tcPr>
            <w:tcW w:w="766" w:type="pct"/>
            <w:tcBorders>
              <w:top w:val="single" w:sz="2" w:space="0" w:color="auto"/>
              <w:left w:val="single" w:sz="2" w:space="0" w:color="auto"/>
              <w:bottom w:val="single" w:sz="2" w:space="0" w:color="auto"/>
              <w:right w:val="single" w:sz="2" w:space="0" w:color="auto"/>
            </w:tcBorders>
            <w:vAlign w:val="center"/>
          </w:tcPr>
          <w:p w14:paraId="119FD2EC"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1,737,411,639.64</w:t>
            </w:r>
          </w:p>
        </w:tc>
        <w:tc>
          <w:tcPr>
            <w:tcW w:w="766" w:type="pct"/>
            <w:tcBorders>
              <w:top w:val="single" w:sz="2" w:space="0" w:color="auto"/>
              <w:left w:val="single" w:sz="2" w:space="0" w:color="auto"/>
              <w:bottom w:val="single" w:sz="2" w:space="0" w:color="auto"/>
              <w:right w:val="single" w:sz="2" w:space="0" w:color="auto"/>
            </w:tcBorders>
            <w:vAlign w:val="center"/>
          </w:tcPr>
          <w:p w14:paraId="3B6B6DF1"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1,756,145,096.97</w:t>
            </w:r>
          </w:p>
        </w:tc>
        <w:tc>
          <w:tcPr>
            <w:tcW w:w="395" w:type="pct"/>
            <w:tcBorders>
              <w:top w:val="single" w:sz="2" w:space="0" w:color="auto"/>
              <w:left w:val="single" w:sz="2" w:space="0" w:color="auto"/>
              <w:bottom w:val="single" w:sz="2" w:space="0" w:color="auto"/>
              <w:right w:val="single" w:sz="2" w:space="0" w:color="auto"/>
            </w:tcBorders>
            <w:vAlign w:val="center"/>
          </w:tcPr>
          <w:p w14:paraId="236597F6" w14:textId="77777777" w:rsidR="00AD32B3" w:rsidRPr="00F614F9" w:rsidRDefault="00AD32B3">
            <w:pPr>
              <w:spacing w:line="240" w:lineRule="exact"/>
              <w:jc w:val="right"/>
              <w:rPr>
                <w:rFonts w:ascii="Times New Roman" w:eastAsia="宋体" w:hAnsi="Times New Roman" w:cs="宋体"/>
                <w:sz w:val="18"/>
                <w:szCs w:val="18"/>
              </w:rPr>
            </w:pPr>
          </w:p>
        </w:tc>
        <w:tc>
          <w:tcPr>
            <w:tcW w:w="395" w:type="pct"/>
            <w:tcBorders>
              <w:top w:val="single" w:sz="2" w:space="0" w:color="auto"/>
              <w:left w:val="single" w:sz="2" w:space="0" w:color="auto"/>
              <w:bottom w:val="single" w:sz="2" w:space="0" w:color="auto"/>
              <w:right w:val="single" w:sz="2" w:space="0" w:color="auto"/>
            </w:tcBorders>
            <w:vAlign w:val="center"/>
          </w:tcPr>
          <w:p w14:paraId="0B8370F1" w14:textId="77777777" w:rsidR="00AD32B3" w:rsidRPr="00F614F9" w:rsidRDefault="00AD32B3">
            <w:pPr>
              <w:spacing w:line="240" w:lineRule="exact"/>
              <w:jc w:val="right"/>
              <w:rPr>
                <w:rFonts w:ascii="Times New Roman" w:eastAsia="宋体" w:hAnsi="Times New Roman" w:cs="宋体"/>
                <w:sz w:val="18"/>
                <w:szCs w:val="18"/>
              </w:rPr>
            </w:pPr>
          </w:p>
        </w:tc>
        <w:tc>
          <w:tcPr>
            <w:tcW w:w="766" w:type="pct"/>
            <w:tcBorders>
              <w:top w:val="single" w:sz="2" w:space="0" w:color="auto"/>
              <w:left w:val="single" w:sz="2" w:space="0" w:color="auto"/>
              <w:bottom w:val="single" w:sz="2" w:space="0" w:color="auto"/>
              <w:right w:val="single" w:sz="2" w:space="0" w:color="auto"/>
            </w:tcBorders>
            <w:vAlign w:val="center"/>
          </w:tcPr>
          <w:p w14:paraId="4C908659"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1,737,411,639.64</w:t>
            </w:r>
          </w:p>
        </w:tc>
        <w:tc>
          <w:tcPr>
            <w:tcW w:w="1517" w:type="pct"/>
            <w:tcBorders>
              <w:top w:val="single" w:sz="2" w:space="0" w:color="auto"/>
              <w:left w:val="single" w:sz="2" w:space="0" w:color="auto"/>
              <w:bottom w:val="single" w:sz="2" w:space="0" w:color="auto"/>
              <w:right w:val="single" w:sz="2" w:space="0" w:color="auto"/>
            </w:tcBorders>
            <w:vAlign w:val="center"/>
          </w:tcPr>
          <w:p w14:paraId="5F7ED208"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1,756,145,096.97</w:t>
            </w:r>
          </w:p>
        </w:tc>
      </w:tr>
      <w:tr w:rsidR="00AD32B3" w:rsidRPr="00F614F9" w14:paraId="6AC78B37" w14:textId="77777777" w:rsidTr="00AD32B3">
        <w:trPr>
          <w:trHeight w:val="240"/>
        </w:trPr>
        <w:tc>
          <w:tcPr>
            <w:tcW w:w="395" w:type="pct"/>
            <w:tcBorders>
              <w:top w:val="single" w:sz="2" w:space="0" w:color="auto"/>
              <w:left w:val="single" w:sz="2" w:space="0" w:color="auto"/>
              <w:bottom w:val="single" w:sz="2" w:space="0" w:color="auto"/>
              <w:right w:val="single" w:sz="2" w:space="0" w:color="auto"/>
            </w:tcBorders>
            <w:vAlign w:val="center"/>
          </w:tcPr>
          <w:p w14:paraId="50BC7722" w14:textId="77777777" w:rsidR="00AD32B3" w:rsidRPr="00F614F9" w:rsidRDefault="00AD32B3">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华北地区</w:t>
            </w:r>
          </w:p>
        </w:tc>
        <w:tc>
          <w:tcPr>
            <w:tcW w:w="766" w:type="pct"/>
            <w:tcBorders>
              <w:top w:val="single" w:sz="2" w:space="0" w:color="auto"/>
              <w:left w:val="single" w:sz="2" w:space="0" w:color="auto"/>
              <w:bottom w:val="single" w:sz="2" w:space="0" w:color="auto"/>
              <w:right w:val="single" w:sz="2" w:space="0" w:color="auto"/>
            </w:tcBorders>
            <w:vAlign w:val="center"/>
          </w:tcPr>
          <w:p w14:paraId="6933319C"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658,460,825.64</w:t>
            </w:r>
          </w:p>
        </w:tc>
        <w:tc>
          <w:tcPr>
            <w:tcW w:w="766" w:type="pct"/>
            <w:tcBorders>
              <w:top w:val="single" w:sz="2" w:space="0" w:color="auto"/>
              <w:left w:val="single" w:sz="2" w:space="0" w:color="auto"/>
              <w:bottom w:val="single" w:sz="2" w:space="0" w:color="auto"/>
              <w:right w:val="single" w:sz="2" w:space="0" w:color="auto"/>
            </w:tcBorders>
            <w:vAlign w:val="center"/>
          </w:tcPr>
          <w:p w14:paraId="6C031AD7"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688,681,681.49</w:t>
            </w:r>
          </w:p>
        </w:tc>
        <w:tc>
          <w:tcPr>
            <w:tcW w:w="395" w:type="pct"/>
            <w:tcBorders>
              <w:top w:val="single" w:sz="2" w:space="0" w:color="auto"/>
              <w:left w:val="single" w:sz="2" w:space="0" w:color="auto"/>
              <w:bottom w:val="single" w:sz="2" w:space="0" w:color="auto"/>
              <w:right w:val="single" w:sz="2" w:space="0" w:color="auto"/>
            </w:tcBorders>
            <w:vAlign w:val="center"/>
          </w:tcPr>
          <w:p w14:paraId="4E299CE5" w14:textId="77777777" w:rsidR="00AD32B3" w:rsidRPr="00F614F9" w:rsidRDefault="00AD32B3">
            <w:pPr>
              <w:spacing w:line="240" w:lineRule="exact"/>
              <w:jc w:val="right"/>
              <w:rPr>
                <w:rFonts w:ascii="Times New Roman" w:eastAsia="宋体" w:hAnsi="Times New Roman" w:cs="宋体"/>
                <w:sz w:val="18"/>
                <w:szCs w:val="18"/>
              </w:rPr>
            </w:pPr>
          </w:p>
        </w:tc>
        <w:tc>
          <w:tcPr>
            <w:tcW w:w="395" w:type="pct"/>
            <w:tcBorders>
              <w:top w:val="single" w:sz="2" w:space="0" w:color="auto"/>
              <w:left w:val="single" w:sz="2" w:space="0" w:color="auto"/>
              <w:bottom w:val="single" w:sz="2" w:space="0" w:color="auto"/>
              <w:right w:val="single" w:sz="2" w:space="0" w:color="auto"/>
            </w:tcBorders>
            <w:vAlign w:val="center"/>
          </w:tcPr>
          <w:p w14:paraId="2D74E186" w14:textId="77777777" w:rsidR="00AD32B3" w:rsidRPr="00F614F9" w:rsidRDefault="00AD32B3">
            <w:pPr>
              <w:spacing w:line="240" w:lineRule="exact"/>
              <w:jc w:val="right"/>
              <w:rPr>
                <w:rFonts w:ascii="Times New Roman" w:eastAsia="宋体" w:hAnsi="Times New Roman" w:cs="宋体"/>
                <w:sz w:val="18"/>
                <w:szCs w:val="18"/>
              </w:rPr>
            </w:pPr>
          </w:p>
        </w:tc>
        <w:tc>
          <w:tcPr>
            <w:tcW w:w="766" w:type="pct"/>
            <w:tcBorders>
              <w:top w:val="single" w:sz="2" w:space="0" w:color="auto"/>
              <w:left w:val="single" w:sz="2" w:space="0" w:color="auto"/>
              <w:bottom w:val="single" w:sz="2" w:space="0" w:color="auto"/>
              <w:right w:val="single" w:sz="2" w:space="0" w:color="auto"/>
            </w:tcBorders>
            <w:vAlign w:val="center"/>
          </w:tcPr>
          <w:p w14:paraId="77FC8D78"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658,460,825.64</w:t>
            </w:r>
          </w:p>
        </w:tc>
        <w:tc>
          <w:tcPr>
            <w:tcW w:w="1517" w:type="pct"/>
            <w:tcBorders>
              <w:top w:val="single" w:sz="2" w:space="0" w:color="auto"/>
              <w:left w:val="single" w:sz="2" w:space="0" w:color="auto"/>
              <w:bottom w:val="single" w:sz="2" w:space="0" w:color="auto"/>
              <w:right w:val="single" w:sz="2" w:space="0" w:color="auto"/>
            </w:tcBorders>
            <w:vAlign w:val="center"/>
          </w:tcPr>
          <w:p w14:paraId="2ECC32D9"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688,681,681.49</w:t>
            </w:r>
          </w:p>
        </w:tc>
      </w:tr>
      <w:tr w:rsidR="00AD32B3" w:rsidRPr="00F614F9" w14:paraId="18FEB4E9" w14:textId="77777777" w:rsidTr="00AD32B3">
        <w:trPr>
          <w:trHeight w:val="240"/>
        </w:trPr>
        <w:tc>
          <w:tcPr>
            <w:tcW w:w="395" w:type="pct"/>
            <w:tcBorders>
              <w:top w:val="single" w:sz="2" w:space="0" w:color="auto"/>
              <w:left w:val="single" w:sz="2" w:space="0" w:color="auto"/>
              <w:bottom w:val="single" w:sz="2" w:space="0" w:color="auto"/>
              <w:right w:val="single" w:sz="2" w:space="0" w:color="auto"/>
            </w:tcBorders>
            <w:vAlign w:val="center"/>
          </w:tcPr>
          <w:p w14:paraId="0434BBC3" w14:textId="77777777" w:rsidR="00AD32B3" w:rsidRPr="00F614F9" w:rsidRDefault="00AD32B3">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华南地区</w:t>
            </w:r>
          </w:p>
        </w:tc>
        <w:tc>
          <w:tcPr>
            <w:tcW w:w="766" w:type="pct"/>
            <w:tcBorders>
              <w:top w:val="single" w:sz="2" w:space="0" w:color="auto"/>
              <w:left w:val="single" w:sz="2" w:space="0" w:color="auto"/>
              <w:bottom w:val="single" w:sz="2" w:space="0" w:color="auto"/>
              <w:right w:val="single" w:sz="2" w:space="0" w:color="auto"/>
            </w:tcBorders>
            <w:vAlign w:val="center"/>
          </w:tcPr>
          <w:p w14:paraId="7613E833"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358,544,517.87</w:t>
            </w:r>
          </w:p>
        </w:tc>
        <w:tc>
          <w:tcPr>
            <w:tcW w:w="766" w:type="pct"/>
            <w:tcBorders>
              <w:top w:val="single" w:sz="2" w:space="0" w:color="auto"/>
              <w:left w:val="single" w:sz="2" w:space="0" w:color="auto"/>
              <w:bottom w:val="single" w:sz="2" w:space="0" w:color="auto"/>
              <w:right w:val="single" w:sz="2" w:space="0" w:color="auto"/>
            </w:tcBorders>
            <w:vAlign w:val="center"/>
          </w:tcPr>
          <w:p w14:paraId="74BFEDDA"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354,077,880.45</w:t>
            </w:r>
          </w:p>
        </w:tc>
        <w:tc>
          <w:tcPr>
            <w:tcW w:w="395" w:type="pct"/>
            <w:tcBorders>
              <w:top w:val="single" w:sz="2" w:space="0" w:color="auto"/>
              <w:left w:val="single" w:sz="2" w:space="0" w:color="auto"/>
              <w:bottom w:val="single" w:sz="2" w:space="0" w:color="auto"/>
              <w:right w:val="single" w:sz="2" w:space="0" w:color="auto"/>
            </w:tcBorders>
            <w:vAlign w:val="center"/>
          </w:tcPr>
          <w:p w14:paraId="0214B1D2" w14:textId="77777777" w:rsidR="00AD32B3" w:rsidRPr="00F614F9" w:rsidRDefault="00AD32B3">
            <w:pPr>
              <w:spacing w:line="240" w:lineRule="exact"/>
              <w:jc w:val="right"/>
              <w:rPr>
                <w:rFonts w:ascii="Times New Roman" w:eastAsia="宋体" w:hAnsi="Times New Roman" w:cs="宋体"/>
                <w:sz w:val="18"/>
                <w:szCs w:val="18"/>
              </w:rPr>
            </w:pPr>
          </w:p>
        </w:tc>
        <w:tc>
          <w:tcPr>
            <w:tcW w:w="395" w:type="pct"/>
            <w:tcBorders>
              <w:top w:val="single" w:sz="2" w:space="0" w:color="auto"/>
              <w:left w:val="single" w:sz="2" w:space="0" w:color="auto"/>
              <w:bottom w:val="single" w:sz="2" w:space="0" w:color="auto"/>
              <w:right w:val="single" w:sz="2" w:space="0" w:color="auto"/>
            </w:tcBorders>
            <w:vAlign w:val="center"/>
          </w:tcPr>
          <w:p w14:paraId="6EF66EDF" w14:textId="77777777" w:rsidR="00AD32B3" w:rsidRPr="00F614F9" w:rsidRDefault="00AD32B3">
            <w:pPr>
              <w:spacing w:line="240" w:lineRule="exact"/>
              <w:jc w:val="right"/>
              <w:rPr>
                <w:rFonts w:ascii="Times New Roman" w:eastAsia="宋体" w:hAnsi="Times New Roman" w:cs="宋体"/>
                <w:sz w:val="18"/>
                <w:szCs w:val="18"/>
              </w:rPr>
            </w:pPr>
          </w:p>
        </w:tc>
        <w:tc>
          <w:tcPr>
            <w:tcW w:w="766" w:type="pct"/>
            <w:tcBorders>
              <w:top w:val="single" w:sz="2" w:space="0" w:color="auto"/>
              <w:left w:val="single" w:sz="2" w:space="0" w:color="auto"/>
              <w:bottom w:val="single" w:sz="2" w:space="0" w:color="auto"/>
              <w:right w:val="single" w:sz="2" w:space="0" w:color="auto"/>
            </w:tcBorders>
            <w:vAlign w:val="center"/>
          </w:tcPr>
          <w:p w14:paraId="7F0859F2"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358,544,517.87</w:t>
            </w:r>
          </w:p>
        </w:tc>
        <w:tc>
          <w:tcPr>
            <w:tcW w:w="1517" w:type="pct"/>
            <w:tcBorders>
              <w:top w:val="single" w:sz="2" w:space="0" w:color="auto"/>
              <w:left w:val="single" w:sz="2" w:space="0" w:color="auto"/>
              <w:bottom w:val="single" w:sz="2" w:space="0" w:color="auto"/>
              <w:right w:val="single" w:sz="2" w:space="0" w:color="auto"/>
            </w:tcBorders>
            <w:vAlign w:val="center"/>
          </w:tcPr>
          <w:p w14:paraId="7E6F9045"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354,077,880.45</w:t>
            </w:r>
          </w:p>
        </w:tc>
      </w:tr>
      <w:tr w:rsidR="00AD32B3" w:rsidRPr="00F614F9" w14:paraId="16F06933" w14:textId="77777777" w:rsidTr="00AD32B3">
        <w:trPr>
          <w:trHeight w:val="240"/>
        </w:trPr>
        <w:tc>
          <w:tcPr>
            <w:tcW w:w="395" w:type="pct"/>
            <w:tcBorders>
              <w:top w:val="single" w:sz="2" w:space="0" w:color="auto"/>
              <w:left w:val="single" w:sz="2" w:space="0" w:color="auto"/>
              <w:bottom w:val="single" w:sz="2" w:space="0" w:color="auto"/>
              <w:right w:val="single" w:sz="2" w:space="0" w:color="auto"/>
            </w:tcBorders>
            <w:vAlign w:val="center"/>
          </w:tcPr>
          <w:p w14:paraId="7E6EFC46" w14:textId="77777777" w:rsidR="00AD32B3" w:rsidRPr="00F614F9" w:rsidRDefault="00AD32B3">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东北地区</w:t>
            </w:r>
          </w:p>
        </w:tc>
        <w:tc>
          <w:tcPr>
            <w:tcW w:w="766" w:type="pct"/>
            <w:tcBorders>
              <w:top w:val="single" w:sz="2" w:space="0" w:color="auto"/>
              <w:left w:val="single" w:sz="2" w:space="0" w:color="auto"/>
              <w:bottom w:val="single" w:sz="2" w:space="0" w:color="auto"/>
              <w:right w:val="single" w:sz="2" w:space="0" w:color="auto"/>
            </w:tcBorders>
            <w:vAlign w:val="center"/>
          </w:tcPr>
          <w:p w14:paraId="02D0FB06"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941,552,814.77</w:t>
            </w:r>
          </w:p>
        </w:tc>
        <w:tc>
          <w:tcPr>
            <w:tcW w:w="766" w:type="pct"/>
            <w:tcBorders>
              <w:top w:val="single" w:sz="2" w:space="0" w:color="auto"/>
              <w:left w:val="single" w:sz="2" w:space="0" w:color="auto"/>
              <w:bottom w:val="single" w:sz="2" w:space="0" w:color="auto"/>
              <w:right w:val="single" w:sz="2" w:space="0" w:color="auto"/>
            </w:tcBorders>
            <w:vAlign w:val="center"/>
          </w:tcPr>
          <w:p w14:paraId="263AD6BE"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939,967,832.68</w:t>
            </w:r>
          </w:p>
        </w:tc>
        <w:tc>
          <w:tcPr>
            <w:tcW w:w="395" w:type="pct"/>
            <w:tcBorders>
              <w:top w:val="single" w:sz="2" w:space="0" w:color="auto"/>
              <w:left w:val="single" w:sz="2" w:space="0" w:color="auto"/>
              <w:bottom w:val="single" w:sz="2" w:space="0" w:color="auto"/>
              <w:right w:val="single" w:sz="2" w:space="0" w:color="auto"/>
            </w:tcBorders>
            <w:vAlign w:val="center"/>
          </w:tcPr>
          <w:p w14:paraId="3A4D0E65" w14:textId="77777777" w:rsidR="00AD32B3" w:rsidRPr="00F614F9" w:rsidRDefault="00AD32B3">
            <w:pPr>
              <w:spacing w:line="240" w:lineRule="exact"/>
              <w:jc w:val="right"/>
              <w:rPr>
                <w:rFonts w:ascii="Times New Roman" w:eastAsia="宋体" w:hAnsi="Times New Roman" w:cs="宋体"/>
                <w:sz w:val="18"/>
                <w:szCs w:val="18"/>
              </w:rPr>
            </w:pPr>
          </w:p>
        </w:tc>
        <w:tc>
          <w:tcPr>
            <w:tcW w:w="395" w:type="pct"/>
            <w:tcBorders>
              <w:top w:val="single" w:sz="2" w:space="0" w:color="auto"/>
              <w:left w:val="single" w:sz="2" w:space="0" w:color="auto"/>
              <w:bottom w:val="single" w:sz="2" w:space="0" w:color="auto"/>
              <w:right w:val="single" w:sz="2" w:space="0" w:color="auto"/>
            </w:tcBorders>
            <w:vAlign w:val="center"/>
          </w:tcPr>
          <w:p w14:paraId="392DFB3A" w14:textId="77777777" w:rsidR="00AD32B3" w:rsidRPr="00F614F9" w:rsidRDefault="00AD32B3">
            <w:pPr>
              <w:spacing w:line="240" w:lineRule="exact"/>
              <w:jc w:val="right"/>
              <w:rPr>
                <w:rFonts w:ascii="Times New Roman" w:eastAsia="宋体" w:hAnsi="Times New Roman" w:cs="宋体"/>
                <w:sz w:val="18"/>
                <w:szCs w:val="18"/>
              </w:rPr>
            </w:pPr>
          </w:p>
        </w:tc>
        <w:tc>
          <w:tcPr>
            <w:tcW w:w="766" w:type="pct"/>
            <w:tcBorders>
              <w:top w:val="single" w:sz="2" w:space="0" w:color="auto"/>
              <w:left w:val="single" w:sz="2" w:space="0" w:color="auto"/>
              <w:bottom w:val="single" w:sz="2" w:space="0" w:color="auto"/>
              <w:right w:val="single" w:sz="2" w:space="0" w:color="auto"/>
            </w:tcBorders>
            <w:vAlign w:val="center"/>
          </w:tcPr>
          <w:p w14:paraId="340BC54D"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941,552,814.77</w:t>
            </w:r>
          </w:p>
        </w:tc>
        <w:tc>
          <w:tcPr>
            <w:tcW w:w="1517" w:type="pct"/>
            <w:tcBorders>
              <w:top w:val="single" w:sz="2" w:space="0" w:color="auto"/>
              <w:left w:val="single" w:sz="2" w:space="0" w:color="auto"/>
              <w:bottom w:val="single" w:sz="2" w:space="0" w:color="auto"/>
              <w:right w:val="single" w:sz="2" w:space="0" w:color="auto"/>
            </w:tcBorders>
            <w:vAlign w:val="center"/>
          </w:tcPr>
          <w:p w14:paraId="429CDDA9"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939,967,832.68</w:t>
            </w:r>
          </w:p>
        </w:tc>
      </w:tr>
      <w:tr w:rsidR="00AD32B3" w:rsidRPr="00F614F9" w14:paraId="0EBF8F57" w14:textId="77777777" w:rsidTr="00AD32B3">
        <w:trPr>
          <w:trHeight w:val="240"/>
        </w:trPr>
        <w:tc>
          <w:tcPr>
            <w:tcW w:w="395" w:type="pct"/>
            <w:tcBorders>
              <w:top w:val="single" w:sz="2" w:space="0" w:color="auto"/>
              <w:left w:val="single" w:sz="2" w:space="0" w:color="auto"/>
              <w:bottom w:val="single" w:sz="2" w:space="0" w:color="auto"/>
              <w:right w:val="single" w:sz="2" w:space="0" w:color="auto"/>
            </w:tcBorders>
            <w:vAlign w:val="center"/>
          </w:tcPr>
          <w:p w14:paraId="200083F9" w14:textId="77777777" w:rsidR="00AD32B3" w:rsidRPr="00F614F9" w:rsidRDefault="00AD32B3">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西南地区</w:t>
            </w:r>
          </w:p>
        </w:tc>
        <w:tc>
          <w:tcPr>
            <w:tcW w:w="766" w:type="pct"/>
            <w:tcBorders>
              <w:top w:val="single" w:sz="2" w:space="0" w:color="auto"/>
              <w:left w:val="single" w:sz="2" w:space="0" w:color="auto"/>
              <w:bottom w:val="single" w:sz="2" w:space="0" w:color="auto"/>
              <w:right w:val="single" w:sz="2" w:space="0" w:color="auto"/>
            </w:tcBorders>
            <w:vAlign w:val="center"/>
          </w:tcPr>
          <w:p w14:paraId="4ED3B502"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645,730,141.35</w:t>
            </w:r>
          </w:p>
        </w:tc>
        <w:tc>
          <w:tcPr>
            <w:tcW w:w="766" w:type="pct"/>
            <w:tcBorders>
              <w:top w:val="single" w:sz="2" w:space="0" w:color="auto"/>
              <w:left w:val="single" w:sz="2" w:space="0" w:color="auto"/>
              <w:bottom w:val="single" w:sz="2" w:space="0" w:color="auto"/>
              <w:right w:val="single" w:sz="2" w:space="0" w:color="auto"/>
            </w:tcBorders>
            <w:vAlign w:val="center"/>
          </w:tcPr>
          <w:p w14:paraId="2AD3E77E"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663,775,155.53</w:t>
            </w:r>
          </w:p>
        </w:tc>
        <w:tc>
          <w:tcPr>
            <w:tcW w:w="395" w:type="pct"/>
            <w:tcBorders>
              <w:top w:val="single" w:sz="2" w:space="0" w:color="auto"/>
              <w:left w:val="single" w:sz="2" w:space="0" w:color="auto"/>
              <w:bottom w:val="single" w:sz="2" w:space="0" w:color="auto"/>
              <w:right w:val="single" w:sz="2" w:space="0" w:color="auto"/>
            </w:tcBorders>
            <w:vAlign w:val="center"/>
          </w:tcPr>
          <w:p w14:paraId="1E64977B" w14:textId="77777777" w:rsidR="00AD32B3" w:rsidRPr="00F614F9" w:rsidRDefault="00AD32B3">
            <w:pPr>
              <w:spacing w:line="240" w:lineRule="exact"/>
              <w:jc w:val="right"/>
              <w:rPr>
                <w:rFonts w:ascii="Times New Roman" w:eastAsia="宋体" w:hAnsi="Times New Roman" w:cs="宋体"/>
                <w:sz w:val="18"/>
                <w:szCs w:val="18"/>
              </w:rPr>
            </w:pPr>
          </w:p>
        </w:tc>
        <w:tc>
          <w:tcPr>
            <w:tcW w:w="395" w:type="pct"/>
            <w:tcBorders>
              <w:top w:val="single" w:sz="2" w:space="0" w:color="auto"/>
              <w:left w:val="single" w:sz="2" w:space="0" w:color="auto"/>
              <w:bottom w:val="single" w:sz="2" w:space="0" w:color="auto"/>
              <w:right w:val="single" w:sz="2" w:space="0" w:color="auto"/>
            </w:tcBorders>
            <w:vAlign w:val="center"/>
          </w:tcPr>
          <w:p w14:paraId="141400D5" w14:textId="77777777" w:rsidR="00AD32B3" w:rsidRPr="00F614F9" w:rsidRDefault="00AD32B3">
            <w:pPr>
              <w:spacing w:line="240" w:lineRule="exact"/>
              <w:jc w:val="right"/>
              <w:rPr>
                <w:rFonts w:ascii="Times New Roman" w:eastAsia="宋体" w:hAnsi="Times New Roman" w:cs="宋体"/>
                <w:sz w:val="18"/>
                <w:szCs w:val="18"/>
              </w:rPr>
            </w:pPr>
          </w:p>
        </w:tc>
        <w:tc>
          <w:tcPr>
            <w:tcW w:w="766" w:type="pct"/>
            <w:tcBorders>
              <w:top w:val="single" w:sz="2" w:space="0" w:color="auto"/>
              <w:left w:val="single" w:sz="2" w:space="0" w:color="auto"/>
              <w:bottom w:val="single" w:sz="2" w:space="0" w:color="auto"/>
              <w:right w:val="single" w:sz="2" w:space="0" w:color="auto"/>
            </w:tcBorders>
            <w:vAlign w:val="center"/>
          </w:tcPr>
          <w:p w14:paraId="5E70B93A"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645,730,141.35</w:t>
            </w:r>
          </w:p>
        </w:tc>
        <w:tc>
          <w:tcPr>
            <w:tcW w:w="1517" w:type="pct"/>
            <w:tcBorders>
              <w:top w:val="single" w:sz="2" w:space="0" w:color="auto"/>
              <w:left w:val="single" w:sz="2" w:space="0" w:color="auto"/>
              <w:bottom w:val="single" w:sz="2" w:space="0" w:color="auto"/>
              <w:right w:val="single" w:sz="2" w:space="0" w:color="auto"/>
            </w:tcBorders>
            <w:vAlign w:val="center"/>
          </w:tcPr>
          <w:p w14:paraId="257EDBB6"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663,775,155.53</w:t>
            </w:r>
          </w:p>
        </w:tc>
      </w:tr>
      <w:tr w:rsidR="00AD32B3" w:rsidRPr="00F614F9" w14:paraId="5282648F" w14:textId="77777777" w:rsidTr="00AD32B3">
        <w:trPr>
          <w:trHeight w:val="240"/>
        </w:trPr>
        <w:tc>
          <w:tcPr>
            <w:tcW w:w="395" w:type="pct"/>
            <w:tcBorders>
              <w:top w:val="single" w:sz="2" w:space="0" w:color="auto"/>
              <w:left w:val="single" w:sz="2" w:space="0" w:color="auto"/>
              <w:bottom w:val="single" w:sz="2" w:space="0" w:color="auto"/>
              <w:right w:val="single" w:sz="2" w:space="0" w:color="auto"/>
            </w:tcBorders>
            <w:vAlign w:val="center"/>
          </w:tcPr>
          <w:p w14:paraId="65EAB540" w14:textId="77777777" w:rsidR="00AD32B3" w:rsidRPr="00F614F9" w:rsidRDefault="00AD32B3">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西北地区及其他</w:t>
            </w:r>
          </w:p>
        </w:tc>
        <w:tc>
          <w:tcPr>
            <w:tcW w:w="766" w:type="pct"/>
            <w:tcBorders>
              <w:top w:val="single" w:sz="2" w:space="0" w:color="auto"/>
              <w:left w:val="single" w:sz="2" w:space="0" w:color="auto"/>
              <w:bottom w:val="single" w:sz="2" w:space="0" w:color="auto"/>
              <w:right w:val="single" w:sz="2" w:space="0" w:color="auto"/>
            </w:tcBorders>
            <w:vAlign w:val="center"/>
          </w:tcPr>
          <w:p w14:paraId="78383E60"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73,525,629.56</w:t>
            </w:r>
          </w:p>
        </w:tc>
        <w:tc>
          <w:tcPr>
            <w:tcW w:w="766" w:type="pct"/>
            <w:tcBorders>
              <w:top w:val="single" w:sz="2" w:space="0" w:color="auto"/>
              <w:left w:val="single" w:sz="2" w:space="0" w:color="auto"/>
              <w:bottom w:val="single" w:sz="2" w:space="0" w:color="auto"/>
              <w:right w:val="single" w:sz="2" w:space="0" w:color="auto"/>
            </w:tcBorders>
            <w:vAlign w:val="center"/>
          </w:tcPr>
          <w:p w14:paraId="20BDD8D2"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74,152,565.28</w:t>
            </w:r>
          </w:p>
        </w:tc>
        <w:tc>
          <w:tcPr>
            <w:tcW w:w="395" w:type="pct"/>
            <w:tcBorders>
              <w:top w:val="single" w:sz="2" w:space="0" w:color="auto"/>
              <w:left w:val="single" w:sz="2" w:space="0" w:color="auto"/>
              <w:bottom w:val="single" w:sz="2" w:space="0" w:color="auto"/>
              <w:right w:val="single" w:sz="2" w:space="0" w:color="auto"/>
            </w:tcBorders>
            <w:vAlign w:val="center"/>
          </w:tcPr>
          <w:p w14:paraId="2E33B227" w14:textId="77777777" w:rsidR="00AD32B3" w:rsidRPr="00F614F9" w:rsidRDefault="00AD32B3">
            <w:pPr>
              <w:spacing w:line="240" w:lineRule="exact"/>
              <w:jc w:val="right"/>
              <w:rPr>
                <w:rFonts w:ascii="Times New Roman" w:eastAsia="宋体" w:hAnsi="Times New Roman" w:cs="宋体"/>
                <w:sz w:val="18"/>
                <w:szCs w:val="18"/>
              </w:rPr>
            </w:pPr>
          </w:p>
        </w:tc>
        <w:tc>
          <w:tcPr>
            <w:tcW w:w="395" w:type="pct"/>
            <w:tcBorders>
              <w:top w:val="single" w:sz="2" w:space="0" w:color="auto"/>
              <w:left w:val="single" w:sz="2" w:space="0" w:color="auto"/>
              <w:bottom w:val="single" w:sz="2" w:space="0" w:color="auto"/>
              <w:right w:val="single" w:sz="2" w:space="0" w:color="auto"/>
            </w:tcBorders>
            <w:vAlign w:val="center"/>
          </w:tcPr>
          <w:p w14:paraId="10464F0C" w14:textId="77777777" w:rsidR="00AD32B3" w:rsidRPr="00F614F9" w:rsidRDefault="00AD32B3">
            <w:pPr>
              <w:spacing w:line="240" w:lineRule="exact"/>
              <w:jc w:val="right"/>
              <w:rPr>
                <w:rFonts w:ascii="Times New Roman" w:eastAsia="宋体" w:hAnsi="Times New Roman" w:cs="宋体"/>
                <w:sz w:val="18"/>
                <w:szCs w:val="18"/>
              </w:rPr>
            </w:pPr>
          </w:p>
        </w:tc>
        <w:tc>
          <w:tcPr>
            <w:tcW w:w="766" w:type="pct"/>
            <w:tcBorders>
              <w:top w:val="single" w:sz="2" w:space="0" w:color="auto"/>
              <w:left w:val="single" w:sz="2" w:space="0" w:color="auto"/>
              <w:bottom w:val="single" w:sz="2" w:space="0" w:color="auto"/>
              <w:right w:val="single" w:sz="2" w:space="0" w:color="auto"/>
            </w:tcBorders>
            <w:vAlign w:val="center"/>
          </w:tcPr>
          <w:p w14:paraId="745340C5"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73,525,629.56</w:t>
            </w:r>
          </w:p>
        </w:tc>
        <w:tc>
          <w:tcPr>
            <w:tcW w:w="1517" w:type="pct"/>
            <w:tcBorders>
              <w:top w:val="single" w:sz="2" w:space="0" w:color="auto"/>
              <w:left w:val="single" w:sz="2" w:space="0" w:color="auto"/>
              <w:bottom w:val="single" w:sz="2" w:space="0" w:color="auto"/>
              <w:right w:val="single" w:sz="2" w:space="0" w:color="auto"/>
            </w:tcBorders>
            <w:vAlign w:val="center"/>
          </w:tcPr>
          <w:p w14:paraId="38E8B55C" w14:textId="77777777" w:rsidR="00AD32B3" w:rsidRPr="00F614F9" w:rsidRDefault="00AD32B3">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74,152,565.28</w:t>
            </w:r>
          </w:p>
        </w:tc>
      </w:tr>
    </w:tbl>
    <w:p w14:paraId="6F58AF7E"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与履约义务相关的信息：</w:t>
      </w:r>
    </w:p>
    <w:p w14:paraId="3851640B" w14:textId="77777777" w:rsidR="001D26E7" w:rsidRPr="00751404" w:rsidRDefault="00AD32B3">
      <w:pPr>
        <w:spacing w:line="0" w:lineRule="atLeast"/>
        <w:rPr>
          <w:rFonts w:ascii="宋体" w:eastAsia="宋体" w:hAnsi="宋体"/>
          <w:sz w:val="18"/>
          <w:szCs w:val="20"/>
        </w:rPr>
      </w:pPr>
      <w:r w:rsidRPr="00751404">
        <w:rPr>
          <w:rFonts w:ascii="宋体" w:eastAsia="宋体" w:hAnsi="宋体" w:hint="eastAsia"/>
          <w:sz w:val="18"/>
          <w:szCs w:val="20"/>
        </w:rPr>
        <w:t>无</w:t>
      </w:r>
    </w:p>
    <w:p w14:paraId="2577C9C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7F855BBD" w14:textId="77777777" w:rsidR="00872599" w:rsidRPr="00F614F9" w:rsidRDefault="00000000">
      <w:pPr>
        <w:pStyle w:val="a3"/>
        <w:divId w:val="1025206118"/>
        <w:rPr>
          <w:rFonts w:ascii="Times New Roman" w:hAnsi="Times New Roman"/>
          <w:sz w:val="18"/>
          <w:szCs w:val="18"/>
        </w:rPr>
      </w:pPr>
      <w:r w:rsidRPr="00F614F9">
        <w:rPr>
          <w:rFonts w:ascii="Times New Roman" w:hAnsi="Times New Roman" w:hint="eastAsia"/>
          <w:sz w:val="18"/>
          <w:szCs w:val="18"/>
        </w:rPr>
        <w:t>无</w:t>
      </w:r>
    </w:p>
    <w:p w14:paraId="3A1D708D"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与分摊至剩余履约义务的交易价格相关的信息：</w:t>
      </w:r>
    </w:p>
    <w:p w14:paraId="167393B0" w14:textId="77777777" w:rsidR="001D26E7" w:rsidRPr="00F614F9" w:rsidRDefault="00751404" w:rsidP="00751404">
      <w:pPr>
        <w:spacing w:before="100" w:after="100" w:line="276" w:lineRule="auto"/>
        <w:rPr>
          <w:rFonts w:ascii="Times New Roman" w:eastAsia="宋体" w:hAnsi="Times New Roman" w:cs="宋体"/>
          <w:sz w:val="18"/>
          <w:szCs w:val="18"/>
        </w:rPr>
      </w:pPr>
      <w:r>
        <w:rPr>
          <w:rFonts w:ascii="Times New Roman" w:eastAsia="宋体" w:hAnsi="Times New Roman" w:cs="宋体" w:hint="eastAsia"/>
          <w:sz w:val="18"/>
          <w:szCs w:val="18"/>
        </w:rPr>
        <w:t>无</w:t>
      </w:r>
    </w:p>
    <w:p w14:paraId="6AF57ED5"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合同中可变对</w:t>
      </w:r>
      <w:proofErr w:type="gramStart"/>
      <w:r w:rsidRPr="00F614F9">
        <w:rPr>
          <w:rFonts w:ascii="Times New Roman" w:eastAsia="宋体" w:hAnsi="Times New Roman" w:cs="宋体"/>
          <w:sz w:val="18"/>
          <w:szCs w:val="18"/>
        </w:rPr>
        <w:t>价相关</w:t>
      </w:r>
      <w:proofErr w:type="gramEnd"/>
      <w:r w:rsidRPr="00F614F9">
        <w:rPr>
          <w:rFonts w:ascii="Times New Roman" w:eastAsia="宋体" w:hAnsi="Times New Roman" w:cs="宋体"/>
          <w:sz w:val="18"/>
          <w:szCs w:val="18"/>
        </w:rPr>
        <w:t>信息：</w:t>
      </w:r>
    </w:p>
    <w:p w14:paraId="670F9E8C" w14:textId="77777777" w:rsidR="00872599" w:rsidRPr="00F614F9" w:rsidRDefault="00000000">
      <w:pPr>
        <w:pStyle w:val="a3"/>
        <w:divId w:val="1976057377"/>
        <w:rPr>
          <w:rFonts w:ascii="Times New Roman" w:hAnsi="Times New Roman"/>
          <w:sz w:val="18"/>
          <w:szCs w:val="18"/>
        </w:rPr>
      </w:pPr>
      <w:r w:rsidRPr="00F614F9">
        <w:rPr>
          <w:rFonts w:ascii="Times New Roman" w:hAnsi="Times New Roman" w:hint="eastAsia"/>
          <w:sz w:val="18"/>
          <w:szCs w:val="18"/>
        </w:rPr>
        <w:t>无</w:t>
      </w:r>
    </w:p>
    <w:p w14:paraId="5D4253B9"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重大合同变更或重大交易价格调整</w:t>
      </w:r>
    </w:p>
    <w:p w14:paraId="5492CB81" w14:textId="77777777" w:rsidR="00872599" w:rsidRPr="00F614F9" w:rsidRDefault="00000000">
      <w:pPr>
        <w:pStyle w:val="a3"/>
        <w:divId w:val="387074012"/>
        <w:rPr>
          <w:rFonts w:ascii="Times New Roman" w:hAnsi="Times New Roman"/>
          <w:sz w:val="18"/>
          <w:szCs w:val="18"/>
        </w:rPr>
      </w:pPr>
      <w:r w:rsidRPr="00F614F9">
        <w:rPr>
          <w:rFonts w:ascii="Times New Roman" w:hAnsi="Times New Roman" w:hint="eastAsia"/>
          <w:sz w:val="18"/>
          <w:szCs w:val="18"/>
        </w:rPr>
        <w:t>无</w:t>
      </w:r>
    </w:p>
    <w:p w14:paraId="1E95F1E7" w14:textId="77777777" w:rsidR="001D26E7" w:rsidRPr="00F614F9" w:rsidRDefault="00000000">
      <w:pPr>
        <w:pStyle w:val="3"/>
        <w:spacing w:line="280" w:lineRule="exact"/>
        <w:jc w:val="left"/>
        <w:rPr>
          <w:rFonts w:ascii="Times New Roman" w:hAnsi="Times New Roman" w:cs="宋体"/>
          <w:b/>
          <w:bCs/>
        </w:rPr>
      </w:pPr>
      <w:bookmarkStart w:id="475" w:name="_Toc989313"/>
      <w:r w:rsidRPr="00F614F9">
        <w:rPr>
          <w:rFonts w:ascii="Times New Roman" w:hAnsi="Times New Roman" w:cs="宋体"/>
          <w:b/>
          <w:bCs/>
        </w:rPr>
        <w:t>62</w:t>
      </w:r>
      <w:r w:rsidRPr="00F614F9">
        <w:rPr>
          <w:rFonts w:ascii="Times New Roman" w:hAnsi="Times New Roman" w:cs="宋体"/>
          <w:b/>
          <w:bCs/>
        </w:rPr>
        <w:t>、税金及附加</w:t>
      </w:r>
      <w:bookmarkEnd w:id="475"/>
    </w:p>
    <w:p w14:paraId="796DDCD1"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51B641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BD3D1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DD0B8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10C72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075BC05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F3D7A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14:paraId="40A5E43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472,159.05</w:t>
            </w:r>
          </w:p>
        </w:tc>
        <w:tc>
          <w:tcPr>
            <w:tcW w:w="3213" w:type="dxa"/>
            <w:tcBorders>
              <w:top w:val="single" w:sz="2" w:space="0" w:color="auto"/>
              <w:left w:val="single" w:sz="2" w:space="0" w:color="auto"/>
              <w:bottom w:val="single" w:sz="2" w:space="0" w:color="auto"/>
              <w:right w:val="single" w:sz="2" w:space="0" w:color="auto"/>
            </w:tcBorders>
            <w:vAlign w:val="center"/>
          </w:tcPr>
          <w:p w14:paraId="3731AA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1,269,192.58</w:t>
            </w:r>
          </w:p>
        </w:tc>
      </w:tr>
      <w:tr w:rsidR="001D26E7" w:rsidRPr="00F614F9" w14:paraId="1C9697B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EECAE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14:paraId="14EBF9E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378,411.14</w:t>
            </w:r>
          </w:p>
        </w:tc>
        <w:tc>
          <w:tcPr>
            <w:tcW w:w="3213" w:type="dxa"/>
            <w:tcBorders>
              <w:top w:val="single" w:sz="2" w:space="0" w:color="auto"/>
              <w:left w:val="single" w:sz="2" w:space="0" w:color="auto"/>
              <w:bottom w:val="single" w:sz="2" w:space="0" w:color="auto"/>
              <w:right w:val="single" w:sz="2" w:space="0" w:color="auto"/>
            </w:tcBorders>
            <w:vAlign w:val="center"/>
          </w:tcPr>
          <w:p w14:paraId="3BE007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906,794.03</w:t>
            </w:r>
          </w:p>
        </w:tc>
      </w:tr>
      <w:tr w:rsidR="001D26E7" w:rsidRPr="00F614F9" w14:paraId="5B38BE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45F83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14:paraId="0F50B93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6,883,409.13</w:t>
            </w:r>
          </w:p>
        </w:tc>
        <w:tc>
          <w:tcPr>
            <w:tcW w:w="3213" w:type="dxa"/>
            <w:tcBorders>
              <w:top w:val="single" w:sz="2" w:space="0" w:color="auto"/>
              <w:left w:val="single" w:sz="2" w:space="0" w:color="auto"/>
              <w:bottom w:val="single" w:sz="2" w:space="0" w:color="auto"/>
              <w:right w:val="single" w:sz="2" w:space="0" w:color="auto"/>
            </w:tcBorders>
            <w:vAlign w:val="center"/>
          </w:tcPr>
          <w:p w14:paraId="26DF2FC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5,982,342.61</w:t>
            </w:r>
          </w:p>
        </w:tc>
      </w:tr>
      <w:tr w:rsidR="001D26E7" w:rsidRPr="00F614F9" w14:paraId="4444EF0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E6CE9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14:paraId="738FC1E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4,855,922.49</w:t>
            </w:r>
          </w:p>
        </w:tc>
        <w:tc>
          <w:tcPr>
            <w:tcW w:w="3213" w:type="dxa"/>
            <w:tcBorders>
              <w:top w:val="single" w:sz="2" w:space="0" w:color="auto"/>
              <w:left w:val="single" w:sz="2" w:space="0" w:color="auto"/>
              <w:bottom w:val="single" w:sz="2" w:space="0" w:color="auto"/>
              <w:right w:val="single" w:sz="2" w:space="0" w:color="auto"/>
            </w:tcBorders>
            <w:vAlign w:val="center"/>
          </w:tcPr>
          <w:p w14:paraId="6D0DC4D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4,330,095.44</w:t>
            </w:r>
          </w:p>
        </w:tc>
      </w:tr>
      <w:tr w:rsidR="001D26E7" w:rsidRPr="00F614F9" w14:paraId="1DC3337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92BCA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车船使用税</w:t>
            </w:r>
          </w:p>
        </w:tc>
        <w:tc>
          <w:tcPr>
            <w:tcW w:w="3213" w:type="dxa"/>
            <w:tcBorders>
              <w:top w:val="single" w:sz="2" w:space="0" w:color="auto"/>
              <w:left w:val="single" w:sz="2" w:space="0" w:color="auto"/>
              <w:bottom w:val="single" w:sz="2" w:space="0" w:color="auto"/>
              <w:right w:val="single" w:sz="2" w:space="0" w:color="auto"/>
            </w:tcBorders>
            <w:vAlign w:val="center"/>
          </w:tcPr>
          <w:p w14:paraId="4F5D309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44,532.65</w:t>
            </w:r>
          </w:p>
        </w:tc>
        <w:tc>
          <w:tcPr>
            <w:tcW w:w="3213" w:type="dxa"/>
            <w:tcBorders>
              <w:top w:val="single" w:sz="2" w:space="0" w:color="auto"/>
              <w:left w:val="single" w:sz="2" w:space="0" w:color="auto"/>
              <w:bottom w:val="single" w:sz="2" w:space="0" w:color="auto"/>
              <w:right w:val="single" w:sz="2" w:space="0" w:color="auto"/>
            </w:tcBorders>
            <w:vAlign w:val="center"/>
          </w:tcPr>
          <w:p w14:paraId="451DA80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30,378.13</w:t>
            </w:r>
          </w:p>
        </w:tc>
      </w:tr>
      <w:tr w:rsidR="001D26E7" w:rsidRPr="00F614F9" w14:paraId="55E0590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9919F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14:paraId="60850C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9,926,274.16</w:t>
            </w:r>
          </w:p>
        </w:tc>
        <w:tc>
          <w:tcPr>
            <w:tcW w:w="3213" w:type="dxa"/>
            <w:tcBorders>
              <w:top w:val="single" w:sz="2" w:space="0" w:color="auto"/>
              <w:left w:val="single" w:sz="2" w:space="0" w:color="auto"/>
              <w:bottom w:val="single" w:sz="2" w:space="0" w:color="auto"/>
              <w:right w:val="single" w:sz="2" w:space="0" w:color="auto"/>
            </w:tcBorders>
            <w:vAlign w:val="center"/>
          </w:tcPr>
          <w:p w14:paraId="6B41C99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8,969,504.90</w:t>
            </w:r>
          </w:p>
        </w:tc>
      </w:tr>
      <w:tr w:rsidR="001D26E7" w:rsidRPr="00F614F9" w14:paraId="4414BE7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AC58A2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水利建设基金</w:t>
            </w:r>
          </w:p>
        </w:tc>
        <w:tc>
          <w:tcPr>
            <w:tcW w:w="3213" w:type="dxa"/>
            <w:tcBorders>
              <w:top w:val="single" w:sz="2" w:space="0" w:color="auto"/>
              <w:left w:val="single" w:sz="2" w:space="0" w:color="auto"/>
              <w:bottom w:val="single" w:sz="2" w:space="0" w:color="auto"/>
              <w:right w:val="single" w:sz="2" w:space="0" w:color="auto"/>
            </w:tcBorders>
            <w:vAlign w:val="center"/>
          </w:tcPr>
          <w:p w14:paraId="27522E7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4,099.54</w:t>
            </w:r>
          </w:p>
        </w:tc>
        <w:tc>
          <w:tcPr>
            <w:tcW w:w="3213" w:type="dxa"/>
            <w:tcBorders>
              <w:top w:val="single" w:sz="2" w:space="0" w:color="auto"/>
              <w:left w:val="single" w:sz="2" w:space="0" w:color="auto"/>
              <w:bottom w:val="single" w:sz="2" w:space="0" w:color="auto"/>
              <w:right w:val="single" w:sz="2" w:space="0" w:color="auto"/>
            </w:tcBorders>
            <w:vAlign w:val="center"/>
          </w:tcPr>
          <w:p w14:paraId="16CCA64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3,324.26</w:t>
            </w:r>
          </w:p>
        </w:tc>
      </w:tr>
      <w:tr w:rsidR="001D26E7" w:rsidRPr="00F614F9" w14:paraId="0AF8169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ADC146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水资源税</w:t>
            </w:r>
          </w:p>
        </w:tc>
        <w:tc>
          <w:tcPr>
            <w:tcW w:w="3213" w:type="dxa"/>
            <w:tcBorders>
              <w:top w:val="single" w:sz="2" w:space="0" w:color="auto"/>
              <w:left w:val="single" w:sz="2" w:space="0" w:color="auto"/>
              <w:bottom w:val="single" w:sz="2" w:space="0" w:color="auto"/>
              <w:right w:val="single" w:sz="2" w:space="0" w:color="auto"/>
            </w:tcBorders>
            <w:vAlign w:val="center"/>
          </w:tcPr>
          <w:p w14:paraId="1806A0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525,886.40</w:t>
            </w:r>
          </w:p>
        </w:tc>
        <w:tc>
          <w:tcPr>
            <w:tcW w:w="3213" w:type="dxa"/>
            <w:tcBorders>
              <w:top w:val="single" w:sz="2" w:space="0" w:color="auto"/>
              <w:left w:val="single" w:sz="2" w:space="0" w:color="auto"/>
              <w:bottom w:val="single" w:sz="2" w:space="0" w:color="auto"/>
              <w:right w:val="single" w:sz="2" w:space="0" w:color="auto"/>
            </w:tcBorders>
            <w:vAlign w:val="center"/>
          </w:tcPr>
          <w:p w14:paraId="5150271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468,455.30</w:t>
            </w:r>
          </w:p>
        </w:tc>
      </w:tr>
      <w:tr w:rsidR="001D26E7" w:rsidRPr="00F614F9" w14:paraId="5C8651E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A88518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环保税</w:t>
            </w:r>
          </w:p>
        </w:tc>
        <w:tc>
          <w:tcPr>
            <w:tcW w:w="3213" w:type="dxa"/>
            <w:tcBorders>
              <w:top w:val="single" w:sz="2" w:space="0" w:color="auto"/>
              <w:left w:val="single" w:sz="2" w:space="0" w:color="auto"/>
              <w:bottom w:val="single" w:sz="2" w:space="0" w:color="auto"/>
              <w:right w:val="single" w:sz="2" w:space="0" w:color="auto"/>
            </w:tcBorders>
            <w:vAlign w:val="center"/>
          </w:tcPr>
          <w:p w14:paraId="0AACE01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32,699.90</w:t>
            </w:r>
          </w:p>
        </w:tc>
        <w:tc>
          <w:tcPr>
            <w:tcW w:w="3213" w:type="dxa"/>
            <w:tcBorders>
              <w:top w:val="single" w:sz="2" w:space="0" w:color="auto"/>
              <w:left w:val="single" w:sz="2" w:space="0" w:color="auto"/>
              <w:bottom w:val="single" w:sz="2" w:space="0" w:color="auto"/>
              <w:right w:val="single" w:sz="2" w:space="0" w:color="auto"/>
            </w:tcBorders>
            <w:vAlign w:val="center"/>
          </w:tcPr>
          <w:p w14:paraId="251CCA3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138,028.95</w:t>
            </w:r>
          </w:p>
        </w:tc>
      </w:tr>
      <w:tr w:rsidR="001D26E7" w:rsidRPr="00F614F9" w14:paraId="4B80D97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0023E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86DC50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23,123,394.46</w:t>
            </w:r>
          </w:p>
        </w:tc>
        <w:tc>
          <w:tcPr>
            <w:tcW w:w="3213" w:type="dxa"/>
            <w:tcBorders>
              <w:top w:val="single" w:sz="2" w:space="0" w:color="auto"/>
              <w:left w:val="single" w:sz="2" w:space="0" w:color="auto"/>
              <w:bottom w:val="single" w:sz="2" w:space="0" w:color="auto"/>
              <w:right w:val="single" w:sz="2" w:space="0" w:color="auto"/>
            </w:tcBorders>
            <w:vAlign w:val="center"/>
          </w:tcPr>
          <w:p w14:paraId="162CB0A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22,098,116.20</w:t>
            </w:r>
          </w:p>
        </w:tc>
      </w:tr>
    </w:tbl>
    <w:p w14:paraId="2923A74A"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57D57B6D" w14:textId="77777777" w:rsidR="00872599" w:rsidRPr="00F614F9" w:rsidRDefault="00000000">
      <w:pPr>
        <w:pStyle w:val="a3"/>
        <w:divId w:val="315497060"/>
        <w:rPr>
          <w:rFonts w:ascii="Times New Roman" w:hAnsi="Times New Roman"/>
          <w:sz w:val="18"/>
          <w:szCs w:val="18"/>
        </w:rPr>
      </w:pPr>
      <w:r w:rsidRPr="00F614F9">
        <w:rPr>
          <w:rFonts w:ascii="Times New Roman" w:hAnsi="Times New Roman" w:hint="eastAsia"/>
          <w:sz w:val="18"/>
          <w:szCs w:val="18"/>
        </w:rPr>
        <w:t>无</w:t>
      </w:r>
    </w:p>
    <w:p w14:paraId="33ECF19F" w14:textId="77777777" w:rsidR="001D26E7" w:rsidRPr="00F614F9" w:rsidRDefault="00000000">
      <w:pPr>
        <w:pStyle w:val="3"/>
        <w:spacing w:line="280" w:lineRule="exact"/>
        <w:jc w:val="left"/>
        <w:rPr>
          <w:rFonts w:ascii="Times New Roman" w:hAnsi="Times New Roman" w:cs="宋体"/>
          <w:b/>
          <w:bCs/>
        </w:rPr>
      </w:pPr>
      <w:bookmarkStart w:id="476" w:name="_Toc989314"/>
      <w:r w:rsidRPr="00F614F9">
        <w:rPr>
          <w:rFonts w:ascii="Times New Roman" w:hAnsi="Times New Roman" w:cs="宋体"/>
          <w:b/>
          <w:bCs/>
        </w:rPr>
        <w:t>63</w:t>
      </w:r>
      <w:r w:rsidRPr="00F614F9">
        <w:rPr>
          <w:rFonts w:ascii="Times New Roman" w:hAnsi="Times New Roman" w:cs="宋体"/>
          <w:b/>
          <w:bCs/>
        </w:rPr>
        <w:t>、管理费用</w:t>
      </w:r>
      <w:bookmarkEnd w:id="476"/>
    </w:p>
    <w:p w14:paraId="23FE1F41"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69630A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01C6D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3547B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0C569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620E8B8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79FE8E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工资</w:t>
            </w:r>
          </w:p>
        </w:tc>
        <w:tc>
          <w:tcPr>
            <w:tcW w:w="3213" w:type="dxa"/>
            <w:tcBorders>
              <w:top w:val="single" w:sz="2" w:space="0" w:color="auto"/>
              <w:left w:val="single" w:sz="2" w:space="0" w:color="auto"/>
              <w:bottom w:val="single" w:sz="2" w:space="0" w:color="auto"/>
              <w:right w:val="single" w:sz="2" w:space="0" w:color="auto"/>
            </w:tcBorders>
            <w:vAlign w:val="center"/>
          </w:tcPr>
          <w:p w14:paraId="6CB5A8A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115,970,818.40</w:t>
            </w:r>
          </w:p>
        </w:tc>
        <w:tc>
          <w:tcPr>
            <w:tcW w:w="3213" w:type="dxa"/>
            <w:tcBorders>
              <w:top w:val="single" w:sz="2" w:space="0" w:color="auto"/>
              <w:left w:val="single" w:sz="2" w:space="0" w:color="auto"/>
              <w:bottom w:val="single" w:sz="2" w:space="0" w:color="auto"/>
              <w:right w:val="single" w:sz="2" w:space="0" w:color="auto"/>
            </w:tcBorders>
            <w:vAlign w:val="center"/>
          </w:tcPr>
          <w:p w14:paraId="1013C8E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134,081,201.85</w:t>
            </w:r>
          </w:p>
        </w:tc>
      </w:tr>
      <w:tr w:rsidR="001D26E7" w:rsidRPr="00F614F9" w14:paraId="16F43A5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30C66F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仓储费</w:t>
            </w:r>
          </w:p>
        </w:tc>
        <w:tc>
          <w:tcPr>
            <w:tcW w:w="3213" w:type="dxa"/>
            <w:tcBorders>
              <w:top w:val="single" w:sz="2" w:space="0" w:color="auto"/>
              <w:left w:val="single" w:sz="2" w:space="0" w:color="auto"/>
              <w:bottom w:val="single" w:sz="2" w:space="0" w:color="auto"/>
              <w:right w:val="single" w:sz="2" w:space="0" w:color="auto"/>
            </w:tcBorders>
            <w:vAlign w:val="center"/>
          </w:tcPr>
          <w:p w14:paraId="6DD68A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16,936,952.86</w:t>
            </w:r>
          </w:p>
        </w:tc>
        <w:tc>
          <w:tcPr>
            <w:tcW w:w="3213" w:type="dxa"/>
            <w:tcBorders>
              <w:top w:val="single" w:sz="2" w:space="0" w:color="auto"/>
              <w:left w:val="single" w:sz="2" w:space="0" w:color="auto"/>
              <w:bottom w:val="single" w:sz="2" w:space="0" w:color="auto"/>
              <w:right w:val="single" w:sz="2" w:space="0" w:color="auto"/>
            </w:tcBorders>
            <w:vAlign w:val="center"/>
          </w:tcPr>
          <w:p w14:paraId="5A8AB95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8,435,849.01</w:t>
            </w:r>
          </w:p>
        </w:tc>
      </w:tr>
      <w:tr w:rsidR="001D26E7" w:rsidRPr="00F614F9" w14:paraId="3445901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26F9E6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折旧费</w:t>
            </w:r>
          </w:p>
        </w:tc>
        <w:tc>
          <w:tcPr>
            <w:tcW w:w="3213" w:type="dxa"/>
            <w:tcBorders>
              <w:top w:val="single" w:sz="2" w:space="0" w:color="auto"/>
              <w:left w:val="single" w:sz="2" w:space="0" w:color="auto"/>
              <w:bottom w:val="single" w:sz="2" w:space="0" w:color="auto"/>
              <w:right w:val="single" w:sz="2" w:space="0" w:color="auto"/>
            </w:tcBorders>
            <w:vAlign w:val="center"/>
          </w:tcPr>
          <w:p w14:paraId="7F1CE47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49,112,783.06</w:t>
            </w:r>
          </w:p>
        </w:tc>
        <w:tc>
          <w:tcPr>
            <w:tcW w:w="3213" w:type="dxa"/>
            <w:tcBorders>
              <w:top w:val="single" w:sz="2" w:space="0" w:color="auto"/>
              <w:left w:val="single" w:sz="2" w:space="0" w:color="auto"/>
              <w:bottom w:val="single" w:sz="2" w:space="0" w:color="auto"/>
              <w:right w:val="single" w:sz="2" w:space="0" w:color="auto"/>
            </w:tcBorders>
            <w:vAlign w:val="center"/>
          </w:tcPr>
          <w:p w14:paraId="12752CD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25,197,091.64</w:t>
            </w:r>
          </w:p>
        </w:tc>
      </w:tr>
      <w:tr w:rsidR="001D26E7" w:rsidRPr="00F614F9" w14:paraId="64DF933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BB4A7D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无形资产摊销</w:t>
            </w:r>
          </w:p>
        </w:tc>
        <w:tc>
          <w:tcPr>
            <w:tcW w:w="3213" w:type="dxa"/>
            <w:tcBorders>
              <w:top w:val="single" w:sz="2" w:space="0" w:color="auto"/>
              <w:left w:val="single" w:sz="2" w:space="0" w:color="auto"/>
              <w:bottom w:val="single" w:sz="2" w:space="0" w:color="auto"/>
              <w:right w:val="single" w:sz="2" w:space="0" w:color="auto"/>
            </w:tcBorders>
            <w:vAlign w:val="center"/>
          </w:tcPr>
          <w:p w14:paraId="0C98419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4,891,162.79</w:t>
            </w:r>
          </w:p>
        </w:tc>
        <w:tc>
          <w:tcPr>
            <w:tcW w:w="3213" w:type="dxa"/>
            <w:tcBorders>
              <w:top w:val="single" w:sz="2" w:space="0" w:color="auto"/>
              <w:left w:val="single" w:sz="2" w:space="0" w:color="auto"/>
              <w:bottom w:val="single" w:sz="2" w:space="0" w:color="auto"/>
              <w:right w:val="single" w:sz="2" w:space="0" w:color="auto"/>
            </w:tcBorders>
            <w:vAlign w:val="center"/>
          </w:tcPr>
          <w:p w14:paraId="48183CC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3,711,216.69</w:t>
            </w:r>
          </w:p>
        </w:tc>
      </w:tr>
      <w:tr w:rsidR="001D26E7" w:rsidRPr="00F614F9" w14:paraId="77C7AFE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01FED1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14:paraId="13D8519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4,703,474.81</w:t>
            </w:r>
          </w:p>
        </w:tc>
        <w:tc>
          <w:tcPr>
            <w:tcW w:w="3213" w:type="dxa"/>
            <w:tcBorders>
              <w:top w:val="single" w:sz="2" w:space="0" w:color="auto"/>
              <w:left w:val="single" w:sz="2" w:space="0" w:color="auto"/>
              <w:bottom w:val="single" w:sz="2" w:space="0" w:color="auto"/>
              <w:right w:val="single" w:sz="2" w:space="0" w:color="auto"/>
            </w:tcBorders>
            <w:vAlign w:val="center"/>
          </w:tcPr>
          <w:p w14:paraId="6CBF08F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3,790,890.03</w:t>
            </w:r>
          </w:p>
        </w:tc>
      </w:tr>
      <w:tr w:rsidR="001D26E7" w:rsidRPr="00F614F9" w14:paraId="6F76418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2B4893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修理费</w:t>
            </w:r>
          </w:p>
        </w:tc>
        <w:tc>
          <w:tcPr>
            <w:tcW w:w="3213" w:type="dxa"/>
            <w:tcBorders>
              <w:top w:val="single" w:sz="2" w:space="0" w:color="auto"/>
              <w:left w:val="single" w:sz="2" w:space="0" w:color="auto"/>
              <w:bottom w:val="single" w:sz="2" w:space="0" w:color="auto"/>
              <w:right w:val="single" w:sz="2" w:space="0" w:color="auto"/>
            </w:tcBorders>
            <w:vAlign w:val="center"/>
          </w:tcPr>
          <w:p w14:paraId="2301ABE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2,758,841.23</w:t>
            </w:r>
          </w:p>
        </w:tc>
        <w:tc>
          <w:tcPr>
            <w:tcW w:w="3213" w:type="dxa"/>
            <w:tcBorders>
              <w:top w:val="single" w:sz="2" w:space="0" w:color="auto"/>
              <w:left w:val="single" w:sz="2" w:space="0" w:color="auto"/>
              <w:bottom w:val="single" w:sz="2" w:space="0" w:color="auto"/>
              <w:right w:val="single" w:sz="2" w:space="0" w:color="auto"/>
            </w:tcBorders>
            <w:vAlign w:val="center"/>
          </w:tcPr>
          <w:p w14:paraId="122D508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5,107,084.78</w:t>
            </w:r>
          </w:p>
        </w:tc>
      </w:tr>
      <w:tr w:rsidR="001D26E7" w:rsidRPr="00F614F9" w14:paraId="3F77E3A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6BD8C2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50B6640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94,999,246.18</w:t>
            </w:r>
          </w:p>
        </w:tc>
        <w:tc>
          <w:tcPr>
            <w:tcW w:w="3213" w:type="dxa"/>
            <w:tcBorders>
              <w:top w:val="single" w:sz="2" w:space="0" w:color="auto"/>
              <w:left w:val="single" w:sz="2" w:space="0" w:color="auto"/>
              <w:bottom w:val="single" w:sz="2" w:space="0" w:color="auto"/>
              <w:right w:val="single" w:sz="2" w:space="0" w:color="auto"/>
            </w:tcBorders>
            <w:vAlign w:val="center"/>
          </w:tcPr>
          <w:p w14:paraId="0028FCD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86,180,354.37</w:t>
            </w:r>
          </w:p>
        </w:tc>
      </w:tr>
      <w:tr w:rsidR="001D26E7" w:rsidRPr="00F614F9" w14:paraId="37807AD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66201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9E9FC1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289,373,279.33</w:t>
            </w:r>
          </w:p>
        </w:tc>
        <w:tc>
          <w:tcPr>
            <w:tcW w:w="3213" w:type="dxa"/>
            <w:tcBorders>
              <w:top w:val="single" w:sz="2" w:space="0" w:color="auto"/>
              <w:left w:val="single" w:sz="2" w:space="0" w:color="auto"/>
              <w:bottom w:val="single" w:sz="2" w:space="0" w:color="auto"/>
              <w:right w:val="single" w:sz="2" w:space="0" w:color="auto"/>
            </w:tcBorders>
            <w:vAlign w:val="center"/>
          </w:tcPr>
          <w:p w14:paraId="5078707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266,503,688.37</w:t>
            </w:r>
          </w:p>
        </w:tc>
      </w:tr>
    </w:tbl>
    <w:p w14:paraId="56F4BD74"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0614EBF4" w14:textId="77777777" w:rsidR="00872599" w:rsidRPr="00F614F9" w:rsidRDefault="00000000">
      <w:pPr>
        <w:pStyle w:val="a3"/>
        <w:divId w:val="532041375"/>
        <w:rPr>
          <w:rFonts w:ascii="Times New Roman" w:hAnsi="Times New Roman"/>
          <w:sz w:val="18"/>
          <w:szCs w:val="18"/>
        </w:rPr>
      </w:pPr>
      <w:r w:rsidRPr="00F614F9">
        <w:rPr>
          <w:rFonts w:ascii="Times New Roman" w:hAnsi="Times New Roman" w:hint="eastAsia"/>
          <w:sz w:val="18"/>
          <w:szCs w:val="18"/>
        </w:rPr>
        <w:t>无</w:t>
      </w:r>
    </w:p>
    <w:p w14:paraId="6BAC96D3" w14:textId="77777777" w:rsidR="001D26E7" w:rsidRPr="00F614F9" w:rsidRDefault="00000000">
      <w:pPr>
        <w:pStyle w:val="3"/>
        <w:spacing w:line="280" w:lineRule="exact"/>
        <w:jc w:val="left"/>
        <w:rPr>
          <w:rFonts w:ascii="Times New Roman" w:hAnsi="Times New Roman" w:cs="宋体"/>
          <w:b/>
          <w:bCs/>
        </w:rPr>
      </w:pPr>
      <w:bookmarkStart w:id="477" w:name="_Toc989315"/>
      <w:r w:rsidRPr="00F614F9">
        <w:rPr>
          <w:rFonts w:ascii="Times New Roman" w:hAnsi="Times New Roman" w:cs="宋体"/>
          <w:b/>
          <w:bCs/>
        </w:rPr>
        <w:t>64</w:t>
      </w:r>
      <w:r w:rsidRPr="00F614F9">
        <w:rPr>
          <w:rFonts w:ascii="Times New Roman" w:hAnsi="Times New Roman" w:cs="宋体"/>
          <w:b/>
          <w:bCs/>
        </w:rPr>
        <w:t>、销售费用</w:t>
      </w:r>
      <w:bookmarkEnd w:id="477"/>
    </w:p>
    <w:p w14:paraId="57231CC7"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7578834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13EF8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D839A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29679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657115E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B50BF5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工资</w:t>
            </w:r>
          </w:p>
        </w:tc>
        <w:tc>
          <w:tcPr>
            <w:tcW w:w="3213" w:type="dxa"/>
            <w:tcBorders>
              <w:top w:val="single" w:sz="2" w:space="0" w:color="auto"/>
              <w:left w:val="single" w:sz="2" w:space="0" w:color="auto"/>
              <w:bottom w:val="single" w:sz="2" w:space="0" w:color="auto"/>
              <w:right w:val="single" w:sz="2" w:space="0" w:color="auto"/>
            </w:tcBorders>
            <w:vAlign w:val="center"/>
          </w:tcPr>
          <w:p w14:paraId="53CA2FC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79,173,533.02</w:t>
            </w:r>
          </w:p>
        </w:tc>
        <w:tc>
          <w:tcPr>
            <w:tcW w:w="3213" w:type="dxa"/>
            <w:tcBorders>
              <w:top w:val="single" w:sz="2" w:space="0" w:color="auto"/>
              <w:left w:val="single" w:sz="2" w:space="0" w:color="auto"/>
              <w:bottom w:val="single" w:sz="2" w:space="0" w:color="auto"/>
              <w:right w:val="single" w:sz="2" w:space="0" w:color="auto"/>
            </w:tcBorders>
            <w:vAlign w:val="center"/>
          </w:tcPr>
          <w:p w14:paraId="0E9782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80,419,765.14</w:t>
            </w:r>
          </w:p>
        </w:tc>
      </w:tr>
      <w:tr w:rsidR="001D26E7" w:rsidRPr="00F614F9" w14:paraId="7F5AEA5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E62433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广告费</w:t>
            </w:r>
          </w:p>
        </w:tc>
        <w:tc>
          <w:tcPr>
            <w:tcW w:w="3213" w:type="dxa"/>
            <w:tcBorders>
              <w:top w:val="single" w:sz="2" w:space="0" w:color="auto"/>
              <w:left w:val="single" w:sz="2" w:space="0" w:color="auto"/>
              <w:bottom w:val="single" w:sz="2" w:space="0" w:color="auto"/>
              <w:right w:val="single" w:sz="2" w:space="0" w:color="auto"/>
            </w:tcBorders>
            <w:vAlign w:val="center"/>
          </w:tcPr>
          <w:p w14:paraId="5ABA72D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266,148.53</w:t>
            </w:r>
          </w:p>
        </w:tc>
        <w:tc>
          <w:tcPr>
            <w:tcW w:w="3213" w:type="dxa"/>
            <w:tcBorders>
              <w:top w:val="single" w:sz="2" w:space="0" w:color="auto"/>
              <w:left w:val="single" w:sz="2" w:space="0" w:color="auto"/>
              <w:bottom w:val="single" w:sz="2" w:space="0" w:color="auto"/>
              <w:right w:val="single" w:sz="2" w:space="0" w:color="auto"/>
            </w:tcBorders>
            <w:vAlign w:val="center"/>
          </w:tcPr>
          <w:p w14:paraId="3DD3BF3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243,713.65</w:t>
            </w:r>
          </w:p>
        </w:tc>
      </w:tr>
      <w:tr w:rsidR="001D26E7" w:rsidRPr="00F614F9" w14:paraId="4CE4E68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DDD954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14:paraId="18B588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3,376,199.21</w:t>
            </w:r>
          </w:p>
        </w:tc>
        <w:tc>
          <w:tcPr>
            <w:tcW w:w="3213" w:type="dxa"/>
            <w:tcBorders>
              <w:top w:val="single" w:sz="2" w:space="0" w:color="auto"/>
              <w:left w:val="single" w:sz="2" w:space="0" w:color="auto"/>
              <w:bottom w:val="single" w:sz="2" w:space="0" w:color="auto"/>
              <w:right w:val="single" w:sz="2" w:space="0" w:color="auto"/>
            </w:tcBorders>
            <w:vAlign w:val="center"/>
          </w:tcPr>
          <w:p w14:paraId="074A6A8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3,885,057.39</w:t>
            </w:r>
          </w:p>
        </w:tc>
      </w:tr>
      <w:tr w:rsidR="001D26E7" w:rsidRPr="00F614F9" w14:paraId="51BD089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46B9E3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折旧费</w:t>
            </w:r>
          </w:p>
        </w:tc>
        <w:tc>
          <w:tcPr>
            <w:tcW w:w="3213" w:type="dxa"/>
            <w:tcBorders>
              <w:top w:val="single" w:sz="2" w:space="0" w:color="auto"/>
              <w:left w:val="single" w:sz="2" w:space="0" w:color="auto"/>
              <w:bottom w:val="single" w:sz="2" w:space="0" w:color="auto"/>
              <w:right w:val="single" w:sz="2" w:space="0" w:color="auto"/>
            </w:tcBorders>
            <w:vAlign w:val="center"/>
          </w:tcPr>
          <w:p w14:paraId="2FA12B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748,634.58</w:t>
            </w:r>
          </w:p>
        </w:tc>
        <w:tc>
          <w:tcPr>
            <w:tcW w:w="3213" w:type="dxa"/>
            <w:tcBorders>
              <w:top w:val="single" w:sz="2" w:space="0" w:color="auto"/>
              <w:left w:val="single" w:sz="2" w:space="0" w:color="auto"/>
              <w:bottom w:val="single" w:sz="2" w:space="0" w:color="auto"/>
              <w:right w:val="single" w:sz="2" w:space="0" w:color="auto"/>
            </w:tcBorders>
            <w:vAlign w:val="center"/>
          </w:tcPr>
          <w:p w14:paraId="551640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1,288,441.16</w:t>
            </w:r>
          </w:p>
        </w:tc>
      </w:tr>
      <w:tr w:rsidR="001D26E7" w:rsidRPr="00F614F9" w14:paraId="4E16489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BFF627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租赁费</w:t>
            </w:r>
          </w:p>
        </w:tc>
        <w:tc>
          <w:tcPr>
            <w:tcW w:w="3213" w:type="dxa"/>
            <w:tcBorders>
              <w:top w:val="single" w:sz="2" w:space="0" w:color="auto"/>
              <w:left w:val="single" w:sz="2" w:space="0" w:color="auto"/>
              <w:bottom w:val="single" w:sz="2" w:space="0" w:color="auto"/>
              <w:right w:val="single" w:sz="2" w:space="0" w:color="auto"/>
            </w:tcBorders>
            <w:vAlign w:val="center"/>
          </w:tcPr>
          <w:p w14:paraId="6F7178B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2,574,277.54</w:t>
            </w:r>
          </w:p>
        </w:tc>
        <w:tc>
          <w:tcPr>
            <w:tcW w:w="3213" w:type="dxa"/>
            <w:tcBorders>
              <w:top w:val="single" w:sz="2" w:space="0" w:color="auto"/>
              <w:left w:val="single" w:sz="2" w:space="0" w:color="auto"/>
              <w:bottom w:val="single" w:sz="2" w:space="0" w:color="auto"/>
              <w:right w:val="single" w:sz="2" w:space="0" w:color="auto"/>
            </w:tcBorders>
            <w:vAlign w:val="center"/>
          </w:tcPr>
          <w:p w14:paraId="6F3136F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3,370,327.30</w:t>
            </w:r>
          </w:p>
        </w:tc>
      </w:tr>
      <w:tr w:rsidR="001D26E7" w:rsidRPr="00F614F9" w14:paraId="3FB72C2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7ECB9B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仓储费</w:t>
            </w:r>
          </w:p>
        </w:tc>
        <w:tc>
          <w:tcPr>
            <w:tcW w:w="3213" w:type="dxa"/>
            <w:tcBorders>
              <w:top w:val="single" w:sz="2" w:space="0" w:color="auto"/>
              <w:left w:val="single" w:sz="2" w:space="0" w:color="auto"/>
              <w:bottom w:val="single" w:sz="2" w:space="0" w:color="auto"/>
              <w:right w:val="single" w:sz="2" w:space="0" w:color="auto"/>
            </w:tcBorders>
            <w:vAlign w:val="center"/>
          </w:tcPr>
          <w:p w14:paraId="5F9DF6B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16,587,132.73</w:t>
            </w:r>
          </w:p>
        </w:tc>
        <w:tc>
          <w:tcPr>
            <w:tcW w:w="3213" w:type="dxa"/>
            <w:tcBorders>
              <w:top w:val="single" w:sz="2" w:space="0" w:color="auto"/>
              <w:left w:val="single" w:sz="2" w:space="0" w:color="auto"/>
              <w:bottom w:val="single" w:sz="2" w:space="0" w:color="auto"/>
              <w:right w:val="single" w:sz="2" w:space="0" w:color="auto"/>
            </w:tcBorders>
            <w:vAlign w:val="center"/>
          </w:tcPr>
          <w:p w14:paraId="4A0F15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27,606,613.37</w:t>
            </w:r>
          </w:p>
        </w:tc>
      </w:tr>
      <w:tr w:rsidR="001D26E7" w:rsidRPr="00F614F9" w14:paraId="3A86B17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126B22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服务费</w:t>
            </w:r>
          </w:p>
        </w:tc>
        <w:tc>
          <w:tcPr>
            <w:tcW w:w="3213" w:type="dxa"/>
            <w:tcBorders>
              <w:top w:val="single" w:sz="2" w:space="0" w:color="auto"/>
              <w:left w:val="single" w:sz="2" w:space="0" w:color="auto"/>
              <w:bottom w:val="single" w:sz="2" w:space="0" w:color="auto"/>
              <w:right w:val="single" w:sz="2" w:space="0" w:color="auto"/>
            </w:tcBorders>
            <w:vAlign w:val="center"/>
          </w:tcPr>
          <w:p w14:paraId="748D936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26,915,626.75</w:t>
            </w:r>
          </w:p>
        </w:tc>
        <w:tc>
          <w:tcPr>
            <w:tcW w:w="3213" w:type="dxa"/>
            <w:tcBorders>
              <w:top w:val="single" w:sz="2" w:space="0" w:color="auto"/>
              <w:left w:val="single" w:sz="2" w:space="0" w:color="auto"/>
              <w:bottom w:val="single" w:sz="2" w:space="0" w:color="auto"/>
              <w:right w:val="single" w:sz="2" w:space="0" w:color="auto"/>
            </w:tcBorders>
            <w:vAlign w:val="center"/>
          </w:tcPr>
          <w:p w14:paraId="765BCA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28,566,913.81</w:t>
            </w:r>
          </w:p>
        </w:tc>
      </w:tr>
      <w:tr w:rsidR="001D26E7" w:rsidRPr="00F614F9" w14:paraId="350D040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C52D13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装卸费</w:t>
            </w:r>
          </w:p>
        </w:tc>
        <w:tc>
          <w:tcPr>
            <w:tcW w:w="3213" w:type="dxa"/>
            <w:tcBorders>
              <w:top w:val="single" w:sz="2" w:space="0" w:color="auto"/>
              <w:left w:val="single" w:sz="2" w:space="0" w:color="auto"/>
              <w:bottom w:val="single" w:sz="2" w:space="0" w:color="auto"/>
              <w:right w:val="single" w:sz="2" w:space="0" w:color="auto"/>
            </w:tcBorders>
            <w:vAlign w:val="center"/>
          </w:tcPr>
          <w:p w14:paraId="7030DA2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1,817,992.76</w:t>
            </w:r>
          </w:p>
        </w:tc>
        <w:tc>
          <w:tcPr>
            <w:tcW w:w="3213" w:type="dxa"/>
            <w:tcBorders>
              <w:top w:val="single" w:sz="2" w:space="0" w:color="auto"/>
              <w:left w:val="single" w:sz="2" w:space="0" w:color="auto"/>
              <w:bottom w:val="single" w:sz="2" w:space="0" w:color="auto"/>
              <w:right w:val="single" w:sz="2" w:space="0" w:color="auto"/>
            </w:tcBorders>
            <w:vAlign w:val="center"/>
          </w:tcPr>
          <w:p w14:paraId="1D2F278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2,184,074.05</w:t>
            </w:r>
          </w:p>
        </w:tc>
      </w:tr>
      <w:tr w:rsidR="001D26E7" w:rsidRPr="00F614F9" w14:paraId="4322E03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F61003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修理费</w:t>
            </w:r>
          </w:p>
        </w:tc>
        <w:tc>
          <w:tcPr>
            <w:tcW w:w="3213" w:type="dxa"/>
            <w:tcBorders>
              <w:top w:val="single" w:sz="2" w:space="0" w:color="auto"/>
              <w:left w:val="single" w:sz="2" w:space="0" w:color="auto"/>
              <w:bottom w:val="single" w:sz="2" w:space="0" w:color="auto"/>
              <w:right w:val="single" w:sz="2" w:space="0" w:color="auto"/>
            </w:tcBorders>
            <w:vAlign w:val="center"/>
          </w:tcPr>
          <w:p w14:paraId="5751751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43,540.89</w:t>
            </w:r>
          </w:p>
        </w:tc>
        <w:tc>
          <w:tcPr>
            <w:tcW w:w="3213" w:type="dxa"/>
            <w:tcBorders>
              <w:top w:val="single" w:sz="2" w:space="0" w:color="auto"/>
              <w:left w:val="single" w:sz="2" w:space="0" w:color="auto"/>
              <w:bottom w:val="single" w:sz="2" w:space="0" w:color="auto"/>
              <w:right w:val="single" w:sz="2" w:space="0" w:color="auto"/>
            </w:tcBorders>
            <w:vAlign w:val="center"/>
          </w:tcPr>
          <w:p w14:paraId="6B053DD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250,024.65</w:t>
            </w:r>
          </w:p>
        </w:tc>
      </w:tr>
      <w:tr w:rsidR="001D26E7" w:rsidRPr="00F614F9" w14:paraId="5D89FC7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C014A5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488ED98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19,787,439.17</w:t>
            </w:r>
          </w:p>
        </w:tc>
        <w:tc>
          <w:tcPr>
            <w:tcW w:w="3213" w:type="dxa"/>
            <w:tcBorders>
              <w:top w:val="single" w:sz="2" w:space="0" w:color="auto"/>
              <w:left w:val="single" w:sz="2" w:space="0" w:color="auto"/>
              <w:bottom w:val="single" w:sz="2" w:space="0" w:color="auto"/>
              <w:right w:val="single" w:sz="2" w:space="0" w:color="auto"/>
            </w:tcBorders>
            <w:vAlign w:val="center"/>
          </w:tcPr>
          <w:p w14:paraId="2B3CFB8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24,599,628.35</w:t>
            </w:r>
          </w:p>
        </w:tc>
      </w:tr>
      <w:tr w:rsidR="001D26E7" w:rsidRPr="00F614F9" w14:paraId="1003E98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A7A20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6FF818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151,290,525.18</w:t>
            </w:r>
          </w:p>
        </w:tc>
        <w:tc>
          <w:tcPr>
            <w:tcW w:w="3213" w:type="dxa"/>
            <w:tcBorders>
              <w:top w:val="single" w:sz="2" w:space="0" w:color="auto"/>
              <w:left w:val="single" w:sz="2" w:space="0" w:color="auto"/>
              <w:bottom w:val="single" w:sz="2" w:space="0" w:color="auto"/>
              <w:right w:val="single" w:sz="2" w:space="0" w:color="auto"/>
            </w:tcBorders>
            <w:vAlign w:val="center"/>
          </w:tcPr>
          <w:p w14:paraId="73188DC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172,414,558.87</w:t>
            </w:r>
          </w:p>
        </w:tc>
      </w:tr>
    </w:tbl>
    <w:p w14:paraId="0123B38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51ABB5DC" w14:textId="77777777" w:rsidR="00872599" w:rsidRPr="00F614F9" w:rsidRDefault="00000000">
      <w:pPr>
        <w:pStyle w:val="a3"/>
        <w:divId w:val="1591739469"/>
        <w:rPr>
          <w:rFonts w:ascii="Times New Roman" w:hAnsi="Times New Roman"/>
          <w:sz w:val="18"/>
          <w:szCs w:val="18"/>
        </w:rPr>
      </w:pPr>
      <w:r w:rsidRPr="00F614F9">
        <w:rPr>
          <w:rFonts w:ascii="Times New Roman" w:hAnsi="Times New Roman" w:hint="eastAsia"/>
          <w:sz w:val="18"/>
          <w:szCs w:val="18"/>
        </w:rPr>
        <w:t>无</w:t>
      </w:r>
    </w:p>
    <w:p w14:paraId="436C9503" w14:textId="77777777" w:rsidR="001D26E7" w:rsidRPr="00F614F9" w:rsidRDefault="00000000">
      <w:pPr>
        <w:pStyle w:val="3"/>
        <w:spacing w:line="280" w:lineRule="exact"/>
        <w:jc w:val="left"/>
        <w:rPr>
          <w:rFonts w:ascii="Times New Roman" w:hAnsi="Times New Roman" w:cs="宋体"/>
          <w:b/>
          <w:bCs/>
        </w:rPr>
      </w:pPr>
      <w:bookmarkStart w:id="478" w:name="_Toc989316"/>
      <w:r w:rsidRPr="00F614F9">
        <w:rPr>
          <w:rFonts w:ascii="Times New Roman" w:hAnsi="Times New Roman" w:cs="宋体"/>
          <w:b/>
          <w:bCs/>
        </w:rPr>
        <w:t>65</w:t>
      </w:r>
      <w:r w:rsidRPr="00F614F9">
        <w:rPr>
          <w:rFonts w:ascii="Times New Roman" w:hAnsi="Times New Roman" w:cs="宋体"/>
          <w:b/>
          <w:bCs/>
        </w:rPr>
        <w:t>、研发费用</w:t>
      </w:r>
      <w:bookmarkEnd w:id="478"/>
    </w:p>
    <w:p w14:paraId="379D5C19"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3A4D96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E2F3E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B420C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59C0F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202E133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D874E9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原材料</w:t>
            </w:r>
          </w:p>
        </w:tc>
        <w:tc>
          <w:tcPr>
            <w:tcW w:w="3213" w:type="dxa"/>
            <w:tcBorders>
              <w:top w:val="single" w:sz="2" w:space="0" w:color="auto"/>
              <w:left w:val="single" w:sz="2" w:space="0" w:color="auto"/>
              <w:bottom w:val="single" w:sz="2" w:space="0" w:color="auto"/>
              <w:right w:val="single" w:sz="2" w:space="0" w:color="auto"/>
            </w:tcBorders>
            <w:vAlign w:val="center"/>
          </w:tcPr>
          <w:p w14:paraId="5ADF7FB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1,266,552.55</w:t>
            </w:r>
          </w:p>
        </w:tc>
        <w:tc>
          <w:tcPr>
            <w:tcW w:w="3213" w:type="dxa"/>
            <w:tcBorders>
              <w:top w:val="single" w:sz="2" w:space="0" w:color="auto"/>
              <w:left w:val="single" w:sz="2" w:space="0" w:color="auto"/>
              <w:bottom w:val="single" w:sz="2" w:space="0" w:color="auto"/>
              <w:right w:val="single" w:sz="2" w:space="0" w:color="auto"/>
            </w:tcBorders>
            <w:vAlign w:val="center"/>
          </w:tcPr>
          <w:p w14:paraId="4B33E03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1,114,331.69</w:t>
            </w:r>
          </w:p>
        </w:tc>
      </w:tr>
      <w:tr w:rsidR="001D26E7" w:rsidRPr="00F614F9" w14:paraId="76F9727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2A438B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工资费用</w:t>
            </w:r>
          </w:p>
        </w:tc>
        <w:tc>
          <w:tcPr>
            <w:tcW w:w="3213" w:type="dxa"/>
            <w:tcBorders>
              <w:top w:val="single" w:sz="2" w:space="0" w:color="auto"/>
              <w:left w:val="single" w:sz="2" w:space="0" w:color="auto"/>
              <w:bottom w:val="single" w:sz="2" w:space="0" w:color="auto"/>
              <w:right w:val="single" w:sz="2" w:space="0" w:color="auto"/>
            </w:tcBorders>
            <w:vAlign w:val="center"/>
          </w:tcPr>
          <w:p w14:paraId="11218BF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7,064,939.63</w:t>
            </w:r>
          </w:p>
        </w:tc>
        <w:tc>
          <w:tcPr>
            <w:tcW w:w="3213" w:type="dxa"/>
            <w:tcBorders>
              <w:top w:val="single" w:sz="2" w:space="0" w:color="auto"/>
              <w:left w:val="single" w:sz="2" w:space="0" w:color="auto"/>
              <w:bottom w:val="single" w:sz="2" w:space="0" w:color="auto"/>
              <w:right w:val="single" w:sz="2" w:space="0" w:color="auto"/>
            </w:tcBorders>
            <w:vAlign w:val="center"/>
          </w:tcPr>
          <w:p w14:paraId="4F0467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6,049,995.41</w:t>
            </w:r>
          </w:p>
        </w:tc>
      </w:tr>
      <w:tr w:rsidR="001D26E7" w:rsidRPr="00F614F9" w14:paraId="7E5C085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AA8266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折旧费</w:t>
            </w:r>
          </w:p>
        </w:tc>
        <w:tc>
          <w:tcPr>
            <w:tcW w:w="3213" w:type="dxa"/>
            <w:tcBorders>
              <w:top w:val="single" w:sz="2" w:space="0" w:color="auto"/>
              <w:left w:val="single" w:sz="2" w:space="0" w:color="auto"/>
              <w:bottom w:val="single" w:sz="2" w:space="0" w:color="auto"/>
              <w:right w:val="single" w:sz="2" w:space="0" w:color="auto"/>
            </w:tcBorders>
            <w:vAlign w:val="center"/>
          </w:tcPr>
          <w:p w14:paraId="7FD51C1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685,862.41</w:t>
            </w:r>
          </w:p>
        </w:tc>
        <w:tc>
          <w:tcPr>
            <w:tcW w:w="3213" w:type="dxa"/>
            <w:tcBorders>
              <w:top w:val="single" w:sz="2" w:space="0" w:color="auto"/>
              <w:left w:val="single" w:sz="2" w:space="0" w:color="auto"/>
              <w:bottom w:val="single" w:sz="2" w:space="0" w:color="auto"/>
              <w:right w:val="single" w:sz="2" w:space="0" w:color="auto"/>
            </w:tcBorders>
            <w:vAlign w:val="center"/>
          </w:tcPr>
          <w:p w14:paraId="2DA3C22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211,653.50</w:t>
            </w:r>
          </w:p>
        </w:tc>
      </w:tr>
      <w:tr w:rsidR="001D26E7" w:rsidRPr="00F614F9" w14:paraId="1A056A9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BB8D7F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14:paraId="6D41B0A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356,447.63</w:t>
            </w:r>
          </w:p>
        </w:tc>
        <w:tc>
          <w:tcPr>
            <w:tcW w:w="3213" w:type="dxa"/>
            <w:tcBorders>
              <w:top w:val="single" w:sz="2" w:space="0" w:color="auto"/>
              <w:left w:val="single" w:sz="2" w:space="0" w:color="auto"/>
              <w:bottom w:val="single" w:sz="2" w:space="0" w:color="auto"/>
              <w:right w:val="single" w:sz="2" w:space="0" w:color="auto"/>
            </w:tcBorders>
            <w:vAlign w:val="center"/>
          </w:tcPr>
          <w:p w14:paraId="0C2246D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250,978.45</w:t>
            </w:r>
          </w:p>
        </w:tc>
      </w:tr>
      <w:tr w:rsidR="001D26E7" w:rsidRPr="00F614F9" w14:paraId="6C8608F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CD8238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14:paraId="6AD82D7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243,908.30</w:t>
            </w:r>
          </w:p>
        </w:tc>
        <w:tc>
          <w:tcPr>
            <w:tcW w:w="3213" w:type="dxa"/>
            <w:tcBorders>
              <w:top w:val="single" w:sz="2" w:space="0" w:color="auto"/>
              <w:left w:val="single" w:sz="2" w:space="0" w:color="auto"/>
              <w:bottom w:val="single" w:sz="2" w:space="0" w:color="auto"/>
              <w:right w:val="single" w:sz="2" w:space="0" w:color="auto"/>
            </w:tcBorders>
            <w:vAlign w:val="center"/>
          </w:tcPr>
          <w:p w14:paraId="0254066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376,011.30</w:t>
            </w:r>
          </w:p>
        </w:tc>
      </w:tr>
      <w:tr w:rsidR="001D26E7" w:rsidRPr="00F614F9" w14:paraId="1D3B209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12AF0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0D121B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9,617,710.52</w:t>
            </w:r>
          </w:p>
        </w:tc>
        <w:tc>
          <w:tcPr>
            <w:tcW w:w="3213" w:type="dxa"/>
            <w:tcBorders>
              <w:top w:val="single" w:sz="2" w:space="0" w:color="auto"/>
              <w:left w:val="single" w:sz="2" w:space="0" w:color="auto"/>
              <w:bottom w:val="single" w:sz="2" w:space="0" w:color="auto"/>
              <w:right w:val="single" w:sz="2" w:space="0" w:color="auto"/>
            </w:tcBorders>
            <w:vAlign w:val="center"/>
          </w:tcPr>
          <w:p w14:paraId="72074DA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8,002,970.35</w:t>
            </w:r>
          </w:p>
        </w:tc>
      </w:tr>
    </w:tbl>
    <w:p w14:paraId="005F12B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5A5D8444" w14:textId="77777777" w:rsidR="00872599" w:rsidRPr="00F614F9" w:rsidRDefault="00000000">
      <w:pPr>
        <w:pStyle w:val="a3"/>
        <w:divId w:val="1720321785"/>
        <w:rPr>
          <w:rFonts w:ascii="Times New Roman" w:hAnsi="Times New Roman"/>
          <w:sz w:val="18"/>
          <w:szCs w:val="18"/>
        </w:rPr>
      </w:pPr>
      <w:r w:rsidRPr="00F614F9">
        <w:rPr>
          <w:rFonts w:ascii="Times New Roman" w:hAnsi="Times New Roman" w:hint="eastAsia"/>
          <w:sz w:val="18"/>
          <w:szCs w:val="18"/>
        </w:rPr>
        <w:t>无</w:t>
      </w:r>
    </w:p>
    <w:p w14:paraId="50A80EBA" w14:textId="77777777" w:rsidR="001D26E7" w:rsidRPr="00F614F9" w:rsidRDefault="00000000">
      <w:pPr>
        <w:pStyle w:val="3"/>
        <w:spacing w:line="280" w:lineRule="exact"/>
        <w:jc w:val="left"/>
        <w:rPr>
          <w:rFonts w:ascii="Times New Roman" w:hAnsi="Times New Roman" w:cs="宋体"/>
          <w:b/>
          <w:bCs/>
        </w:rPr>
      </w:pPr>
      <w:bookmarkStart w:id="479" w:name="_Toc989317"/>
      <w:r w:rsidRPr="00F614F9">
        <w:rPr>
          <w:rFonts w:ascii="Times New Roman" w:hAnsi="Times New Roman" w:cs="宋体"/>
          <w:b/>
          <w:bCs/>
        </w:rPr>
        <w:t>66</w:t>
      </w:r>
      <w:r w:rsidRPr="00F614F9">
        <w:rPr>
          <w:rFonts w:ascii="Times New Roman" w:hAnsi="Times New Roman" w:cs="宋体"/>
          <w:b/>
          <w:bCs/>
        </w:rPr>
        <w:t>、财务费用</w:t>
      </w:r>
      <w:bookmarkEnd w:id="479"/>
    </w:p>
    <w:p w14:paraId="5A49DE9E"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4434AA6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EE469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15E31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B6E9D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2842DDC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37A031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14:paraId="6AD562B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105,181,377.18</w:t>
            </w:r>
          </w:p>
        </w:tc>
        <w:tc>
          <w:tcPr>
            <w:tcW w:w="3213" w:type="dxa"/>
            <w:tcBorders>
              <w:top w:val="single" w:sz="2" w:space="0" w:color="auto"/>
              <w:left w:val="single" w:sz="2" w:space="0" w:color="auto"/>
              <w:bottom w:val="single" w:sz="2" w:space="0" w:color="auto"/>
              <w:right w:val="single" w:sz="2" w:space="0" w:color="auto"/>
            </w:tcBorders>
            <w:vAlign w:val="center"/>
          </w:tcPr>
          <w:p w14:paraId="173A07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104,392,145.37</w:t>
            </w:r>
          </w:p>
        </w:tc>
      </w:tr>
      <w:tr w:rsidR="001D26E7" w:rsidRPr="00F614F9" w14:paraId="79BFD73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8435A5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减：利息收入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3AEE5C4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-32,828,995.68</w:t>
            </w:r>
          </w:p>
        </w:tc>
        <w:tc>
          <w:tcPr>
            <w:tcW w:w="3213" w:type="dxa"/>
            <w:tcBorders>
              <w:top w:val="single" w:sz="2" w:space="0" w:color="auto"/>
              <w:left w:val="single" w:sz="2" w:space="0" w:color="auto"/>
              <w:bottom w:val="single" w:sz="2" w:space="0" w:color="auto"/>
              <w:right w:val="single" w:sz="2" w:space="0" w:color="auto"/>
            </w:tcBorders>
            <w:vAlign w:val="center"/>
          </w:tcPr>
          <w:p w14:paraId="6557F0D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-75,587,016.26</w:t>
            </w:r>
          </w:p>
        </w:tc>
      </w:tr>
      <w:tr w:rsidR="001D26E7" w:rsidRPr="00F614F9" w14:paraId="505A2E1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FAFB0F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手续费支出</w:t>
            </w:r>
          </w:p>
        </w:tc>
        <w:tc>
          <w:tcPr>
            <w:tcW w:w="3213" w:type="dxa"/>
            <w:tcBorders>
              <w:top w:val="single" w:sz="2" w:space="0" w:color="auto"/>
              <w:left w:val="single" w:sz="2" w:space="0" w:color="auto"/>
              <w:bottom w:val="single" w:sz="2" w:space="0" w:color="auto"/>
              <w:right w:val="single" w:sz="2" w:space="0" w:color="auto"/>
            </w:tcBorders>
            <w:vAlign w:val="center"/>
          </w:tcPr>
          <w:p w14:paraId="2224F43C" w14:textId="77777777" w:rsidR="001D26E7" w:rsidRPr="00F614F9" w:rsidRDefault="006631BB">
            <w:pPr>
              <w:spacing w:line="240" w:lineRule="exact"/>
              <w:jc w:val="right"/>
              <w:rPr>
                <w:rFonts w:ascii="Times New Roman" w:eastAsia="宋体" w:hAnsi="Times New Roman" w:cs="宋体"/>
                <w:sz w:val="18"/>
                <w:szCs w:val="18"/>
              </w:rPr>
            </w:pPr>
            <w:r>
              <w:rPr>
                <w:rFonts w:ascii="Times New Roman" w:eastAsia="宋体" w:hAnsi="Times New Roman" w:cs="宋体" w:hint="eastAsia"/>
                <w:sz w:val="18"/>
                <w:szCs w:val="18"/>
              </w:rPr>
              <w:t>2,173,235.73</w:t>
            </w:r>
          </w:p>
        </w:tc>
        <w:tc>
          <w:tcPr>
            <w:tcW w:w="3213" w:type="dxa"/>
            <w:tcBorders>
              <w:top w:val="single" w:sz="2" w:space="0" w:color="auto"/>
              <w:left w:val="single" w:sz="2" w:space="0" w:color="auto"/>
              <w:bottom w:val="single" w:sz="2" w:space="0" w:color="auto"/>
              <w:right w:val="single" w:sz="2" w:space="0" w:color="auto"/>
            </w:tcBorders>
            <w:vAlign w:val="center"/>
          </w:tcPr>
          <w:p w14:paraId="7EBA68F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1,537,060.25</w:t>
            </w:r>
          </w:p>
        </w:tc>
      </w:tr>
      <w:tr w:rsidR="001D26E7" w:rsidRPr="00F614F9" w14:paraId="266B5B6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EA6F82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汇兑损益</w:t>
            </w:r>
          </w:p>
        </w:tc>
        <w:tc>
          <w:tcPr>
            <w:tcW w:w="3213" w:type="dxa"/>
            <w:tcBorders>
              <w:top w:val="single" w:sz="2" w:space="0" w:color="auto"/>
              <w:left w:val="single" w:sz="2" w:space="0" w:color="auto"/>
              <w:bottom w:val="single" w:sz="2" w:space="0" w:color="auto"/>
              <w:right w:val="single" w:sz="2" w:space="0" w:color="auto"/>
            </w:tcBorders>
            <w:vAlign w:val="center"/>
          </w:tcPr>
          <w:p w14:paraId="568ADB2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-485,538.26</w:t>
            </w:r>
          </w:p>
        </w:tc>
        <w:tc>
          <w:tcPr>
            <w:tcW w:w="3213" w:type="dxa"/>
            <w:tcBorders>
              <w:top w:val="single" w:sz="2" w:space="0" w:color="auto"/>
              <w:left w:val="single" w:sz="2" w:space="0" w:color="auto"/>
              <w:bottom w:val="single" w:sz="2" w:space="0" w:color="auto"/>
              <w:right w:val="single" w:sz="2" w:space="0" w:color="auto"/>
            </w:tcBorders>
            <w:vAlign w:val="center"/>
          </w:tcPr>
          <w:p w14:paraId="2806C2C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3,543,132.21</w:t>
            </w:r>
          </w:p>
        </w:tc>
      </w:tr>
      <w:tr w:rsidR="001D26E7" w:rsidRPr="00F614F9" w14:paraId="081C45E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F9E7C1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融资相关费用</w:t>
            </w:r>
          </w:p>
        </w:tc>
        <w:tc>
          <w:tcPr>
            <w:tcW w:w="3213" w:type="dxa"/>
            <w:tcBorders>
              <w:top w:val="single" w:sz="2" w:space="0" w:color="auto"/>
              <w:left w:val="single" w:sz="2" w:space="0" w:color="auto"/>
              <w:bottom w:val="single" w:sz="2" w:space="0" w:color="auto"/>
              <w:right w:val="single" w:sz="2" w:space="0" w:color="auto"/>
            </w:tcBorders>
            <w:vAlign w:val="center"/>
          </w:tcPr>
          <w:p w14:paraId="7E0AAFD4" w14:textId="77777777" w:rsidR="001D26E7" w:rsidRPr="00F614F9" w:rsidRDefault="006631BB">
            <w:pPr>
              <w:spacing w:line="240" w:lineRule="exact"/>
              <w:jc w:val="right"/>
              <w:rPr>
                <w:rFonts w:ascii="Times New Roman" w:eastAsia="宋体" w:hAnsi="Times New Roman" w:cs="宋体"/>
                <w:sz w:val="18"/>
                <w:szCs w:val="18"/>
              </w:rPr>
            </w:pPr>
            <w:r w:rsidRPr="006631BB">
              <w:rPr>
                <w:rFonts w:ascii="Times New Roman" w:eastAsia="宋体" w:hAnsi="Times New Roman" w:cs="宋体"/>
                <w:sz w:val="18"/>
                <w:szCs w:val="18"/>
              </w:rPr>
              <w:t>442,424.90</w:t>
            </w:r>
          </w:p>
        </w:tc>
        <w:tc>
          <w:tcPr>
            <w:tcW w:w="3213" w:type="dxa"/>
            <w:tcBorders>
              <w:top w:val="single" w:sz="2" w:space="0" w:color="auto"/>
              <w:left w:val="single" w:sz="2" w:space="0" w:color="auto"/>
              <w:bottom w:val="single" w:sz="2" w:space="0" w:color="auto"/>
              <w:right w:val="single" w:sz="2" w:space="0" w:color="auto"/>
            </w:tcBorders>
            <w:vAlign w:val="center"/>
          </w:tcPr>
          <w:p w14:paraId="7B084A6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1,881,963.07</w:t>
            </w:r>
          </w:p>
        </w:tc>
      </w:tr>
      <w:tr w:rsidR="001D26E7" w:rsidRPr="00F614F9" w14:paraId="135BD1A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B1ECE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7DA592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74,482,503.87</w:t>
            </w:r>
          </w:p>
        </w:tc>
        <w:tc>
          <w:tcPr>
            <w:tcW w:w="3213" w:type="dxa"/>
            <w:tcBorders>
              <w:top w:val="single" w:sz="2" w:space="0" w:color="auto"/>
              <w:left w:val="single" w:sz="2" w:space="0" w:color="auto"/>
              <w:bottom w:val="single" w:sz="2" w:space="0" w:color="auto"/>
              <w:right w:val="single" w:sz="2" w:space="0" w:color="auto"/>
            </w:tcBorders>
            <w:vAlign w:val="center"/>
          </w:tcPr>
          <w:p w14:paraId="7E9ACA9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35,767,284.64</w:t>
            </w:r>
          </w:p>
        </w:tc>
      </w:tr>
    </w:tbl>
    <w:p w14:paraId="4486239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690F6B35" w14:textId="77777777" w:rsidR="00872599" w:rsidRPr="00F614F9" w:rsidRDefault="00000000">
      <w:pPr>
        <w:pStyle w:val="a3"/>
        <w:divId w:val="954750985"/>
        <w:rPr>
          <w:rFonts w:ascii="Times New Roman" w:hAnsi="Times New Roman"/>
          <w:sz w:val="18"/>
          <w:szCs w:val="18"/>
        </w:rPr>
      </w:pPr>
      <w:r w:rsidRPr="00F614F9">
        <w:rPr>
          <w:rFonts w:ascii="Times New Roman" w:hAnsi="Times New Roman" w:hint="eastAsia"/>
          <w:sz w:val="18"/>
          <w:szCs w:val="18"/>
        </w:rPr>
        <w:t>无</w:t>
      </w:r>
    </w:p>
    <w:p w14:paraId="0F90C1EC" w14:textId="77777777" w:rsidR="001D26E7" w:rsidRPr="00F614F9" w:rsidRDefault="00000000">
      <w:pPr>
        <w:pStyle w:val="3"/>
        <w:spacing w:line="280" w:lineRule="exact"/>
        <w:jc w:val="left"/>
        <w:rPr>
          <w:rFonts w:ascii="Times New Roman" w:hAnsi="Times New Roman" w:cs="宋体"/>
          <w:b/>
          <w:bCs/>
        </w:rPr>
      </w:pPr>
      <w:bookmarkStart w:id="480" w:name="_Toc989318"/>
      <w:r w:rsidRPr="00F614F9">
        <w:rPr>
          <w:rFonts w:ascii="Times New Roman" w:hAnsi="Times New Roman" w:cs="宋体"/>
          <w:b/>
          <w:bCs/>
        </w:rPr>
        <w:t>67</w:t>
      </w:r>
      <w:r w:rsidRPr="00F614F9">
        <w:rPr>
          <w:rFonts w:ascii="Times New Roman" w:hAnsi="Times New Roman" w:cs="宋体"/>
          <w:b/>
          <w:bCs/>
        </w:rPr>
        <w:t>、其他收益</w:t>
      </w:r>
      <w:bookmarkEnd w:id="480"/>
    </w:p>
    <w:p w14:paraId="3F6C4344"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268A297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5D5AF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产生其他收益的来源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76EE8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AA5BA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70CFA19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D65D5B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与日常活动相关的政府补助</w:t>
            </w:r>
          </w:p>
        </w:tc>
        <w:tc>
          <w:tcPr>
            <w:tcW w:w="3213" w:type="dxa"/>
            <w:tcBorders>
              <w:top w:val="single" w:sz="2" w:space="0" w:color="auto"/>
              <w:left w:val="single" w:sz="2" w:space="0" w:color="auto"/>
              <w:bottom w:val="single" w:sz="2" w:space="0" w:color="auto"/>
              <w:right w:val="single" w:sz="2" w:space="0" w:color="auto"/>
            </w:tcBorders>
            <w:vAlign w:val="center"/>
          </w:tcPr>
          <w:p w14:paraId="66C456E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23,507,669.78</w:t>
            </w:r>
          </w:p>
        </w:tc>
        <w:tc>
          <w:tcPr>
            <w:tcW w:w="3213" w:type="dxa"/>
            <w:tcBorders>
              <w:top w:val="single" w:sz="2" w:space="0" w:color="auto"/>
              <w:left w:val="single" w:sz="2" w:space="0" w:color="auto"/>
              <w:bottom w:val="single" w:sz="2" w:space="0" w:color="auto"/>
              <w:right w:val="single" w:sz="2" w:space="0" w:color="auto"/>
            </w:tcBorders>
            <w:vAlign w:val="center"/>
          </w:tcPr>
          <w:p w14:paraId="1547713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18,538,588.58</w:t>
            </w:r>
          </w:p>
        </w:tc>
      </w:tr>
      <w:tr w:rsidR="001D26E7" w:rsidRPr="00F614F9" w14:paraId="4EE1036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87666A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代扣个人所得税手续费返回</w:t>
            </w:r>
          </w:p>
        </w:tc>
        <w:tc>
          <w:tcPr>
            <w:tcW w:w="3213" w:type="dxa"/>
            <w:tcBorders>
              <w:top w:val="single" w:sz="2" w:space="0" w:color="auto"/>
              <w:left w:val="single" w:sz="2" w:space="0" w:color="auto"/>
              <w:bottom w:val="single" w:sz="2" w:space="0" w:color="auto"/>
              <w:right w:val="single" w:sz="2" w:space="0" w:color="auto"/>
            </w:tcBorders>
            <w:vAlign w:val="center"/>
          </w:tcPr>
          <w:p w14:paraId="214C33C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101,472.35</w:t>
            </w:r>
          </w:p>
        </w:tc>
        <w:tc>
          <w:tcPr>
            <w:tcW w:w="3213" w:type="dxa"/>
            <w:tcBorders>
              <w:top w:val="single" w:sz="2" w:space="0" w:color="auto"/>
              <w:left w:val="single" w:sz="2" w:space="0" w:color="auto"/>
              <w:bottom w:val="single" w:sz="2" w:space="0" w:color="auto"/>
              <w:right w:val="single" w:sz="2" w:space="0" w:color="auto"/>
            </w:tcBorders>
            <w:vAlign w:val="center"/>
          </w:tcPr>
          <w:p w14:paraId="036B852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533,540.90</w:t>
            </w:r>
          </w:p>
        </w:tc>
      </w:tr>
      <w:tr w:rsidR="001D26E7" w:rsidRPr="00F614F9" w14:paraId="51AB722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94CBAD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企业所得税手续费返还</w:t>
            </w:r>
          </w:p>
        </w:tc>
        <w:tc>
          <w:tcPr>
            <w:tcW w:w="3213" w:type="dxa"/>
            <w:tcBorders>
              <w:top w:val="single" w:sz="2" w:space="0" w:color="auto"/>
              <w:left w:val="single" w:sz="2" w:space="0" w:color="auto"/>
              <w:bottom w:val="single" w:sz="2" w:space="0" w:color="auto"/>
              <w:right w:val="single" w:sz="2" w:space="0" w:color="auto"/>
            </w:tcBorders>
            <w:vAlign w:val="center"/>
          </w:tcPr>
          <w:p w14:paraId="7FA8D94A"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A4F08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1,860.52</w:t>
            </w:r>
          </w:p>
        </w:tc>
      </w:tr>
      <w:tr w:rsidR="001D26E7" w:rsidRPr="00F614F9" w14:paraId="0C31C79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9484F7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增值税加计抵减</w:t>
            </w:r>
          </w:p>
        </w:tc>
        <w:tc>
          <w:tcPr>
            <w:tcW w:w="3213" w:type="dxa"/>
            <w:tcBorders>
              <w:top w:val="single" w:sz="2" w:space="0" w:color="auto"/>
              <w:left w:val="single" w:sz="2" w:space="0" w:color="auto"/>
              <w:bottom w:val="single" w:sz="2" w:space="0" w:color="auto"/>
              <w:right w:val="single" w:sz="2" w:space="0" w:color="auto"/>
            </w:tcBorders>
            <w:vAlign w:val="center"/>
          </w:tcPr>
          <w:p w14:paraId="261C57C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23,512.52</w:t>
            </w:r>
          </w:p>
        </w:tc>
        <w:tc>
          <w:tcPr>
            <w:tcW w:w="3213" w:type="dxa"/>
            <w:tcBorders>
              <w:top w:val="single" w:sz="2" w:space="0" w:color="auto"/>
              <w:left w:val="single" w:sz="2" w:space="0" w:color="auto"/>
              <w:bottom w:val="single" w:sz="2" w:space="0" w:color="auto"/>
              <w:right w:val="single" w:sz="2" w:space="0" w:color="auto"/>
            </w:tcBorders>
            <w:vAlign w:val="center"/>
          </w:tcPr>
          <w:p w14:paraId="286029D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283,366.95</w:t>
            </w:r>
          </w:p>
        </w:tc>
      </w:tr>
      <w:tr w:rsidR="001D26E7" w:rsidRPr="00F614F9" w14:paraId="59A976E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CC2C55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718AF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23,632,654.65</w:t>
            </w:r>
          </w:p>
        </w:tc>
        <w:tc>
          <w:tcPr>
            <w:tcW w:w="3213" w:type="dxa"/>
            <w:tcBorders>
              <w:top w:val="single" w:sz="2" w:space="0" w:color="auto"/>
              <w:left w:val="single" w:sz="2" w:space="0" w:color="auto"/>
              <w:bottom w:val="single" w:sz="2" w:space="0" w:color="auto"/>
              <w:right w:val="single" w:sz="2" w:space="0" w:color="auto"/>
            </w:tcBorders>
            <w:vAlign w:val="center"/>
          </w:tcPr>
          <w:p w14:paraId="59241E4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19,357,356.95</w:t>
            </w:r>
          </w:p>
        </w:tc>
      </w:tr>
    </w:tbl>
    <w:p w14:paraId="55448810" w14:textId="77777777" w:rsidR="001D26E7" w:rsidRPr="00F614F9" w:rsidRDefault="00000000">
      <w:pPr>
        <w:pStyle w:val="3"/>
        <w:spacing w:line="280" w:lineRule="exact"/>
        <w:jc w:val="left"/>
        <w:rPr>
          <w:rFonts w:ascii="Times New Roman" w:hAnsi="Times New Roman" w:cs="宋体"/>
          <w:b/>
          <w:bCs/>
        </w:rPr>
      </w:pPr>
      <w:bookmarkStart w:id="481" w:name="_Toc989319"/>
      <w:r w:rsidRPr="00F614F9">
        <w:rPr>
          <w:rFonts w:ascii="Times New Roman" w:hAnsi="Times New Roman" w:cs="宋体"/>
          <w:b/>
          <w:bCs/>
        </w:rPr>
        <w:t>68</w:t>
      </w:r>
      <w:r w:rsidRPr="00F614F9">
        <w:rPr>
          <w:rFonts w:ascii="Times New Roman" w:hAnsi="Times New Roman" w:cs="宋体"/>
          <w:b/>
          <w:bCs/>
        </w:rPr>
        <w:t>、净敞口套期收益</w:t>
      </w:r>
      <w:bookmarkEnd w:id="481"/>
    </w:p>
    <w:p w14:paraId="4124B477" w14:textId="77777777" w:rsidR="00872599" w:rsidRPr="00F614F9" w:rsidRDefault="00000000">
      <w:pPr>
        <w:pStyle w:val="a3"/>
        <w:divId w:val="1917979885"/>
        <w:rPr>
          <w:rFonts w:ascii="Times New Roman" w:hAnsi="Times New Roman"/>
          <w:sz w:val="18"/>
          <w:szCs w:val="18"/>
        </w:rPr>
      </w:pPr>
      <w:r w:rsidRPr="00F614F9">
        <w:rPr>
          <w:rFonts w:ascii="Times New Roman" w:hAnsi="Times New Roman" w:hint="eastAsia"/>
          <w:sz w:val="18"/>
          <w:szCs w:val="18"/>
        </w:rPr>
        <w:t>无</w:t>
      </w:r>
    </w:p>
    <w:p w14:paraId="382C0D3A" w14:textId="77777777" w:rsidR="001D26E7" w:rsidRPr="00F614F9" w:rsidRDefault="00000000">
      <w:pPr>
        <w:pStyle w:val="3"/>
        <w:spacing w:line="280" w:lineRule="exact"/>
        <w:jc w:val="left"/>
        <w:rPr>
          <w:rFonts w:ascii="Times New Roman" w:hAnsi="Times New Roman" w:cs="宋体"/>
          <w:b/>
          <w:bCs/>
        </w:rPr>
      </w:pPr>
      <w:bookmarkStart w:id="482" w:name="_Toc989320"/>
      <w:r w:rsidRPr="00F614F9">
        <w:rPr>
          <w:rFonts w:ascii="Times New Roman" w:hAnsi="Times New Roman" w:cs="宋体"/>
          <w:b/>
          <w:bCs/>
        </w:rPr>
        <w:t>69</w:t>
      </w:r>
      <w:r w:rsidRPr="00F614F9">
        <w:rPr>
          <w:rFonts w:ascii="Times New Roman" w:hAnsi="Times New Roman" w:cs="宋体"/>
          <w:b/>
          <w:bCs/>
        </w:rPr>
        <w:t>、公允价值变动收益</w:t>
      </w:r>
      <w:bookmarkEnd w:id="482"/>
    </w:p>
    <w:p w14:paraId="0D04354D" w14:textId="77777777" w:rsidR="00872599" w:rsidRPr="00F614F9" w:rsidRDefault="00000000">
      <w:pPr>
        <w:pStyle w:val="a3"/>
        <w:divId w:val="256521855"/>
        <w:rPr>
          <w:rFonts w:ascii="Times New Roman" w:hAnsi="Times New Roman"/>
          <w:sz w:val="18"/>
          <w:szCs w:val="18"/>
        </w:rPr>
      </w:pPr>
      <w:r w:rsidRPr="00F614F9">
        <w:rPr>
          <w:rFonts w:ascii="Times New Roman" w:hAnsi="Times New Roman" w:hint="eastAsia"/>
          <w:sz w:val="18"/>
          <w:szCs w:val="18"/>
        </w:rPr>
        <w:t>无</w:t>
      </w:r>
    </w:p>
    <w:p w14:paraId="757D8C88" w14:textId="77777777" w:rsidR="001D26E7" w:rsidRPr="00F614F9" w:rsidRDefault="00000000">
      <w:pPr>
        <w:pStyle w:val="3"/>
        <w:spacing w:line="280" w:lineRule="exact"/>
        <w:jc w:val="left"/>
        <w:rPr>
          <w:rFonts w:ascii="Times New Roman" w:hAnsi="Times New Roman" w:cs="宋体"/>
          <w:b/>
          <w:bCs/>
        </w:rPr>
      </w:pPr>
      <w:bookmarkStart w:id="483" w:name="_Toc989321"/>
      <w:r w:rsidRPr="00F614F9">
        <w:rPr>
          <w:rFonts w:ascii="Times New Roman" w:hAnsi="Times New Roman" w:cs="宋体"/>
          <w:b/>
          <w:bCs/>
        </w:rPr>
        <w:t>70</w:t>
      </w:r>
      <w:r w:rsidRPr="00F614F9">
        <w:rPr>
          <w:rFonts w:ascii="Times New Roman" w:hAnsi="Times New Roman" w:cs="宋体"/>
          <w:b/>
          <w:bCs/>
        </w:rPr>
        <w:t>、投资收益</w:t>
      </w:r>
      <w:bookmarkEnd w:id="483"/>
    </w:p>
    <w:p w14:paraId="6C853B22"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1088A62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3A7FC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4431C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36AC9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56489E3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5BED7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12B16491"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A6BD7F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966,929.31</w:t>
            </w:r>
          </w:p>
        </w:tc>
      </w:tr>
      <w:tr w:rsidR="001D26E7" w:rsidRPr="00F614F9" w14:paraId="3F7364E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EA26A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3DAA95E"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A051E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966,929.31</w:t>
            </w:r>
          </w:p>
        </w:tc>
      </w:tr>
    </w:tbl>
    <w:p w14:paraId="48F21B00"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其他说明：</w:t>
      </w:r>
    </w:p>
    <w:p w14:paraId="0B02B43B" w14:textId="77777777" w:rsidR="00872599" w:rsidRPr="00F614F9" w:rsidRDefault="00000000">
      <w:pPr>
        <w:pStyle w:val="a3"/>
        <w:divId w:val="1967928306"/>
        <w:rPr>
          <w:rFonts w:ascii="Times New Roman" w:hAnsi="Times New Roman"/>
          <w:sz w:val="18"/>
          <w:szCs w:val="18"/>
        </w:rPr>
      </w:pPr>
      <w:r w:rsidRPr="00F614F9">
        <w:rPr>
          <w:rFonts w:ascii="Times New Roman" w:hAnsi="Times New Roman" w:hint="eastAsia"/>
          <w:sz w:val="18"/>
          <w:szCs w:val="18"/>
        </w:rPr>
        <w:t>无</w:t>
      </w:r>
    </w:p>
    <w:p w14:paraId="01C8FE20" w14:textId="77777777" w:rsidR="001D26E7" w:rsidRPr="00F614F9" w:rsidRDefault="00000000">
      <w:pPr>
        <w:pStyle w:val="3"/>
        <w:spacing w:line="280" w:lineRule="exact"/>
        <w:jc w:val="left"/>
        <w:rPr>
          <w:rFonts w:ascii="Times New Roman" w:hAnsi="Times New Roman" w:cs="宋体"/>
          <w:b/>
          <w:bCs/>
        </w:rPr>
      </w:pPr>
      <w:bookmarkStart w:id="484" w:name="_Toc989322"/>
      <w:r w:rsidRPr="00F614F9">
        <w:rPr>
          <w:rFonts w:ascii="Times New Roman" w:hAnsi="Times New Roman" w:cs="宋体"/>
          <w:b/>
          <w:bCs/>
        </w:rPr>
        <w:t>71</w:t>
      </w:r>
      <w:r w:rsidRPr="00F614F9">
        <w:rPr>
          <w:rFonts w:ascii="Times New Roman" w:hAnsi="Times New Roman" w:cs="宋体"/>
          <w:b/>
          <w:bCs/>
        </w:rPr>
        <w:t>、信用减值损失</w:t>
      </w:r>
      <w:bookmarkEnd w:id="484"/>
    </w:p>
    <w:p w14:paraId="16C9B811"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46BA49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A71E9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4E9E5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1C5A1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380BA8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953A9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应收账款坏账损失</w:t>
            </w:r>
          </w:p>
        </w:tc>
        <w:tc>
          <w:tcPr>
            <w:tcW w:w="3213" w:type="dxa"/>
            <w:tcBorders>
              <w:top w:val="single" w:sz="2" w:space="0" w:color="auto"/>
              <w:left w:val="single" w:sz="2" w:space="0" w:color="auto"/>
              <w:bottom w:val="single" w:sz="2" w:space="0" w:color="auto"/>
              <w:right w:val="single" w:sz="2" w:space="0" w:color="auto"/>
            </w:tcBorders>
            <w:vAlign w:val="center"/>
          </w:tcPr>
          <w:p w14:paraId="3EF6133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-28,039,485.95</w:t>
            </w:r>
          </w:p>
        </w:tc>
        <w:tc>
          <w:tcPr>
            <w:tcW w:w="3213" w:type="dxa"/>
            <w:tcBorders>
              <w:top w:val="single" w:sz="2" w:space="0" w:color="auto"/>
              <w:left w:val="single" w:sz="2" w:space="0" w:color="auto"/>
              <w:bottom w:val="single" w:sz="2" w:space="0" w:color="auto"/>
              <w:right w:val="single" w:sz="2" w:space="0" w:color="auto"/>
            </w:tcBorders>
            <w:vAlign w:val="center"/>
          </w:tcPr>
          <w:p w14:paraId="014B125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-3,698,267.42</w:t>
            </w:r>
          </w:p>
        </w:tc>
      </w:tr>
      <w:tr w:rsidR="001D26E7" w:rsidRPr="00F614F9" w14:paraId="3FF989F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3D3AD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14:paraId="7206913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-9,284,540.92</w:t>
            </w:r>
          </w:p>
        </w:tc>
        <w:tc>
          <w:tcPr>
            <w:tcW w:w="3213" w:type="dxa"/>
            <w:tcBorders>
              <w:top w:val="single" w:sz="2" w:space="0" w:color="auto"/>
              <w:left w:val="single" w:sz="2" w:space="0" w:color="auto"/>
              <w:bottom w:val="single" w:sz="2" w:space="0" w:color="auto"/>
              <w:right w:val="single" w:sz="2" w:space="0" w:color="auto"/>
            </w:tcBorders>
            <w:vAlign w:val="center"/>
          </w:tcPr>
          <w:p w14:paraId="00FE89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-3,616,428.29</w:t>
            </w:r>
          </w:p>
        </w:tc>
      </w:tr>
      <w:tr w:rsidR="001D26E7" w:rsidRPr="00F614F9" w14:paraId="27D3C5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2E924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CAFD43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-37,324,026.87</w:t>
            </w:r>
          </w:p>
        </w:tc>
        <w:tc>
          <w:tcPr>
            <w:tcW w:w="3213" w:type="dxa"/>
            <w:tcBorders>
              <w:top w:val="single" w:sz="2" w:space="0" w:color="auto"/>
              <w:left w:val="single" w:sz="2" w:space="0" w:color="auto"/>
              <w:bottom w:val="single" w:sz="2" w:space="0" w:color="auto"/>
              <w:right w:val="single" w:sz="2" w:space="0" w:color="auto"/>
            </w:tcBorders>
            <w:vAlign w:val="center"/>
          </w:tcPr>
          <w:p w14:paraId="506E057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-7,314,695.71</w:t>
            </w:r>
          </w:p>
        </w:tc>
      </w:tr>
    </w:tbl>
    <w:p w14:paraId="025525D9"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1799AEEE" w14:textId="77777777" w:rsidR="00872599" w:rsidRPr="00F614F9" w:rsidRDefault="00000000">
      <w:pPr>
        <w:pStyle w:val="a3"/>
        <w:divId w:val="2081056333"/>
        <w:rPr>
          <w:rFonts w:ascii="Times New Roman" w:hAnsi="Times New Roman"/>
          <w:sz w:val="18"/>
          <w:szCs w:val="18"/>
        </w:rPr>
      </w:pPr>
      <w:r w:rsidRPr="00F614F9">
        <w:rPr>
          <w:rFonts w:ascii="Times New Roman" w:hAnsi="Times New Roman" w:hint="eastAsia"/>
          <w:sz w:val="18"/>
          <w:szCs w:val="18"/>
        </w:rPr>
        <w:t>无</w:t>
      </w:r>
    </w:p>
    <w:p w14:paraId="7DD8A3AC" w14:textId="77777777" w:rsidR="001D26E7" w:rsidRPr="00F614F9" w:rsidRDefault="00000000">
      <w:pPr>
        <w:pStyle w:val="3"/>
        <w:spacing w:line="280" w:lineRule="exact"/>
        <w:jc w:val="left"/>
        <w:rPr>
          <w:rFonts w:ascii="Times New Roman" w:hAnsi="Times New Roman" w:cs="宋体"/>
          <w:b/>
          <w:bCs/>
        </w:rPr>
      </w:pPr>
      <w:bookmarkStart w:id="485" w:name="_Toc989323"/>
      <w:r w:rsidRPr="00F614F9">
        <w:rPr>
          <w:rFonts w:ascii="Times New Roman" w:hAnsi="Times New Roman" w:cs="宋体"/>
          <w:b/>
          <w:bCs/>
        </w:rPr>
        <w:t>72</w:t>
      </w:r>
      <w:r w:rsidRPr="00F614F9">
        <w:rPr>
          <w:rFonts w:ascii="Times New Roman" w:hAnsi="Times New Roman" w:cs="宋体"/>
          <w:b/>
          <w:bCs/>
        </w:rPr>
        <w:t>、资产减值损失</w:t>
      </w:r>
      <w:bookmarkEnd w:id="485"/>
    </w:p>
    <w:p w14:paraId="7B0BEBB3"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30F90CE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5E39B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D9464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68C92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5FDECD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717EF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一、存货跌价损失及合同履约成本减值损失</w:t>
            </w:r>
          </w:p>
        </w:tc>
        <w:tc>
          <w:tcPr>
            <w:tcW w:w="3213" w:type="dxa"/>
            <w:tcBorders>
              <w:top w:val="single" w:sz="2" w:space="0" w:color="auto"/>
              <w:left w:val="single" w:sz="2" w:space="0" w:color="auto"/>
              <w:bottom w:val="single" w:sz="2" w:space="0" w:color="auto"/>
              <w:right w:val="single" w:sz="2" w:space="0" w:color="auto"/>
            </w:tcBorders>
            <w:vAlign w:val="center"/>
          </w:tcPr>
          <w:p w14:paraId="6620C3A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-413,961,815.17</w:t>
            </w:r>
          </w:p>
        </w:tc>
        <w:tc>
          <w:tcPr>
            <w:tcW w:w="3213" w:type="dxa"/>
            <w:tcBorders>
              <w:top w:val="single" w:sz="2" w:space="0" w:color="auto"/>
              <w:left w:val="single" w:sz="2" w:space="0" w:color="auto"/>
              <w:bottom w:val="single" w:sz="2" w:space="0" w:color="auto"/>
              <w:right w:val="single" w:sz="2" w:space="0" w:color="auto"/>
            </w:tcBorders>
            <w:vAlign w:val="center"/>
          </w:tcPr>
          <w:p w14:paraId="11FE325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46,493,511.99</w:t>
            </w:r>
          </w:p>
        </w:tc>
      </w:tr>
      <w:tr w:rsidR="001D26E7" w:rsidRPr="00F614F9" w14:paraId="4374EF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86943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四、固定资产减值损失</w:t>
            </w:r>
          </w:p>
        </w:tc>
        <w:tc>
          <w:tcPr>
            <w:tcW w:w="3213" w:type="dxa"/>
            <w:tcBorders>
              <w:top w:val="single" w:sz="2" w:space="0" w:color="auto"/>
              <w:left w:val="single" w:sz="2" w:space="0" w:color="auto"/>
              <w:bottom w:val="single" w:sz="2" w:space="0" w:color="auto"/>
              <w:right w:val="single" w:sz="2" w:space="0" w:color="auto"/>
            </w:tcBorders>
            <w:vAlign w:val="center"/>
          </w:tcPr>
          <w:p w14:paraId="22F1A8D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-1,263,136.57</w:t>
            </w:r>
          </w:p>
        </w:tc>
        <w:tc>
          <w:tcPr>
            <w:tcW w:w="3213" w:type="dxa"/>
            <w:tcBorders>
              <w:top w:val="single" w:sz="2" w:space="0" w:color="auto"/>
              <w:left w:val="single" w:sz="2" w:space="0" w:color="auto"/>
              <w:bottom w:val="single" w:sz="2" w:space="0" w:color="auto"/>
              <w:right w:val="single" w:sz="2" w:space="0" w:color="auto"/>
            </w:tcBorders>
            <w:vAlign w:val="center"/>
          </w:tcPr>
          <w:p w14:paraId="2BE67721"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420B4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05FD9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七、生产性生物资产减值损失</w:t>
            </w:r>
          </w:p>
        </w:tc>
        <w:tc>
          <w:tcPr>
            <w:tcW w:w="3213" w:type="dxa"/>
            <w:tcBorders>
              <w:top w:val="single" w:sz="2" w:space="0" w:color="auto"/>
              <w:left w:val="single" w:sz="2" w:space="0" w:color="auto"/>
              <w:bottom w:val="single" w:sz="2" w:space="0" w:color="auto"/>
              <w:right w:val="single" w:sz="2" w:space="0" w:color="auto"/>
            </w:tcBorders>
            <w:vAlign w:val="center"/>
          </w:tcPr>
          <w:p w14:paraId="18DF82E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-34,950,154.67</w:t>
            </w:r>
          </w:p>
        </w:tc>
        <w:tc>
          <w:tcPr>
            <w:tcW w:w="3213" w:type="dxa"/>
            <w:tcBorders>
              <w:top w:val="single" w:sz="2" w:space="0" w:color="auto"/>
              <w:left w:val="single" w:sz="2" w:space="0" w:color="auto"/>
              <w:bottom w:val="single" w:sz="2" w:space="0" w:color="auto"/>
              <w:right w:val="single" w:sz="2" w:space="0" w:color="auto"/>
            </w:tcBorders>
            <w:vAlign w:val="center"/>
          </w:tcPr>
          <w:p w14:paraId="51AD65A1"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7B674A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BB174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十、商誉减值损失</w:t>
            </w:r>
          </w:p>
        </w:tc>
        <w:tc>
          <w:tcPr>
            <w:tcW w:w="3213" w:type="dxa"/>
            <w:tcBorders>
              <w:top w:val="single" w:sz="2" w:space="0" w:color="auto"/>
              <w:left w:val="single" w:sz="2" w:space="0" w:color="auto"/>
              <w:bottom w:val="single" w:sz="2" w:space="0" w:color="auto"/>
              <w:right w:val="single" w:sz="2" w:space="0" w:color="auto"/>
            </w:tcBorders>
            <w:vAlign w:val="center"/>
          </w:tcPr>
          <w:p w14:paraId="2578F661"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C90BD2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-25,173.06</w:t>
            </w:r>
          </w:p>
        </w:tc>
      </w:tr>
      <w:tr w:rsidR="001D26E7" w:rsidRPr="00F614F9" w14:paraId="07FBCD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A6674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3D4567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-450,175,106.41</w:t>
            </w:r>
          </w:p>
        </w:tc>
        <w:tc>
          <w:tcPr>
            <w:tcW w:w="3213" w:type="dxa"/>
            <w:tcBorders>
              <w:top w:val="single" w:sz="2" w:space="0" w:color="auto"/>
              <w:left w:val="single" w:sz="2" w:space="0" w:color="auto"/>
              <w:bottom w:val="single" w:sz="2" w:space="0" w:color="auto"/>
              <w:right w:val="single" w:sz="2" w:space="0" w:color="auto"/>
            </w:tcBorders>
            <w:vAlign w:val="center"/>
          </w:tcPr>
          <w:p w14:paraId="74053CD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46,468,338.93</w:t>
            </w:r>
          </w:p>
        </w:tc>
      </w:tr>
    </w:tbl>
    <w:p w14:paraId="62031B51"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2C3BCFCA" w14:textId="77777777" w:rsidR="00872599" w:rsidRPr="00F614F9" w:rsidRDefault="00000000">
      <w:pPr>
        <w:pStyle w:val="a3"/>
        <w:divId w:val="1166215236"/>
        <w:rPr>
          <w:rFonts w:ascii="Times New Roman" w:hAnsi="Times New Roman"/>
          <w:sz w:val="18"/>
          <w:szCs w:val="18"/>
        </w:rPr>
      </w:pPr>
      <w:r w:rsidRPr="00F614F9">
        <w:rPr>
          <w:rFonts w:ascii="Times New Roman" w:hAnsi="Times New Roman" w:hint="eastAsia"/>
          <w:sz w:val="18"/>
          <w:szCs w:val="18"/>
        </w:rPr>
        <w:t>无</w:t>
      </w:r>
    </w:p>
    <w:p w14:paraId="0D9F384D" w14:textId="77777777" w:rsidR="001D26E7" w:rsidRPr="00F614F9" w:rsidRDefault="00000000">
      <w:pPr>
        <w:pStyle w:val="3"/>
        <w:spacing w:line="280" w:lineRule="exact"/>
        <w:jc w:val="left"/>
        <w:rPr>
          <w:rFonts w:ascii="Times New Roman" w:hAnsi="Times New Roman" w:cs="宋体"/>
          <w:b/>
          <w:bCs/>
        </w:rPr>
      </w:pPr>
      <w:bookmarkStart w:id="486" w:name="_Toc989324"/>
      <w:r w:rsidRPr="00F614F9">
        <w:rPr>
          <w:rFonts w:ascii="Times New Roman" w:hAnsi="Times New Roman" w:cs="宋体"/>
          <w:b/>
          <w:bCs/>
        </w:rPr>
        <w:t>73</w:t>
      </w:r>
      <w:r w:rsidRPr="00F614F9">
        <w:rPr>
          <w:rFonts w:ascii="Times New Roman" w:hAnsi="Times New Roman" w:cs="宋体"/>
          <w:b/>
          <w:bCs/>
        </w:rPr>
        <w:t>、资产处置收益</w:t>
      </w:r>
      <w:bookmarkEnd w:id="486"/>
    </w:p>
    <w:p w14:paraId="303F9320"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7BC4822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FC127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资产处置收益的来源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5CF88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B8489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4922600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CC1AA5F"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处置非</w:t>
            </w:r>
            <w:proofErr w:type="gramEnd"/>
            <w:r w:rsidRPr="00F614F9">
              <w:rPr>
                <w:rFonts w:ascii="Times New Roman" w:eastAsia="宋体" w:hAnsi="Times New Roman" w:cs="宋体"/>
                <w:sz w:val="18"/>
                <w:szCs w:val="18"/>
              </w:rPr>
              <w:t>流动资产的利得（损失</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p>
        </w:tc>
        <w:tc>
          <w:tcPr>
            <w:tcW w:w="3213" w:type="dxa"/>
            <w:tcBorders>
              <w:top w:val="single" w:sz="2" w:space="0" w:color="auto"/>
              <w:left w:val="single" w:sz="2" w:space="0" w:color="auto"/>
              <w:bottom w:val="single" w:sz="2" w:space="0" w:color="auto"/>
              <w:right w:val="single" w:sz="2" w:space="0" w:color="auto"/>
            </w:tcBorders>
            <w:vAlign w:val="center"/>
          </w:tcPr>
          <w:p w14:paraId="6CB1CB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-128,746,923.35</w:t>
            </w:r>
          </w:p>
        </w:tc>
        <w:tc>
          <w:tcPr>
            <w:tcW w:w="3213" w:type="dxa"/>
            <w:tcBorders>
              <w:top w:val="single" w:sz="2" w:space="0" w:color="auto"/>
              <w:left w:val="single" w:sz="2" w:space="0" w:color="auto"/>
              <w:bottom w:val="single" w:sz="2" w:space="0" w:color="auto"/>
              <w:right w:val="single" w:sz="2" w:space="0" w:color="auto"/>
            </w:tcBorders>
            <w:vAlign w:val="center"/>
          </w:tcPr>
          <w:p w14:paraId="7BE2DC1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-85,474,446.37</w:t>
            </w:r>
          </w:p>
        </w:tc>
      </w:tr>
      <w:tr w:rsidR="001D26E7" w:rsidRPr="00F614F9" w14:paraId="32AC2E0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6CBE31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其中：固定资产处置利得（损失以</w:t>
            </w:r>
            <w:r w:rsidRPr="00F614F9">
              <w:rPr>
                <w:rFonts w:ascii="Times New Roman" w:eastAsia="宋体" w:hAnsi="Times New Roman" w:cs="宋体"/>
                <w:sz w:val="18"/>
                <w:szCs w:val="18"/>
              </w:rPr>
              <w:t>“-” </w:t>
            </w:r>
            <w:r w:rsidRPr="00F614F9">
              <w:rPr>
                <w:rFonts w:ascii="Times New Roman" w:eastAsia="宋体" w:hAnsi="Times New Roman" w:cs="宋体"/>
                <w:sz w:val="18"/>
                <w:szCs w:val="18"/>
              </w:rPr>
              <w:t>填列）</w:t>
            </w:r>
          </w:p>
        </w:tc>
        <w:tc>
          <w:tcPr>
            <w:tcW w:w="3213" w:type="dxa"/>
            <w:tcBorders>
              <w:top w:val="single" w:sz="2" w:space="0" w:color="auto"/>
              <w:left w:val="single" w:sz="2" w:space="0" w:color="auto"/>
              <w:bottom w:val="single" w:sz="2" w:space="0" w:color="auto"/>
              <w:right w:val="single" w:sz="2" w:space="0" w:color="auto"/>
            </w:tcBorders>
            <w:vAlign w:val="center"/>
          </w:tcPr>
          <w:p w14:paraId="16D483D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-670,654.13</w:t>
            </w:r>
          </w:p>
        </w:tc>
        <w:tc>
          <w:tcPr>
            <w:tcW w:w="3213" w:type="dxa"/>
            <w:tcBorders>
              <w:top w:val="single" w:sz="2" w:space="0" w:color="auto"/>
              <w:left w:val="single" w:sz="2" w:space="0" w:color="auto"/>
              <w:bottom w:val="single" w:sz="2" w:space="0" w:color="auto"/>
              <w:right w:val="single" w:sz="2" w:space="0" w:color="auto"/>
            </w:tcBorders>
            <w:vAlign w:val="center"/>
          </w:tcPr>
          <w:p w14:paraId="71D27A5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341,496.43</w:t>
            </w:r>
          </w:p>
        </w:tc>
      </w:tr>
      <w:tr w:rsidR="001D26E7" w:rsidRPr="00F614F9" w14:paraId="4F79853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26E94E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 xml:space="preserve">　　　无形资产处置利得（损失以</w:t>
            </w:r>
            <w:r w:rsidRPr="00F614F9">
              <w:rPr>
                <w:rFonts w:ascii="Times New Roman" w:eastAsia="宋体" w:hAnsi="Times New Roman" w:cs="宋体"/>
                <w:sz w:val="18"/>
                <w:szCs w:val="18"/>
              </w:rPr>
              <w:t>“-” </w:t>
            </w:r>
            <w:r w:rsidRPr="00F614F9">
              <w:rPr>
                <w:rFonts w:ascii="Times New Roman" w:eastAsia="宋体" w:hAnsi="Times New Roman" w:cs="宋体"/>
                <w:sz w:val="18"/>
                <w:szCs w:val="18"/>
              </w:rPr>
              <w:t>填列）</w:t>
            </w:r>
          </w:p>
        </w:tc>
        <w:tc>
          <w:tcPr>
            <w:tcW w:w="3213" w:type="dxa"/>
            <w:tcBorders>
              <w:top w:val="single" w:sz="2" w:space="0" w:color="auto"/>
              <w:left w:val="single" w:sz="2" w:space="0" w:color="auto"/>
              <w:bottom w:val="single" w:sz="2" w:space="0" w:color="auto"/>
              <w:right w:val="single" w:sz="2" w:space="0" w:color="auto"/>
            </w:tcBorders>
            <w:vAlign w:val="center"/>
          </w:tcPr>
          <w:p w14:paraId="3752BA3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-906,069.55</w:t>
            </w:r>
          </w:p>
        </w:tc>
        <w:tc>
          <w:tcPr>
            <w:tcW w:w="3213" w:type="dxa"/>
            <w:tcBorders>
              <w:top w:val="single" w:sz="2" w:space="0" w:color="auto"/>
              <w:left w:val="single" w:sz="2" w:space="0" w:color="auto"/>
              <w:bottom w:val="single" w:sz="2" w:space="0" w:color="auto"/>
              <w:right w:val="single" w:sz="2" w:space="0" w:color="auto"/>
            </w:tcBorders>
            <w:vAlign w:val="center"/>
          </w:tcPr>
          <w:p w14:paraId="7BBE52C0"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025B32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3F947C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   </w:t>
            </w:r>
            <w:r w:rsidRPr="00F614F9">
              <w:rPr>
                <w:rFonts w:ascii="Times New Roman" w:eastAsia="宋体" w:hAnsi="Times New Roman" w:cs="宋体"/>
                <w:sz w:val="18"/>
                <w:szCs w:val="18"/>
              </w:rPr>
              <w:t>在建工程处置利得（损失以</w:t>
            </w:r>
            <w:r w:rsidRPr="00F614F9">
              <w:rPr>
                <w:rFonts w:ascii="Times New Roman" w:eastAsia="宋体" w:hAnsi="Times New Roman" w:cs="宋体"/>
                <w:sz w:val="18"/>
                <w:szCs w:val="18"/>
              </w:rPr>
              <w:t>“-” </w:t>
            </w:r>
            <w:r w:rsidRPr="00F614F9">
              <w:rPr>
                <w:rFonts w:ascii="Times New Roman" w:eastAsia="宋体" w:hAnsi="Times New Roman" w:cs="宋体"/>
                <w:sz w:val="18"/>
                <w:szCs w:val="18"/>
              </w:rPr>
              <w:t>填列）</w:t>
            </w:r>
          </w:p>
        </w:tc>
        <w:tc>
          <w:tcPr>
            <w:tcW w:w="3213" w:type="dxa"/>
            <w:tcBorders>
              <w:top w:val="single" w:sz="2" w:space="0" w:color="auto"/>
              <w:left w:val="single" w:sz="2" w:space="0" w:color="auto"/>
              <w:bottom w:val="single" w:sz="2" w:space="0" w:color="auto"/>
              <w:right w:val="single" w:sz="2" w:space="0" w:color="auto"/>
            </w:tcBorders>
            <w:vAlign w:val="center"/>
          </w:tcPr>
          <w:p w14:paraId="0D44911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-1,870,233.03</w:t>
            </w:r>
          </w:p>
        </w:tc>
        <w:tc>
          <w:tcPr>
            <w:tcW w:w="3213" w:type="dxa"/>
            <w:tcBorders>
              <w:top w:val="single" w:sz="2" w:space="0" w:color="auto"/>
              <w:left w:val="single" w:sz="2" w:space="0" w:color="auto"/>
              <w:bottom w:val="single" w:sz="2" w:space="0" w:color="auto"/>
              <w:right w:val="single" w:sz="2" w:space="0" w:color="auto"/>
            </w:tcBorders>
            <w:vAlign w:val="center"/>
          </w:tcPr>
          <w:p w14:paraId="1A7EDE5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6E3CFC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1560A4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t>生产性生物资产处置利得（损失以</w:t>
            </w:r>
            <w:r w:rsidRPr="00F614F9">
              <w:rPr>
                <w:rFonts w:ascii="Times New Roman" w:eastAsia="宋体" w:hAnsi="Times New Roman" w:cs="宋体"/>
                <w:sz w:val="18"/>
                <w:szCs w:val="18"/>
              </w:rPr>
              <w:t>“-” </w:t>
            </w:r>
            <w:r w:rsidRPr="00F614F9">
              <w:rPr>
                <w:rFonts w:ascii="Times New Roman" w:eastAsia="宋体" w:hAnsi="Times New Roman" w:cs="宋体"/>
                <w:sz w:val="18"/>
                <w:szCs w:val="18"/>
              </w:rPr>
              <w:t>填列）</w:t>
            </w:r>
          </w:p>
        </w:tc>
        <w:tc>
          <w:tcPr>
            <w:tcW w:w="3213" w:type="dxa"/>
            <w:tcBorders>
              <w:top w:val="single" w:sz="2" w:space="0" w:color="auto"/>
              <w:left w:val="single" w:sz="2" w:space="0" w:color="auto"/>
              <w:bottom w:val="single" w:sz="2" w:space="0" w:color="auto"/>
              <w:right w:val="single" w:sz="2" w:space="0" w:color="auto"/>
            </w:tcBorders>
            <w:vAlign w:val="center"/>
          </w:tcPr>
          <w:p w14:paraId="2CD500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-125,299,966.64</w:t>
            </w:r>
          </w:p>
        </w:tc>
        <w:tc>
          <w:tcPr>
            <w:tcW w:w="3213" w:type="dxa"/>
            <w:tcBorders>
              <w:top w:val="single" w:sz="2" w:space="0" w:color="auto"/>
              <w:left w:val="single" w:sz="2" w:space="0" w:color="auto"/>
              <w:bottom w:val="single" w:sz="2" w:space="0" w:color="auto"/>
              <w:right w:val="single" w:sz="2" w:space="0" w:color="auto"/>
            </w:tcBorders>
            <w:vAlign w:val="center"/>
          </w:tcPr>
          <w:p w14:paraId="0293B06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-85,815,942.80</w:t>
            </w:r>
          </w:p>
        </w:tc>
      </w:tr>
      <w:tr w:rsidR="001D26E7" w:rsidRPr="00F614F9" w14:paraId="57CABC5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CA746D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855510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-128,746,923.35</w:t>
            </w:r>
          </w:p>
        </w:tc>
        <w:tc>
          <w:tcPr>
            <w:tcW w:w="3213" w:type="dxa"/>
            <w:tcBorders>
              <w:top w:val="single" w:sz="2" w:space="0" w:color="auto"/>
              <w:left w:val="single" w:sz="2" w:space="0" w:color="auto"/>
              <w:bottom w:val="single" w:sz="2" w:space="0" w:color="auto"/>
              <w:right w:val="single" w:sz="2" w:space="0" w:color="auto"/>
            </w:tcBorders>
            <w:vAlign w:val="center"/>
          </w:tcPr>
          <w:p w14:paraId="5C12C98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-85,474,446.37</w:t>
            </w:r>
          </w:p>
        </w:tc>
      </w:tr>
    </w:tbl>
    <w:p w14:paraId="17A7AC66" w14:textId="77777777" w:rsidR="001D26E7" w:rsidRPr="00F614F9" w:rsidRDefault="00000000">
      <w:pPr>
        <w:pStyle w:val="3"/>
        <w:spacing w:line="280" w:lineRule="exact"/>
        <w:jc w:val="left"/>
        <w:rPr>
          <w:rFonts w:ascii="Times New Roman" w:hAnsi="Times New Roman" w:cs="宋体"/>
          <w:b/>
          <w:bCs/>
        </w:rPr>
      </w:pPr>
      <w:bookmarkStart w:id="487" w:name="_Toc989325"/>
      <w:r w:rsidRPr="00F614F9">
        <w:rPr>
          <w:rFonts w:ascii="Times New Roman" w:hAnsi="Times New Roman" w:cs="宋体"/>
          <w:b/>
          <w:bCs/>
        </w:rPr>
        <w:t>74</w:t>
      </w:r>
      <w:r w:rsidRPr="00F614F9">
        <w:rPr>
          <w:rFonts w:ascii="Times New Roman" w:hAnsi="Times New Roman" w:cs="宋体"/>
          <w:b/>
          <w:bCs/>
        </w:rPr>
        <w:t>、营业外收入</w:t>
      </w:r>
      <w:bookmarkEnd w:id="487"/>
    </w:p>
    <w:p w14:paraId="168D7C48"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1D26E7" w:rsidRPr="00F614F9" w14:paraId="3B417C3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CE5849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C1D463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A1A806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5BC7E2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计入当期非经常性损益的金</w:t>
            </w:r>
            <w:r w:rsidRPr="00F614F9">
              <w:rPr>
                <w:rFonts w:ascii="Times New Roman" w:eastAsia="宋体" w:hAnsi="Times New Roman" w:cs="宋体"/>
                <w:sz w:val="18"/>
                <w:szCs w:val="18"/>
              </w:rPr>
              <w:lastRenderedPageBreak/>
              <w:t>额</w:t>
            </w:r>
          </w:p>
        </w:tc>
      </w:tr>
      <w:tr w:rsidR="001D26E7" w:rsidRPr="00F614F9" w14:paraId="56DA34EC"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A47D54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非流动资产毁损报废利得</w:t>
            </w:r>
          </w:p>
        </w:tc>
        <w:tc>
          <w:tcPr>
            <w:tcW w:w="2410" w:type="dxa"/>
            <w:tcBorders>
              <w:top w:val="single" w:sz="2" w:space="0" w:color="auto"/>
              <w:left w:val="single" w:sz="2" w:space="0" w:color="auto"/>
              <w:bottom w:val="single" w:sz="2" w:space="0" w:color="auto"/>
              <w:right w:val="single" w:sz="2" w:space="0" w:color="auto"/>
            </w:tcBorders>
            <w:vAlign w:val="center"/>
          </w:tcPr>
          <w:p w14:paraId="10CCCEB8"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C2333D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19,166.95</w:t>
            </w:r>
          </w:p>
        </w:tc>
        <w:tc>
          <w:tcPr>
            <w:tcW w:w="2410" w:type="dxa"/>
            <w:tcBorders>
              <w:top w:val="single" w:sz="2" w:space="0" w:color="auto"/>
              <w:left w:val="single" w:sz="2" w:space="0" w:color="auto"/>
              <w:bottom w:val="single" w:sz="2" w:space="0" w:color="auto"/>
              <w:right w:val="single" w:sz="2" w:space="0" w:color="auto"/>
            </w:tcBorders>
            <w:vAlign w:val="center"/>
          </w:tcPr>
          <w:p w14:paraId="0D88DED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AC8E7FC"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C2D38E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其中：固定资产</w:t>
            </w:r>
          </w:p>
        </w:tc>
        <w:tc>
          <w:tcPr>
            <w:tcW w:w="2410" w:type="dxa"/>
            <w:tcBorders>
              <w:top w:val="single" w:sz="2" w:space="0" w:color="auto"/>
              <w:left w:val="single" w:sz="2" w:space="0" w:color="auto"/>
              <w:bottom w:val="single" w:sz="2" w:space="0" w:color="auto"/>
              <w:right w:val="single" w:sz="2" w:space="0" w:color="auto"/>
            </w:tcBorders>
            <w:vAlign w:val="center"/>
          </w:tcPr>
          <w:p w14:paraId="3DEB9582"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1D3758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19,166.95</w:t>
            </w:r>
          </w:p>
        </w:tc>
        <w:tc>
          <w:tcPr>
            <w:tcW w:w="2410" w:type="dxa"/>
            <w:tcBorders>
              <w:top w:val="single" w:sz="2" w:space="0" w:color="auto"/>
              <w:left w:val="single" w:sz="2" w:space="0" w:color="auto"/>
              <w:bottom w:val="single" w:sz="2" w:space="0" w:color="auto"/>
              <w:right w:val="single" w:sz="2" w:space="0" w:color="auto"/>
            </w:tcBorders>
            <w:vAlign w:val="center"/>
          </w:tcPr>
          <w:p w14:paraId="78511CC0"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30EEFF2"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878A0A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违约赔偿收入</w:t>
            </w:r>
          </w:p>
        </w:tc>
        <w:tc>
          <w:tcPr>
            <w:tcW w:w="2410" w:type="dxa"/>
            <w:tcBorders>
              <w:top w:val="single" w:sz="2" w:space="0" w:color="auto"/>
              <w:left w:val="single" w:sz="2" w:space="0" w:color="auto"/>
              <w:bottom w:val="single" w:sz="2" w:space="0" w:color="auto"/>
              <w:right w:val="single" w:sz="2" w:space="0" w:color="auto"/>
            </w:tcBorders>
            <w:vAlign w:val="center"/>
          </w:tcPr>
          <w:p w14:paraId="76B865B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353,616.62</w:t>
            </w:r>
          </w:p>
        </w:tc>
        <w:tc>
          <w:tcPr>
            <w:tcW w:w="2410" w:type="dxa"/>
            <w:tcBorders>
              <w:top w:val="single" w:sz="2" w:space="0" w:color="auto"/>
              <w:left w:val="single" w:sz="2" w:space="0" w:color="auto"/>
              <w:bottom w:val="single" w:sz="2" w:space="0" w:color="auto"/>
              <w:right w:val="single" w:sz="2" w:space="0" w:color="auto"/>
            </w:tcBorders>
            <w:vAlign w:val="center"/>
          </w:tcPr>
          <w:p w14:paraId="1B23BE2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2,173,934.93</w:t>
            </w:r>
          </w:p>
        </w:tc>
        <w:tc>
          <w:tcPr>
            <w:tcW w:w="2410" w:type="dxa"/>
            <w:tcBorders>
              <w:top w:val="single" w:sz="2" w:space="0" w:color="auto"/>
              <w:left w:val="single" w:sz="2" w:space="0" w:color="auto"/>
              <w:bottom w:val="single" w:sz="2" w:space="0" w:color="auto"/>
              <w:right w:val="single" w:sz="2" w:space="0" w:color="auto"/>
            </w:tcBorders>
            <w:vAlign w:val="center"/>
          </w:tcPr>
          <w:p w14:paraId="4543BF4E" w14:textId="77777777" w:rsidR="001D26E7" w:rsidRPr="00F614F9" w:rsidRDefault="006631BB">
            <w:pPr>
              <w:spacing w:line="240" w:lineRule="exact"/>
              <w:jc w:val="right"/>
              <w:rPr>
                <w:rFonts w:ascii="Times New Roman" w:eastAsia="宋体" w:hAnsi="Times New Roman" w:cs="宋体"/>
                <w:sz w:val="18"/>
                <w:szCs w:val="18"/>
              </w:rPr>
            </w:pPr>
            <w:r w:rsidRPr="006631BB">
              <w:rPr>
                <w:rFonts w:ascii="Times New Roman" w:eastAsia="宋体" w:hAnsi="Times New Roman" w:cs="宋体"/>
                <w:sz w:val="18"/>
                <w:szCs w:val="18"/>
              </w:rPr>
              <w:t>353,616.62</w:t>
            </w:r>
          </w:p>
        </w:tc>
      </w:tr>
      <w:tr w:rsidR="001D26E7" w:rsidRPr="00F614F9" w14:paraId="2D4512FC"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F18043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14:paraId="57674C2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7,781,086.07</w:t>
            </w:r>
          </w:p>
        </w:tc>
        <w:tc>
          <w:tcPr>
            <w:tcW w:w="2410" w:type="dxa"/>
            <w:tcBorders>
              <w:top w:val="single" w:sz="2" w:space="0" w:color="auto"/>
              <w:left w:val="single" w:sz="2" w:space="0" w:color="auto"/>
              <w:bottom w:val="single" w:sz="2" w:space="0" w:color="auto"/>
              <w:right w:val="single" w:sz="2" w:space="0" w:color="auto"/>
            </w:tcBorders>
            <w:vAlign w:val="center"/>
          </w:tcPr>
          <w:p w14:paraId="30E19D2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2,381,892.69</w:t>
            </w:r>
          </w:p>
        </w:tc>
        <w:tc>
          <w:tcPr>
            <w:tcW w:w="2410" w:type="dxa"/>
            <w:tcBorders>
              <w:top w:val="single" w:sz="2" w:space="0" w:color="auto"/>
              <w:left w:val="single" w:sz="2" w:space="0" w:color="auto"/>
              <w:bottom w:val="single" w:sz="2" w:space="0" w:color="auto"/>
              <w:right w:val="single" w:sz="2" w:space="0" w:color="auto"/>
            </w:tcBorders>
            <w:vAlign w:val="center"/>
          </w:tcPr>
          <w:p w14:paraId="5A55EBD4" w14:textId="77777777" w:rsidR="001D26E7" w:rsidRPr="00F614F9" w:rsidRDefault="006631BB">
            <w:pPr>
              <w:spacing w:line="240" w:lineRule="exact"/>
              <w:jc w:val="right"/>
              <w:rPr>
                <w:rFonts w:ascii="Times New Roman" w:eastAsia="宋体" w:hAnsi="Times New Roman" w:cs="宋体"/>
                <w:sz w:val="18"/>
                <w:szCs w:val="18"/>
              </w:rPr>
            </w:pPr>
            <w:r w:rsidRPr="006631BB">
              <w:rPr>
                <w:rFonts w:ascii="Times New Roman" w:eastAsia="宋体" w:hAnsi="Times New Roman" w:cs="宋体"/>
                <w:sz w:val="18"/>
                <w:szCs w:val="18"/>
              </w:rPr>
              <w:t>7,781,086.07</w:t>
            </w:r>
          </w:p>
        </w:tc>
      </w:tr>
      <w:tr w:rsidR="001D26E7" w:rsidRPr="00F614F9" w14:paraId="572D401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DF627C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776031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8,134,702.69</w:t>
            </w:r>
          </w:p>
        </w:tc>
        <w:tc>
          <w:tcPr>
            <w:tcW w:w="2410" w:type="dxa"/>
            <w:tcBorders>
              <w:top w:val="single" w:sz="2" w:space="0" w:color="auto"/>
              <w:left w:val="single" w:sz="2" w:space="0" w:color="auto"/>
              <w:bottom w:val="single" w:sz="2" w:space="0" w:color="auto"/>
              <w:right w:val="single" w:sz="2" w:space="0" w:color="auto"/>
            </w:tcBorders>
            <w:vAlign w:val="center"/>
          </w:tcPr>
          <w:p w14:paraId="406AA2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4,574,994.57</w:t>
            </w:r>
          </w:p>
        </w:tc>
        <w:tc>
          <w:tcPr>
            <w:tcW w:w="2410" w:type="dxa"/>
            <w:tcBorders>
              <w:top w:val="single" w:sz="2" w:space="0" w:color="auto"/>
              <w:left w:val="single" w:sz="2" w:space="0" w:color="auto"/>
              <w:bottom w:val="single" w:sz="2" w:space="0" w:color="auto"/>
              <w:right w:val="single" w:sz="2" w:space="0" w:color="auto"/>
            </w:tcBorders>
            <w:vAlign w:val="center"/>
          </w:tcPr>
          <w:p w14:paraId="55D7E9B2" w14:textId="77777777" w:rsidR="001D26E7" w:rsidRPr="00F614F9" w:rsidRDefault="006631BB">
            <w:pPr>
              <w:spacing w:line="240" w:lineRule="exact"/>
              <w:jc w:val="right"/>
              <w:rPr>
                <w:rFonts w:ascii="Times New Roman" w:eastAsia="宋体" w:hAnsi="Times New Roman" w:cs="宋体"/>
                <w:sz w:val="18"/>
                <w:szCs w:val="18"/>
              </w:rPr>
            </w:pPr>
            <w:r w:rsidRPr="006631BB">
              <w:rPr>
                <w:rFonts w:ascii="Times New Roman" w:eastAsia="宋体" w:hAnsi="Times New Roman" w:cs="宋体"/>
                <w:sz w:val="18"/>
                <w:szCs w:val="18"/>
              </w:rPr>
              <w:t>8,134,702.69</w:t>
            </w:r>
          </w:p>
        </w:tc>
      </w:tr>
    </w:tbl>
    <w:p w14:paraId="7E0141F8"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114CB218" w14:textId="77777777" w:rsidR="00872599" w:rsidRPr="00F614F9" w:rsidRDefault="00000000">
      <w:pPr>
        <w:pStyle w:val="a3"/>
        <w:divId w:val="2018343226"/>
        <w:rPr>
          <w:rFonts w:ascii="Times New Roman" w:hAnsi="Times New Roman"/>
          <w:sz w:val="18"/>
          <w:szCs w:val="18"/>
        </w:rPr>
      </w:pPr>
      <w:r w:rsidRPr="00F614F9">
        <w:rPr>
          <w:rFonts w:ascii="Times New Roman" w:hAnsi="Times New Roman" w:hint="eastAsia"/>
          <w:sz w:val="18"/>
          <w:szCs w:val="18"/>
        </w:rPr>
        <w:t>无</w:t>
      </w:r>
    </w:p>
    <w:p w14:paraId="465904E1" w14:textId="77777777" w:rsidR="001D26E7" w:rsidRPr="00F614F9" w:rsidRDefault="00000000">
      <w:pPr>
        <w:pStyle w:val="3"/>
        <w:spacing w:line="280" w:lineRule="exact"/>
        <w:jc w:val="left"/>
        <w:rPr>
          <w:rFonts w:ascii="Times New Roman" w:hAnsi="Times New Roman" w:cs="宋体"/>
          <w:b/>
          <w:bCs/>
        </w:rPr>
      </w:pPr>
      <w:bookmarkStart w:id="488" w:name="_Toc989326"/>
      <w:r w:rsidRPr="00F614F9">
        <w:rPr>
          <w:rFonts w:ascii="Times New Roman" w:hAnsi="Times New Roman" w:cs="宋体"/>
          <w:b/>
          <w:bCs/>
        </w:rPr>
        <w:t>75</w:t>
      </w:r>
      <w:r w:rsidRPr="00F614F9">
        <w:rPr>
          <w:rFonts w:ascii="Times New Roman" w:hAnsi="Times New Roman" w:cs="宋体"/>
          <w:b/>
          <w:bCs/>
        </w:rPr>
        <w:t>、营业外支出</w:t>
      </w:r>
      <w:bookmarkEnd w:id="488"/>
    </w:p>
    <w:p w14:paraId="601D147D"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1D26E7" w:rsidRPr="00F614F9" w14:paraId="4E6BB15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6A7D6B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FE4825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C684FD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8CBD30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计入当期非经常性损益的金额</w:t>
            </w:r>
          </w:p>
        </w:tc>
      </w:tr>
      <w:tr w:rsidR="001D26E7" w:rsidRPr="00F614F9" w14:paraId="2D1B43D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47F7C3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对外捐赠</w:t>
            </w:r>
          </w:p>
        </w:tc>
        <w:tc>
          <w:tcPr>
            <w:tcW w:w="2410" w:type="dxa"/>
            <w:tcBorders>
              <w:top w:val="single" w:sz="2" w:space="0" w:color="auto"/>
              <w:left w:val="single" w:sz="2" w:space="0" w:color="auto"/>
              <w:bottom w:val="single" w:sz="2" w:space="0" w:color="auto"/>
              <w:right w:val="single" w:sz="2" w:space="0" w:color="auto"/>
            </w:tcBorders>
            <w:vAlign w:val="center"/>
          </w:tcPr>
          <w:p w14:paraId="79CC745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495,637.30</w:t>
            </w:r>
          </w:p>
        </w:tc>
        <w:tc>
          <w:tcPr>
            <w:tcW w:w="2410" w:type="dxa"/>
            <w:tcBorders>
              <w:top w:val="single" w:sz="2" w:space="0" w:color="auto"/>
              <w:left w:val="single" w:sz="2" w:space="0" w:color="auto"/>
              <w:bottom w:val="single" w:sz="2" w:space="0" w:color="auto"/>
              <w:right w:val="single" w:sz="2" w:space="0" w:color="auto"/>
            </w:tcBorders>
            <w:vAlign w:val="center"/>
          </w:tcPr>
          <w:p w14:paraId="3397EFD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6,331,967.56</w:t>
            </w:r>
          </w:p>
        </w:tc>
        <w:tc>
          <w:tcPr>
            <w:tcW w:w="2410" w:type="dxa"/>
            <w:tcBorders>
              <w:top w:val="single" w:sz="2" w:space="0" w:color="auto"/>
              <w:left w:val="single" w:sz="2" w:space="0" w:color="auto"/>
              <w:bottom w:val="single" w:sz="2" w:space="0" w:color="auto"/>
              <w:right w:val="single" w:sz="2" w:space="0" w:color="auto"/>
            </w:tcBorders>
            <w:vAlign w:val="center"/>
          </w:tcPr>
          <w:p w14:paraId="66D8FAD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495,637.30</w:t>
            </w:r>
          </w:p>
        </w:tc>
      </w:tr>
      <w:tr w:rsidR="001D26E7" w:rsidRPr="00F614F9" w14:paraId="1E6B30FB"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A05C0F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非流动资产毁损报废损失</w:t>
            </w:r>
          </w:p>
        </w:tc>
        <w:tc>
          <w:tcPr>
            <w:tcW w:w="2410" w:type="dxa"/>
            <w:tcBorders>
              <w:top w:val="single" w:sz="2" w:space="0" w:color="auto"/>
              <w:left w:val="single" w:sz="2" w:space="0" w:color="auto"/>
              <w:bottom w:val="single" w:sz="2" w:space="0" w:color="auto"/>
              <w:right w:val="single" w:sz="2" w:space="0" w:color="auto"/>
            </w:tcBorders>
            <w:vAlign w:val="center"/>
          </w:tcPr>
          <w:p w14:paraId="19C83F8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46,899,699.25</w:t>
            </w:r>
          </w:p>
        </w:tc>
        <w:tc>
          <w:tcPr>
            <w:tcW w:w="2410" w:type="dxa"/>
            <w:tcBorders>
              <w:top w:val="single" w:sz="2" w:space="0" w:color="auto"/>
              <w:left w:val="single" w:sz="2" w:space="0" w:color="auto"/>
              <w:bottom w:val="single" w:sz="2" w:space="0" w:color="auto"/>
              <w:right w:val="single" w:sz="2" w:space="0" w:color="auto"/>
            </w:tcBorders>
            <w:vAlign w:val="center"/>
          </w:tcPr>
          <w:p w14:paraId="323A3E0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157,284.25</w:t>
            </w:r>
          </w:p>
        </w:tc>
        <w:tc>
          <w:tcPr>
            <w:tcW w:w="2410" w:type="dxa"/>
            <w:tcBorders>
              <w:top w:val="single" w:sz="2" w:space="0" w:color="auto"/>
              <w:left w:val="single" w:sz="2" w:space="0" w:color="auto"/>
              <w:bottom w:val="single" w:sz="2" w:space="0" w:color="auto"/>
              <w:right w:val="single" w:sz="2" w:space="0" w:color="auto"/>
            </w:tcBorders>
            <w:vAlign w:val="center"/>
          </w:tcPr>
          <w:p w14:paraId="7F69F1B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46,899,699.25</w:t>
            </w:r>
          </w:p>
        </w:tc>
      </w:tr>
      <w:tr w:rsidR="001D26E7" w:rsidRPr="00F614F9" w14:paraId="7721587C"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142E0E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其中：固定资产</w:t>
            </w:r>
          </w:p>
        </w:tc>
        <w:tc>
          <w:tcPr>
            <w:tcW w:w="2410" w:type="dxa"/>
            <w:tcBorders>
              <w:top w:val="single" w:sz="2" w:space="0" w:color="auto"/>
              <w:left w:val="single" w:sz="2" w:space="0" w:color="auto"/>
              <w:bottom w:val="single" w:sz="2" w:space="0" w:color="auto"/>
              <w:right w:val="single" w:sz="2" w:space="0" w:color="auto"/>
            </w:tcBorders>
            <w:vAlign w:val="center"/>
          </w:tcPr>
          <w:p w14:paraId="4DB9ED7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3,725,294.70</w:t>
            </w:r>
          </w:p>
        </w:tc>
        <w:tc>
          <w:tcPr>
            <w:tcW w:w="2410" w:type="dxa"/>
            <w:tcBorders>
              <w:top w:val="single" w:sz="2" w:space="0" w:color="auto"/>
              <w:left w:val="single" w:sz="2" w:space="0" w:color="auto"/>
              <w:bottom w:val="single" w:sz="2" w:space="0" w:color="auto"/>
              <w:right w:val="single" w:sz="2" w:space="0" w:color="auto"/>
            </w:tcBorders>
            <w:vAlign w:val="center"/>
          </w:tcPr>
          <w:p w14:paraId="70D7738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157,284.25</w:t>
            </w:r>
          </w:p>
        </w:tc>
        <w:tc>
          <w:tcPr>
            <w:tcW w:w="2410" w:type="dxa"/>
            <w:tcBorders>
              <w:top w:val="single" w:sz="2" w:space="0" w:color="auto"/>
              <w:left w:val="single" w:sz="2" w:space="0" w:color="auto"/>
              <w:bottom w:val="single" w:sz="2" w:space="0" w:color="auto"/>
              <w:right w:val="single" w:sz="2" w:space="0" w:color="auto"/>
            </w:tcBorders>
            <w:vAlign w:val="center"/>
          </w:tcPr>
          <w:p w14:paraId="1478BE1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3,725,294.70</w:t>
            </w:r>
          </w:p>
        </w:tc>
      </w:tr>
      <w:tr w:rsidR="001D26E7" w:rsidRPr="00F614F9" w14:paraId="77BA1994"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54C8EF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t>生产性生物资产处置损失</w:t>
            </w:r>
          </w:p>
        </w:tc>
        <w:tc>
          <w:tcPr>
            <w:tcW w:w="2410" w:type="dxa"/>
            <w:tcBorders>
              <w:top w:val="single" w:sz="2" w:space="0" w:color="auto"/>
              <w:left w:val="single" w:sz="2" w:space="0" w:color="auto"/>
              <w:bottom w:val="single" w:sz="2" w:space="0" w:color="auto"/>
              <w:right w:val="single" w:sz="2" w:space="0" w:color="auto"/>
            </w:tcBorders>
            <w:vAlign w:val="center"/>
          </w:tcPr>
          <w:p w14:paraId="7515BF1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43,174,404.55</w:t>
            </w:r>
          </w:p>
        </w:tc>
        <w:tc>
          <w:tcPr>
            <w:tcW w:w="2410" w:type="dxa"/>
            <w:tcBorders>
              <w:top w:val="single" w:sz="2" w:space="0" w:color="auto"/>
              <w:left w:val="single" w:sz="2" w:space="0" w:color="auto"/>
              <w:bottom w:val="single" w:sz="2" w:space="0" w:color="auto"/>
              <w:right w:val="single" w:sz="2" w:space="0" w:color="auto"/>
            </w:tcBorders>
            <w:vAlign w:val="center"/>
          </w:tcPr>
          <w:p w14:paraId="5E50F759"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32E067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43,174,404.55</w:t>
            </w:r>
          </w:p>
        </w:tc>
      </w:tr>
      <w:tr w:rsidR="001D26E7" w:rsidRPr="00F614F9" w14:paraId="6D0C47F7"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9743E9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14:paraId="3B933D5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36,308,528.01</w:t>
            </w:r>
          </w:p>
        </w:tc>
        <w:tc>
          <w:tcPr>
            <w:tcW w:w="2410" w:type="dxa"/>
            <w:tcBorders>
              <w:top w:val="single" w:sz="2" w:space="0" w:color="auto"/>
              <w:left w:val="single" w:sz="2" w:space="0" w:color="auto"/>
              <w:bottom w:val="single" w:sz="2" w:space="0" w:color="auto"/>
              <w:right w:val="single" w:sz="2" w:space="0" w:color="auto"/>
            </w:tcBorders>
            <w:vAlign w:val="center"/>
          </w:tcPr>
          <w:p w14:paraId="1AA51B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5,904,505.28</w:t>
            </w:r>
          </w:p>
        </w:tc>
        <w:tc>
          <w:tcPr>
            <w:tcW w:w="2410" w:type="dxa"/>
            <w:tcBorders>
              <w:top w:val="single" w:sz="2" w:space="0" w:color="auto"/>
              <w:left w:val="single" w:sz="2" w:space="0" w:color="auto"/>
              <w:bottom w:val="single" w:sz="2" w:space="0" w:color="auto"/>
              <w:right w:val="single" w:sz="2" w:space="0" w:color="auto"/>
            </w:tcBorders>
            <w:vAlign w:val="center"/>
          </w:tcPr>
          <w:p w14:paraId="4B2888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36,308,528.01</w:t>
            </w:r>
          </w:p>
        </w:tc>
      </w:tr>
      <w:tr w:rsidR="001D26E7" w:rsidRPr="00F614F9" w14:paraId="122B2A3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B31C36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0F21CC7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83,703,864.56</w:t>
            </w:r>
          </w:p>
        </w:tc>
        <w:tc>
          <w:tcPr>
            <w:tcW w:w="2410" w:type="dxa"/>
            <w:tcBorders>
              <w:top w:val="single" w:sz="2" w:space="0" w:color="auto"/>
              <w:left w:val="single" w:sz="2" w:space="0" w:color="auto"/>
              <w:bottom w:val="single" w:sz="2" w:space="0" w:color="auto"/>
              <w:right w:val="single" w:sz="2" w:space="0" w:color="auto"/>
            </w:tcBorders>
            <w:vAlign w:val="center"/>
          </w:tcPr>
          <w:p w14:paraId="1EAEA6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12,393,757.09</w:t>
            </w:r>
          </w:p>
        </w:tc>
        <w:tc>
          <w:tcPr>
            <w:tcW w:w="2410" w:type="dxa"/>
            <w:tcBorders>
              <w:top w:val="single" w:sz="2" w:space="0" w:color="auto"/>
              <w:left w:val="single" w:sz="2" w:space="0" w:color="auto"/>
              <w:bottom w:val="single" w:sz="2" w:space="0" w:color="auto"/>
              <w:right w:val="single" w:sz="2" w:space="0" w:color="auto"/>
            </w:tcBorders>
            <w:vAlign w:val="center"/>
          </w:tcPr>
          <w:p w14:paraId="2D2C28E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83,703,864.56</w:t>
            </w:r>
          </w:p>
        </w:tc>
      </w:tr>
    </w:tbl>
    <w:p w14:paraId="1CFEA40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6FE818B4" w14:textId="77777777" w:rsidR="00872599" w:rsidRPr="00F614F9" w:rsidRDefault="00000000">
      <w:pPr>
        <w:pStyle w:val="a3"/>
        <w:divId w:val="1155341486"/>
        <w:rPr>
          <w:rFonts w:ascii="Times New Roman" w:hAnsi="Times New Roman"/>
          <w:sz w:val="18"/>
          <w:szCs w:val="18"/>
        </w:rPr>
      </w:pPr>
      <w:r w:rsidRPr="00F614F9">
        <w:rPr>
          <w:rFonts w:ascii="Times New Roman" w:hAnsi="Times New Roman" w:hint="eastAsia"/>
          <w:sz w:val="18"/>
          <w:szCs w:val="18"/>
        </w:rPr>
        <w:t>无</w:t>
      </w:r>
    </w:p>
    <w:p w14:paraId="3608A202" w14:textId="77777777" w:rsidR="001D26E7" w:rsidRPr="00F614F9" w:rsidRDefault="00000000">
      <w:pPr>
        <w:pStyle w:val="3"/>
        <w:spacing w:line="280" w:lineRule="exact"/>
        <w:jc w:val="left"/>
        <w:rPr>
          <w:rFonts w:ascii="Times New Roman" w:hAnsi="Times New Roman" w:cs="宋体"/>
          <w:b/>
          <w:bCs/>
        </w:rPr>
      </w:pPr>
      <w:bookmarkStart w:id="489" w:name="_Toc989327"/>
      <w:r w:rsidRPr="00F614F9">
        <w:rPr>
          <w:rFonts w:ascii="Times New Roman" w:hAnsi="Times New Roman" w:cs="宋体"/>
          <w:b/>
          <w:bCs/>
        </w:rPr>
        <w:t>76</w:t>
      </w:r>
      <w:r w:rsidRPr="00F614F9">
        <w:rPr>
          <w:rFonts w:ascii="Times New Roman" w:hAnsi="Times New Roman" w:cs="宋体"/>
          <w:b/>
          <w:bCs/>
        </w:rPr>
        <w:t>、所得税费用</w:t>
      </w:r>
      <w:bookmarkEnd w:id="489"/>
    </w:p>
    <w:p w14:paraId="043C00DF"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90" w:name="_Toc989328"/>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所得税费用表</w:t>
      </w:r>
      <w:bookmarkEnd w:id="490"/>
    </w:p>
    <w:p w14:paraId="0CFA0BD5"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2E7A02D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A4B34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7EC73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AE798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2B2AE56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CCE70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当期所得税费用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64C7ABF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258,999.11</w:t>
            </w:r>
          </w:p>
        </w:tc>
        <w:tc>
          <w:tcPr>
            <w:tcW w:w="3213" w:type="dxa"/>
            <w:tcBorders>
              <w:top w:val="single" w:sz="2" w:space="0" w:color="auto"/>
              <w:left w:val="single" w:sz="2" w:space="0" w:color="auto"/>
              <w:bottom w:val="single" w:sz="2" w:space="0" w:color="auto"/>
              <w:right w:val="single" w:sz="2" w:space="0" w:color="auto"/>
            </w:tcBorders>
            <w:vAlign w:val="center"/>
          </w:tcPr>
          <w:p w14:paraId="5B1E0EC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63,691.39</w:t>
            </w:r>
          </w:p>
        </w:tc>
      </w:tr>
      <w:tr w:rsidR="001D26E7" w:rsidRPr="00F614F9" w14:paraId="53ED8D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AE8D5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递延所得税费用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6E70E0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59,059,783.83</w:t>
            </w:r>
          </w:p>
        </w:tc>
        <w:tc>
          <w:tcPr>
            <w:tcW w:w="3213" w:type="dxa"/>
            <w:tcBorders>
              <w:top w:val="single" w:sz="2" w:space="0" w:color="auto"/>
              <w:left w:val="single" w:sz="2" w:space="0" w:color="auto"/>
              <w:bottom w:val="single" w:sz="2" w:space="0" w:color="auto"/>
              <w:right w:val="single" w:sz="2" w:space="0" w:color="auto"/>
            </w:tcBorders>
            <w:vAlign w:val="center"/>
          </w:tcPr>
          <w:p w14:paraId="7B645A6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11,150,225.68</w:t>
            </w:r>
          </w:p>
        </w:tc>
      </w:tr>
      <w:tr w:rsidR="001D26E7" w:rsidRPr="00F614F9" w14:paraId="5F5EDB8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B6667C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以前年度所得税费用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02A77F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-1,912,822.83</w:t>
            </w:r>
          </w:p>
        </w:tc>
        <w:tc>
          <w:tcPr>
            <w:tcW w:w="3213" w:type="dxa"/>
            <w:tcBorders>
              <w:top w:val="single" w:sz="2" w:space="0" w:color="auto"/>
              <w:left w:val="single" w:sz="2" w:space="0" w:color="auto"/>
              <w:bottom w:val="single" w:sz="2" w:space="0" w:color="auto"/>
              <w:right w:val="single" w:sz="2" w:space="0" w:color="auto"/>
            </w:tcBorders>
            <w:vAlign w:val="center"/>
          </w:tcPr>
          <w:p w14:paraId="6EDAEA63"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AB270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192C8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1CEFAE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57,405,960.11</w:t>
            </w:r>
          </w:p>
        </w:tc>
        <w:tc>
          <w:tcPr>
            <w:tcW w:w="3213" w:type="dxa"/>
            <w:tcBorders>
              <w:top w:val="single" w:sz="2" w:space="0" w:color="auto"/>
              <w:left w:val="single" w:sz="2" w:space="0" w:color="auto"/>
              <w:bottom w:val="single" w:sz="2" w:space="0" w:color="auto"/>
              <w:right w:val="single" w:sz="2" w:space="0" w:color="auto"/>
            </w:tcBorders>
            <w:vAlign w:val="center"/>
          </w:tcPr>
          <w:p w14:paraId="3C7B8BE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11,213,917.07</w:t>
            </w:r>
          </w:p>
        </w:tc>
      </w:tr>
    </w:tbl>
    <w:p w14:paraId="5AA08941"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91" w:name="_Toc989329"/>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会计利润与所得税费用调整过程</w:t>
      </w:r>
      <w:bookmarkEnd w:id="491"/>
    </w:p>
    <w:p w14:paraId="5BBE5A94"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1D26E7" w:rsidRPr="00F614F9" w14:paraId="2A47D4CC"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0A5C30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23870A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r>
      <w:tr w:rsidR="001D26E7" w:rsidRPr="00F614F9" w14:paraId="3FC58BB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0BB6D2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利润总额</w:t>
            </w:r>
          </w:p>
        </w:tc>
        <w:tc>
          <w:tcPr>
            <w:tcW w:w="4820" w:type="dxa"/>
            <w:tcBorders>
              <w:top w:val="single" w:sz="2" w:space="0" w:color="auto"/>
              <w:left w:val="single" w:sz="2" w:space="0" w:color="auto"/>
              <w:bottom w:val="single" w:sz="2" w:space="0" w:color="auto"/>
              <w:right w:val="single" w:sz="2" w:space="0" w:color="auto"/>
            </w:tcBorders>
            <w:vAlign w:val="center"/>
          </w:tcPr>
          <w:p w14:paraId="515833B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-1,426,264,199.74</w:t>
            </w:r>
          </w:p>
        </w:tc>
      </w:tr>
      <w:tr w:rsidR="001D26E7" w:rsidRPr="00F614F9" w14:paraId="247B616F"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88DABD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按法定</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适用税率计算的所得税费用</w:t>
            </w:r>
          </w:p>
        </w:tc>
        <w:tc>
          <w:tcPr>
            <w:tcW w:w="4820" w:type="dxa"/>
            <w:tcBorders>
              <w:top w:val="single" w:sz="2" w:space="0" w:color="auto"/>
              <w:left w:val="single" w:sz="2" w:space="0" w:color="auto"/>
              <w:bottom w:val="single" w:sz="2" w:space="0" w:color="auto"/>
              <w:right w:val="single" w:sz="2" w:space="0" w:color="auto"/>
            </w:tcBorders>
            <w:vAlign w:val="center"/>
          </w:tcPr>
          <w:p w14:paraId="0E0658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-356,566,049.94</w:t>
            </w:r>
          </w:p>
        </w:tc>
      </w:tr>
      <w:tr w:rsidR="001D26E7" w:rsidRPr="00F614F9" w14:paraId="7D6EFDBA"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C55A14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子公司适用不同税率的影响</w:t>
            </w:r>
          </w:p>
        </w:tc>
        <w:tc>
          <w:tcPr>
            <w:tcW w:w="4820" w:type="dxa"/>
            <w:tcBorders>
              <w:top w:val="single" w:sz="2" w:space="0" w:color="auto"/>
              <w:left w:val="single" w:sz="2" w:space="0" w:color="auto"/>
              <w:bottom w:val="single" w:sz="2" w:space="0" w:color="auto"/>
              <w:right w:val="single" w:sz="2" w:space="0" w:color="auto"/>
            </w:tcBorders>
            <w:vAlign w:val="center"/>
          </w:tcPr>
          <w:p w14:paraId="6C185B2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165,190,932.89</w:t>
            </w:r>
          </w:p>
        </w:tc>
      </w:tr>
      <w:tr w:rsidR="001D26E7" w:rsidRPr="00F614F9" w14:paraId="06618D6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608B8E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调整以前期间所得税的影响</w:t>
            </w:r>
          </w:p>
        </w:tc>
        <w:tc>
          <w:tcPr>
            <w:tcW w:w="4820" w:type="dxa"/>
            <w:tcBorders>
              <w:top w:val="single" w:sz="2" w:space="0" w:color="auto"/>
              <w:left w:val="single" w:sz="2" w:space="0" w:color="auto"/>
              <w:bottom w:val="single" w:sz="2" w:space="0" w:color="auto"/>
              <w:right w:val="single" w:sz="2" w:space="0" w:color="auto"/>
            </w:tcBorders>
            <w:vAlign w:val="center"/>
          </w:tcPr>
          <w:p w14:paraId="37A9C11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19,024.62</w:t>
            </w:r>
          </w:p>
        </w:tc>
      </w:tr>
      <w:tr w:rsidR="001D26E7" w:rsidRPr="00F614F9" w14:paraId="5574AB83"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779D65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非应税收入的影响</w:t>
            </w:r>
          </w:p>
        </w:tc>
        <w:tc>
          <w:tcPr>
            <w:tcW w:w="4820" w:type="dxa"/>
            <w:tcBorders>
              <w:top w:val="single" w:sz="2" w:space="0" w:color="auto"/>
              <w:left w:val="single" w:sz="2" w:space="0" w:color="auto"/>
              <w:bottom w:val="single" w:sz="2" w:space="0" w:color="auto"/>
              <w:right w:val="single" w:sz="2" w:space="0" w:color="auto"/>
            </w:tcBorders>
            <w:vAlign w:val="center"/>
          </w:tcPr>
          <w:p w14:paraId="4821D85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-777,588.26</w:t>
            </w:r>
          </w:p>
        </w:tc>
      </w:tr>
      <w:tr w:rsidR="001D26E7" w:rsidRPr="00F614F9" w14:paraId="27EF78CF"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7E4A5B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不可抵扣的成本、费用和损失的影响</w:t>
            </w:r>
          </w:p>
        </w:tc>
        <w:tc>
          <w:tcPr>
            <w:tcW w:w="4820" w:type="dxa"/>
            <w:tcBorders>
              <w:top w:val="single" w:sz="2" w:space="0" w:color="auto"/>
              <w:left w:val="single" w:sz="2" w:space="0" w:color="auto"/>
              <w:bottom w:val="single" w:sz="2" w:space="0" w:color="auto"/>
              <w:right w:val="single" w:sz="2" w:space="0" w:color="auto"/>
            </w:tcBorders>
            <w:vAlign w:val="center"/>
          </w:tcPr>
          <w:p w14:paraId="19B74C1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47,298,222.73</w:t>
            </w:r>
          </w:p>
        </w:tc>
      </w:tr>
      <w:tr w:rsidR="001D26E7" w:rsidRPr="00F614F9" w14:paraId="59C97BEA"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8FA5E3D" w14:textId="77777777" w:rsidR="001D26E7" w:rsidRPr="00F614F9" w:rsidRDefault="00000000">
            <w:pPr>
              <w:spacing w:before="40" w:after="40"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lastRenderedPageBreak/>
              <w:t>本期未</w:t>
            </w:r>
            <w:proofErr w:type="gramEnd"/>
            <w:r w:rsidRPr="00F614F9">
              <w:rPr>
                <w:rFonts w:ascii="Times New Roman" w:eastAsia="宋体" w:hAnsi="Times New Roman" w:cs="宋体"/>
                <w:sz w:val="18"/>
                <w:szCs w:val="18"/>
              </w:rPr>
              <w:t>确认递延所得税资产的可抵扣暂时性差异或可抵扣亏损的影响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14:paraId="27FE171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202,596,941.</w:t>
            </w:r>
            <w:r w:rsidR="006631BB">
              <w:rPr>
                <w:rFonts w:ascii="Times New Roman" w:eastAsia="宋体" w:hAnsi="Times New Roman" w:cs="宋体" w:hint="eastAsia"/>
                <w:sz w:val="18"/>
                <w:szCs w:val="18"/>
              </w:rPr>
              <w:t>59</w:t>
            </w:r>
          </w:p>
        </w:tc>
      </w:tr>
      <w:tr w:rsidR="001D26E7" w:rsidRPr="00F614F9" w14:paraId="133AFF3C"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1A3ABA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 </w:t>
            </w:r>
            <w:r w:rsidRPr="00F614F9">
              <w:rPr>
                <w:rFonts w:ascii="Times New Roman" w:eastAsia="宋体" w:hAnsi="Times New Roman" w:cs="宋体"/>
                <w:sz w:val="18"/>
                <w:szCs w:val="18"/>
              </w:rPr>
              <w:t>税率调整导致</w:t>
            </w:r>
            <w:proofErr w:type="gramStart"/>
            <w:r w:rsidRPr="00F614F9">
              <w:rPr>
                <w:rFonts w:ascii="Times New Roman" w:eastAsia="宋体" w:hAnsi="Times New Roman" w:cs="宋体"/>
                <w:sz w:val="18"/>
                <w:szCs w:val="18"/>
              </w:rPr>
              <w:t>期初递延</w:t>
            </w:r>
            <w:proofErr w:type="gramEnd"/>
            <w:r w:rsidRPr="00F614F9">
              <w:rPr>
                <w:rFonts w:ascii="Times New Roman" w:eastAsia="宋体" w:hAnsi="Times New Roman" w:cs="宋体"/>
                <w:sz w:val="18"/>
                <w:szCs w:val="18"/>
              </w:rPr>
              <w:t>所得税资产</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负债余额的变化</w:t>
            </w:r>
          </w:p>
        </w:tc>
        <w:tc>
          <w:tcPr>
            <w:tcW w:w="4820" w:type="dxa"/>
            <w:tcBorders>
              <w:top w:val="single" w:sz="2" w:space="0" w:color="auto"/>
              <w:left w:val="single" w:sz="2" w:space="0" w:color="auto"/>
              <w:bottom w:val="single" w:sz="2" w:space="0" w:color="auto"/>
              <w:right w:val="single" w:sz="2" w:space="0" w:color="auto"/>
            </w:tcBorders>
            <w:vAlign w:val="center"/>
          </w:tcPr>
          <w:p w14:paraId="1EFE0CB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-916.28</w:t>
            </w:r>
          </w:p>
        </w:tc>
      </w:tr>
      <w:tr w:rsidR="001D26E7" w:rsidRPr="00F614F9" w14:paraId="205CF2A2"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95E551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 </w:t>
            </w:r>
            <w:r w:rsidRPr="00F614F9">
              <w:rPr>
                <w:rFonts w:ascii="Times New Roman" w:eastAsia="宋体" w:hAnsi="Times New Roman" w:cs="宋体"/>
                <w:sz w:val="18"/>
                <w:szCs w:val="18"/>
              </w:rPr>
              <w:t>研发支出影响</w:t>
            </w:r>
          </w:p>
        </w:tc>
        <w:tc>
          <w:tcPr>
            <w:tcW w:w="4820" w:type="dxa"/>
            <w:tcBorders>
              <w:top w:val="single" w:sz="2" w:space="0" w:color="auto"/>
              <w:left w:val="single" w:sz="2" w:space="0" w:color="auto"/>
              <w:bottom w:val="single" w:sz="2" w:space="0" w:color="auto"/>
              <w:right w:val="single" w:sz="2" w:space="0" w:color="auto"/>
            </w:tcBorders>
            <w:vAlign w:val="center"/>
          </w:tcPr>
          <w:p w14:paraId="12F371A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-354,607.24</w:t>
            </w:r>
          </w:p>
        </w:tc>
      </w:tr>
      <w:tr w:rsidR="001D26E7" w:rsidRPr="00F614F9" w14:paraId="098C41C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8D5033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所得税费用</w:t>
            </w:r>
          </w:p>
        </w:tc>
        <w:tc>
          <w:tcPr>
            <w:tcW w:w="4820" w:type="dxa"/>
            <w:tcBorders>
              <w:top w:val="single" w:sz="2" w:space="0" w:color="auto"/>
              <w:left w:val="single" w:sz="2" w:space="0" w:color="auto"/>
              <w:bottom w:val="single" w:sz="2" w:space="0" w:color="auto"/>
              <w:right w:val="single" w:sz="2" w:space="0" w:color="auto"/>
            </w:tcBorders>
            <w:vAlign w:val="center"/>
          </w:tcPr>
          <w:p w14:paraId="0EE886E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57,405,960.11</w:t>
            </w:r>
          </w:p>
        </w:tc>
      </w:tr>
    </w:tbl>
    <w:p w14:paraId="64C464C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5D5B1F4D" w14:textId="77777777" w:rsidR="00872599" w:rsidRPr="00F614F9" w:rsidRDefault="00000000">
      <w:pPr>
        <w:pStyle w:val="a3"/>
        <w:divId w:val="578179680"/>
        <w:rPr>
          <w:rFonts w:ascii="Times New Roman" w:hAnsi="Times New Roman"/>
          <w:sz w:val="18"/>
          <w:szCs w:val="18"/>
        </w:rPr>
      </w:pPr>
      <w:r w:rsidRPr="00F614F9">
        <w:rPr>
          <w:rFonts w:ascii="Times New Roman" w:hAnsi="Times New Roman" w:hint="eastAsia"/>
          <w:sz w:val="18"/>
          <w:szCs w:val="18"/>
        </w:rPr>
        <w:t>无</w:t>
      </w:r>
    </w:p>
    <w:p w14:paraId="0BCCB43A" w14:textId="77777777" w:rsidR="001D26E7" w:rsidRPr="00F614F9" w:rsidRDefault="00000000">
      <w:pPr>
        <w:pStyle w:val="3"/>
        <w:spacing w:line="280" w:lineRule="exact"/>
        <w:jc w:val="left"/>
        <w:rPr>
          <w:rFonts w:ascii="Times New Roman" w:hAnsi="Times New Roman" w:cs="宋体"/>
          <w:b/>
          <w:bCs/>
        </w:rPr>
      </w:pPr>
      <w:bookmarkStart w:id="492" w:name="_Toc989330"/>
      <w:r w:rsidRPr="00F614F9">
        <w:rPr>
          <w:rFonts w:ascii="Times New Roman" w:hAnsi="Times New Roman" w:cs="宋体"/>
          <w:b/>
          <w:bCs/>
        </w:rPr>
        <w:t>77</w:t>
      </w:r>
      <w:r w:rsidRPr="00F614F9">
        <w:rPr>
          <w:rFonts w:ascii="Times New Roman" w:hAnsi="Times New Roman" w:cs="宋体"/>
          <w:b/>
          <w:bCs/>
        </w:rPr>
        <w:t>、其他综合收益</w:t>
      </w:r>
      <w:bookmarkEnd w:id="492"/>
    </w:p>
    <w:p w14:paraId="472AD41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详见附注七、</w:t>
      </w:r>
      <w:r w:rsidRPr="00F614F9">
        <w:rPr>
          <w:rFonts w:ascii="Times New Roman" w:eastAsia="宋体" w:hAnsi="Times New Roman" w:cs="宋体"/>
          <w:sz w:val="18"/>
          <w:szCs w:val="18"/>
        </w:rPr>
        <w:t>57</w:t>
      </w:r>
      <w:r w:rsidRPr="00F614F9">
        <w:rPr>
          <w:rFonts w:ascii="Times New Roman" w:eastAsia="宋体" w:hAnsi="Times New Roman" w:cs="宋体"/>
          <w:sz w:val="18"/>
          <w:szCs w:val="18"/>
        </w:rPr>
        <w:t>。</w:t>
      </w:r>
    </w:p>
    <w:p w14:paraId="5117209D" w14:textId="77777777" w:rsidR="001D26E7" w:rsidRPr="00F614F9" w:rsidRDefault="00000000">
      <w:pPr>
        <w:pStyle w:val="3"/>
        <w:spacing w:line="280" w:lineRule="exact"/>
        <w:jc w:val="left"/>
        <w:rPr>
          <w:rFonts w:ascii="Times New Roman" w:hAnsi="Times New Roman" w:cs="宋体"/>
          <w:b/>
          <w:bCs/>
        </w:rPr>
      </w:pPr>
      <w:bookmarkStart w:id="493" w:name="_Toc989331"/>
      <w:r w:rsidRPr="00F614F9">
        <w:rPr>
          <w:rFonts w:ascii="Times New Roman" w:hAnsi="Times New Roman" w:cs="宋体"/>
          <w:b/>
          <w:bCs/>
        </w:rPr>
        <w:t>78</w:t>
      </w:r>
      <w:r w:rsidRPr="00F614F9">
        <w:rPr>
          <w:rFonts w:ascii="Times New Roman" w:hAnsi="Times New Roman" w:cs="宋体"/>
          <w:b/>
          <w:bCs/>
        </w:rPr>
        <w:t>、现金流量表项目</w:t>
      </w:r>
      <w:bookmarkEnd w:id="493"/>
    </w:p>
    <w:p w14:paraId="7F4B11F4"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94" w:name="_Toc989332"/>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与经营活动有关的现金</w:t>
      </w:r>
      <w:bookmarkEnd w:id="494"/>
    </w:p>
    <w:p w14:paraId="7DFCC58F"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收到的其他与经营活动有关的现金</w:t>
      </w:r>
    </w:p>
    <w:p w14:paraId="6533EBF8"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2E4540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F06E0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B9A95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A2E55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4EC004A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1BFBF6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241FBE6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32,322,985.19</w:t>
            </w:r>
          </w:p>
        </w:tc>
        <w:tc>
          <w:tcPr>
            <w:tcW w:w="3213" w:type="dxa"/>
            <w:tcBorders>
              <w:top w:val="single" w:sz="2" w:space="0" w:color="auto"/>
              <w:left w:val="single" w:sz="2" w:space="0" w:color="auto"/>
              <w:bottom w:val="single" w:sz="2" w:space="0" w:color="auto"/>
              <w:right w:val="single" w:sz="2" w:space="0" w:color="auto"/>
            </w:tcBorders>
            <w:vAlign w:val="center"/>
          </w:tcPr>
          <w:p w14:paraId="70D8F87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36,783,350.12</w:t>
            </w:r>
          </w:p>
        </w:tc>
      </w:tr>
      <w:tr w:rsidR="001D26E7" w:rsidRPr="00F614F9" w14:paraId="66A7EFD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77E7ED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政府补贴</w:t>
            </w:r>
          </w:p>
        </w:tc>
        <w:tc>
          <w:tcPr>
            <w:tcW w:w="3213" w:type="dxa"/>
            <w:tcBorders>
              <w:top w:val="single" w:sz="2" w:space="0" w:color="auto"/>
              <w:left w:val="single" w:sz="2" w:space="0" w:color="auto"/>
              <w:bottom w:val="single" w:sz="2" w:space="0" w:color="auto"/>
              <w:right w:val="single" w:sz="2" w:space="0" w:color="auto"/>
            </w:tcBorders>
            <w:vAlign w:val="center"/>
          </w:tcPr>
          <w:p w14:paraId="0AD3C1B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20,549,669.33</w:t>
            </w:r>
          </w:p>
        </w:tc>
        <w:tc>
          <w:tcPr>
            <w:tcW w:w="3213" w:type="dxa"/>
            <w:tcBorders>
              <w:top w:val="single" w:sz="2" w:space="0" w:color="auto"/>
              <w:left w:val="single" w:sz="2" w:space="0" w:color="auto"/>
              <w:bottom w:val="single" w:sz="2" w:space="0" w:color="auto"/>
              <w:right w:val="single" w:sz="2" w:space="0" w:color="auto"/>
            </w:tcBorders>
            <w:vAlign w:val="center"/>
          </w:tcPr>
          <w:p w14:paraId="78BC30C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29,967,894.19</w:t>
            </w:r>
          </w:p>
        </w:tc>
      </w:tr>
      <w:tr w:rsidR="001D26E7" w:rsidRPr="00F614F9" w14:paraId="0AD3C16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3A9427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押金和保证金</w:t>
            </w:r>
          </w:p>
        </w:tc>
        <w:tc>
          <w:tcPr>
            <w:tcW w:w="3213" w:type="dxa"/>
            <w:tcBorders>
              <w:top w:val="single" w:sz="2" w:space="0" w:color="auto"/>
              <w:left w:val="single" w:sz="2" w:space="0" w:color="auto"/>
              <w:bottom w:val="single" w:sz="2" w:space="0" w:color="auto"/>
              <w:right w:val="single" w:sz="2" w:space="0" w:color="auto"/>
            </w:tcBorders>
            <w:vAlign w:val="center"/>
          </w:tcPr>
          <w:p w14:paraId="1F67483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90,950,649.94</w:t>
            </w:r>
          </w:p>
        </w:tc>
        <w:tc>
          <w:tcPr>
            <w:tcW w:w="3213" w:type="dxa"/>
            <w:tcBorders>
              <w:top w:val="single" w:sz="2" w:space="0" w:color="auto"/>
              <w:left w:val="single" w:sz="2" w:space="0" w:color="auto"/>
              <w:bottom w:val="single" w:sz="2" w:space="0" w:color="auto"/>
              <w:right w:val="single" w:sz="2" w:space="0" w:color="auto"/>
            </w:tcBorders>
            <w:vAlign w:val="center"/>
          </w:tcPr>
          <w:p w14:paraId="5849306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71,099,630.09</w:t>
            </w:r>
          </w:p>
        </w:tc>
      </w:tr>
      <w:tr w:rsidR="001D26E7" w:rsidRPr="00F614F9" w14:paraId="7CE2630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8AE82C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备用金等</w:t>
            </w:r>
          </w:p>
        </w:tc>
        <w:tc>
          <w:tcPr>
            <w:tcW w:w="3213" w:type="dxa"/>
            <w:tcBorders>
              <w:top w:val="single" w:sz="2" w:space="0" w:color="auto"/>
              <w:left w:val="single" w:sz="2" w:space="0" w:color="auto"/>
              <w:bottom w:val="single" w:sz="2" w:space="0" w:color="auto"/>
              <w:right w:val="single" w:sz="2" w:space="0" w:color="auto"/>
            </w:tcBorders>
            <w:vAlign w:val="center"/>
          </w:tcPr>
          <w:p w14:paraId="59DBCC4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79,089,331.82</w:t>
            </w:r>
          </w:p>
        </w:tc>
        <w:tc>
          <w:tcPr>
            <w:tcW w:w="3213" w:type="dxa"/>
            <w:tcBorders>
              <w:top w:val="single" w:sz="2" w:space="0" w:color="auto"/>
              <w:left w:val="single" w:sz="2" w:space="0" w:color="auto"/>
              <w:bottom w:val="single" w:sz="2" w:space="0" w:color="auto"/>
              <w:right w:val="single" w:sz="2" w:space="0" w:color="auto"/>
            </w:tcBorders>
            <w:vAlign w:val="center"/>
          </w:tcPr>
          <w:p w14:paraId="6038C4C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21,854,496.49</w:t>
            </w:r>
          </w:p>
        </w:tc>
      </w:tr>
      <w:tr w:rsidR="001D26E7" w:rsidRPr="00F614F9" w14:paraId="650E1BF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FE081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38940A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222,912,636.28</w:t>
            </w:r>
          </w:p>
        </w:tc>
        <w:tc>
          <w:tcPr>
            <w:tcW w:w="3213" w:type="dxa"/>
            <w:tcBorders>
              <w:top w:val="single" w:sz="2" w:space="0" w:color="auto"/>
              <w:left w:val="single" w:sz="2" w:space="0" w:color="auto"/>
              <w:bottom w:val="single" w:sz="2" w:space="0" w:color="auto"/>
              <w:right w:val="single" w:sz="2" w:space="0" w:color="auto"/>
            </w:tcBorders>
            <w:vAlign w:val="center"/>
          </w:tcPr>
          <w:p w14:paraId="13815E5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159,705,370.89</w:t>
            </w:r>
          </w:p>
        </w:tc>
      </w:tr>
    </w:tbl>
    <w:p w14:paraId="6954523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收到的其他与经营活动有关的现金说明：</w:t>
      </w:r>
    </w:p>
    <w:p w14:paraId="62E3B0C5" w14:textId="77777777" w:rsidR="00872599" w:rsidRPr="00F614F9" w:rsidRDefault="00000000">
      <w:pPr>
        <w:pStyle w:val="a3"/>
        <w:divId w:val="496002309"/>
        <w:rPr>
          <w:rFonts w:ascii="Times New Roman" w:hAnsi="Times New Roman"/>
          <w:sz w:val="18"/>
          <w:szCs w:val="18"/>
        </w:rPr>
      </w:pPr>
      <w:r w:rsidRPr="00F614F9">
        <w:rPr>
          <w:rFonts w:ascii="Times New Roman" w:hAnsi="Times New Roman" w:hint="eastAsia"/>
          <w:sz w:val="18"/>
          <w:szCs w:val="18"/>
        </w:rPr>
        <w:t>无</w:t>
      </w:r>
    </w:p>
    <w:p w14:paraId="540161C3"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支付的其他与经营活动有关的现金</w:t>
      </w:r>
    </w:p>
    <w:p w14:paraId="54105AC4"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4370E05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7704B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FDCA4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47180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6E06DB2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C5C2F5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管理费用支出</w:t>
            </w:r>
          </w:p>
        </w:tc>
        <w:tc>
          <w:tcPr>
            <w:tcW w:w="3213" w:type="dxa"/>
            <w:tcBorders>
              <w:top w:val="single" w:sz="2" w:space="0" w:color="auto"/>
              <w:left w:val="single" w:sz="2" w:space="0" w:color="auto"/>
              <w:bottom w:val="single" w:sz="2" w:space="0" w:color="auto"/>
              <w:right w:val="single" w:sz="2" w:space="0" w:color="auto"/>
            </w:tcBorders>
            <w:vAlign w:val="center"/>
          </w:tcPr>
          <w:p w14:paraId="579026F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80,095,868.16</w:t>
            </w:r>
          </w:p>
        </w:tc>
        <w:tc>
          <w:tcPr>
            <w:tcW w:w="3213" w:type="dxa"/>
            <w:tcBorders>
              <w:top w:val="single" w:sz="2" w:space="0" w:color="auto"/>
              <w:left w:val="single" w:sz="2" w:space="0" w:color="auto"/>
              <w:bottom w:val="single" w:sz="2" w:space="0" w:color="auto"/>
              <w:right w:val="single" w:sz="2" w:space="0" w:color="auto"/>
            </w:tcBorders>
            <w:vAlign w:val="center"/>
          </w:tcPr>
          <w:p w14:paraId="5033CB3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74,895,848.90</w:t>
            </w:r>
          </w:p>
        </w:tc>
      </w:tr>
      <w:tr w:rsidR="001D26E7" w:rsidRPr="00F614F9" w14:paraId="0545B7B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8119A5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销售费用支出</w:t>
            </w:r>
          </w:p>
        </w:tc>
        <w:tc>
          <w:tcPr>
            <w:tcW w:w="3213" w:type="dxa"/>
            <w:tcBorders>
              <w:top w:val="single" w:sz="2" w:space="0" w:color="auto"/>
              <w:left w:val="single" w:sz="2" w:space="0" w:color="auto"/>
              <w:bottom w:val="single" w:sz="2" w:space="0" w:color="auto"/>
              <w:right w:val="single" w:sz="2" w:space="0" w:color="auto"/>
            </w:tcBorders>
            <w:vAlign w:val="center"/>
          </w:tcPr>
          <w:p w14:paraId="765BDB1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70,437,183.29</w:t>
            </w:r>
          </w:p>
        </w:tc>
        <w:tc>
          <w:tcPr>
            <w:tcW w:w="3213" w:type="dxa"/>
            <w:tcBorders>
              <w:top w:val="single" w:sz="2" w:space="0" w:color="auto"/>
              <w:left w:val="single" w:sz="2" w:space="0" w:color="auto"/>
              <w:bottom w:val="single" w:sz="2" w:space="0" w:color="auto"/>
              <w:right w:val="single" w:sz="2" w:space="0" w:color="auto"/>
            </w:tcBorders>
            <w:vAlign w:val="center"/>
          </w:tcPr>
          <w:p w14:paraId="3CF1047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67,965,118.23</w:t>
            </w:r>
          </w:p>
        </w:tc>
      </w:tr>
      <w:tr w:rsidR="001D26E7" w:rsidRPr="00F614F9" w14:paraId="38A74A7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EA63AA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财务费用支出</w:t>
            </w:r>
          </w:p>
        </w:tc>
        <w:tc>
          <w:tcPr>
            <w:tcW w:w="3213" w:type="dxa"/>
            <w:tcBorders>
              <w:top w:val="single" w:sz="2" w:space="0" w:color="auto"/>
              <w:left w:val="single" w:sz="2" w:space="0" w:color="auto"/>
              <w:bottom w:val="single" w:sz="2" w:space="0" w:color="auto"/>
              <w:right w:val="single" w:sz="2" w:space="0" w:color="auto"/>
            </w:tcBorders>
            <w:vAlign w:val="center"/>
          </w:tcPr>
          <w:p w14:paraId="2A24071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1,128,302.82</w:t>
            </w:r>
          </w:p>
        </w:tc>
        <w:tc>
          <w:tcPr>
            <w:tcW w:w="3213" w:type="dxa"/>
            <w:tcBorders>
              <w:top w:val="single" w:sz="2" w:space="0" w:color="auto"/>
              <w:left w:val="single" w:sz="2" w:space="0" w:color="auto"/>
              <w:bottom w:val="single" w:sz="2" w:space="0" w:color="auto"/>
              <w:right w:val="single" w:sz="2" w:space="0" w:color="auto"/>
            </w:tcBorders>
            <w:vAlign w:val="center"/>
          </w:tcPr>
          <w:p w14:paraId="43308D3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816,487.91</w:t>
            </w:r>
          </w:p>
        </w:tc>
      </w:tr>
      <w:tr w:rsidR="001D26E7" w:rsidRPr="00F614F9" w14:paraId="4353F1A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4E12B0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捐赠支出</w:t>
            </w:r>
          </w:p>
        </w:tc>
        <w:tc>
          <w:tcPr>
            <w:tcW w:w="3213" w:type="dxa"/>
            <w:tcBorders>
              <w:top w:val="single" w:sz="2" w:space="0" w:color="auto"/>
              <w:left w:val="single" w:sz="2" w:space="0" w:color="auto"/>
              <w:bottom w:val="single" w:sz="2" w:space="0" w:color="auto"/>
              <w:right w:val="single" w:sz="2" w:space="0" w:color="auto"/>
            </w:tcBorders>
            <w:vAlign w:val="center"/>
          </w:tcPr>
          <w:p w14:paraId="4D3D477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197,200.00</w:t>
            </w:r>
          </w:p>
        </w:tc>
        <w:tc>
          <w:tcPr>
            <w:tcW w:w="3213" w:type="dxa"/>
            <w:tcBorders>
              <w:top w:val="single" w:sz="2" w:space="0" w:color="auto"/>
              <w:left w:val="single" w:sz="2" w:space="0" w:color="auto"/>
              <w:bottom w:val="single" w:sz="2" w:space="0" w:color="auto"/>
              <w:right w:val="single" w:sz="2" w:space="0" w:color="auto"/>
            </w:tcBorders>
            <w:vAlign w:val="center"/>
          </w:tcPr>
          <w:p w14:paraId="42EAC35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4,927,740.00</w:t>
            </w:r>
          </w:p>
        </w:tc>
      </w:tr>
      <w:tr w:rsidR="001D26E7" w:rsidRPr="00F614F9" w14:paraId="02F5BED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669D3A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押金、保证金等其他支出</w:t>
            </w:r>
          </w:p>
        </w:tc>
        <w:tc>
          <w:tcPr>
            <w:tcW w:w="3213" w:type="dxa"/>
            <w:tcBorders>
              <w:top w:val="single" w:sz="2" w:space="0" w:color="auto"/>
              <w:left w:val="single" w:sz="2" w:space="0" w:color="auto"/>
              <w:bottom w:val="single" w:sz="2" w:space="0" w:color="auto"/>
              <w:right w:val="single" w:sz="2" w:space="0" w:color="auto"/>
            </w:tcBorders>
            <w:vAlign w:val="center"/>
          </w:tcPr>
          <w:p w14:paraId="24EA8F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167,828,739.51</w:t>
            </w:r>
          </w:p>
        </w:tc>
        <w:tc>
          <w:tcPr>
            <w:tcW w:w="3213" w:type="dxa"/>
            <w:tcBorders>
              <w:top w:val="single" w:sz="2" w:space="0" w:color="auto"/>
              <w:left w:val="single" w:sz="2" w:space="0" w:color="auto"/>
              <w:bottom w:val="single" w:sz="2" w:space="0" w:color="auto"/>
              <w:right w:val="single" w:sz="2" w:space="0" w:color="auto"/>
            </w:tcBorders>
            <w:vAlign w:val="center"/>
          </w:tcPr>
          <w:p w14:paraId="558C506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147,378,183.93</w:t>
            </w:r>
          </w:p>
        </w:tc>
      </w:tr>
      <w:tr w:rsidR="001D26E7" w:rsidRPr="00F614F9" w14:paraId="5A32FC3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A7DB4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A943F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319,687,293.78</w:t>
            </w:r>
          </w:p>
        </w:tc>
        <w:tc>
          <w:tcPr>
            <w:tcW w:w="3213" w:type="dxa"/>
            <w:tcBorders>
              <w:top w:val="single" w:sz="2" w:space="0" w:color="auto"/>
              <w:left w:val="single" w:sz="2" w:space="0" w:color="auto"/>
              <w:bottom w:val="single" w:sz="2" w:space="0" w:color="auto"/>
              <w:right w:val="single" w:sz="2" w:space="0" w:color="auto"/>
            </w:tcBorders>
            <w:vAlign w:val="center"/>
          </w:tcPr>
          <w:p w14:paraId="345273D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295,983,378.97</w:t>
            </w:r>
          </w:p>
        </w:tc>
      </w:tr>
    </w:tbl>
    <w:p w14:paraId="710370A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支付的其他与经营活动有关的现金说明：</w:t>
      </w:r>
    </w:p>
    <w:p w14:paraId="2C065F63" w14:textId="77777777" w:rsidR="00872599" w:rsidRPr="00F614F9" w:rsidRDefault="00000000">
      <w:pPr>
        <w:pStyle w:val="a3"/>
        <w:divId w:val="1325671195"/>
        <w:rPr>
          <w:rFonts w:ascii="Times New Roman" w:hAnsi="Times New Roman"/>
          <w:sz w:val="18"/>
          <w:szCs w:val="18"/>
        </w:rPr>
      </w:pPr>
      <w:r w:rsidRPr="00F614F9">
        <w:rPr>
          <w:rFonts w:ascii="Times New Roman" w:hAnsi="Times New Roman" w:hint="eastAsia"/>
          <w:sz w:val="18"/>
          <w:szCs w:val="18"/>
        </w:rPr>
        <w:t>无</w:t>
      </w:r>
    </w:p>
    <w:p w14:paraId="0B8617D5"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95" w:name="_Toc989333"/>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与投资活动有关的现金</w:t>
      </w:r>
      <w:bookmarkEnd w:id="495"/>
    </w:p>
    <w:p w14:paraId="324D0911" w14:textId="77777777" w:rsidR="00872599" w:rsidRPr="00F614F9" w:rsidRDefault="00000000">
      <w:pPr>
        <w:pStyle w:val="a3"/>
        <w:divId w:val="2093430983"/>
        <w:rPr>
          <w:rFonts w:ascii="Times New Roman" w:hAnsi="Times New Roman"/>
          <w:sz w:val="18"/>
          <w:szCs w:val="18"/>
        </w:rPr>
      </w:pPr>
      <w:r w:rsidRPr="00F614F9">
        <w:rPr>
          <w:rFonts w:ascii="Times New Roman" w:hAnsi="Times New Roman" w:hint="eastAsia"/>
          <w:sz w:val="18"/>
          <w:szCs w:val="18"/>
        </w:rPr>
        <w:t>无</w:t>
      </w:r>
    </w:p>
    <w:p w14:paraId="50619DFA"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96" w:name="_Toc989334"/>
      <w:r w:rsidRPr="00F614F9">
        <w:rPr>
          <w:rFonts w:ascii="Times New Roman" w:eastAsia="宋体" w:hAnsi="Times New Roman" w:cs="宋体"/>
          <w:b/>
          <w:bCs/>
          <w:szCs w:val="21"/>
        </w:rPr>
        <w:lastRenderedPageBreak/>
        <w:t>（</w:t>
      </w:r>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与筹资活动有关的现金</w:t>
      </w:r>
      <w:bookmarkEnd w:id="496"/>
    </w:p>
    <w:p w14:paraId="4BF660A1"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收到的其他与筹资活动有关的现金</w:t>
      </w:r>
    </w:p>
    <w:p w14:paraId="45E5CE0A"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414960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1E2F6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0D26C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94BDF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4B80BC6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711E81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融资租赁款</w:t>
            </w:r>
          </w:p>
        </w:tc>
        <w:tc>
          <w:tcPr>
            <w:tcW w:w="3213" w:type="dxa"/>
            <w:tcBorders>
              <w:top w:val="single" w:sz="2" w:space="0" w:color="auto"/>
              <w:left w:val="single" w:sz="2" w:space="0" w:color="auto"/>
              <w:bottom w:val="single" w:sz="2" w:space="0" w:color="auto"/>
              <w:right w:val="single" w:sz="2" w:space="0" w:color="auto"/>
            </w:tcBorders>
            <w:vAlign w:val="center"/>
          </w:tcPr>
          <w:p w14:paraId="4502811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50,000,000.00</w:t>
            </w:r>
          </w:p>
        </w:tc>
        <w:tc>
          <w:tcPr>
            <w:tcW w:w="3213" w:type="dxa"/>
            <w:tcBorders>
              <w:top w:val="single" w:sz="2" w:space="0" w:color="auto"/>
              <w:left w:val="single" w:sz="2" w:space="0" w:color="auto"/>
              <w:bottom w:val="single" w:sz="2" w:space="0" w:color="auto"/>
              <w:right w:val="single" w:sz="2" w:space="0" w:color="auto"/>
            </w:tcBorders>
            <w:vAlign w:val="center"/>
          </w:tcPr>
          <w:p w14:paraId="0C203AE9"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5AA898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4C8D1B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票据、供应链融资收款</w:t>
            </w:r>
          </w:p>
        </w:tc>
        <w:tc>
          <w:tcPr>
            <w:tcW w:w="3213" w:type="dxa"/>
            <w:tcBorders>
              <w:top w:val="single" w:sz="2" w:space="0" w:color="auto"/>
              <w:left w:val="single" w:sz="2" w:space="0" w:color="auto"/>
              <w:bottom w:val="single" w:sz="2" w:space="0" w:color="auto"/>
              <w:right w:val="single" w:sz="2" w:space="0" w:color="auto"/>
            </w:tcBorders>
            <w:vAlign w:val="center"/>
          </w:tcPr>
          <w:p w14:paraId="47228E4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1,405,322,585.49</w:t>
            </w:r>
          </w:p>
        </w:tc>
        <w:tc>
          <w:tcPr>
            <w:tcW w:w="3213" w:type="dxa"/>
            <w:tcBorders>
              <w:top w:val="single" w:sz="2" w:space="0" w:color="auto"/>
              <w:left w:val="single" w:sz="2" w:space="0" w:color="auto"/>
              <w:bottom w:val="single" w:sz="2" w:space="0" w:color="auto"/>
              <w:right w:val="single" w:sz="2" w:space="0" w:color="auto"/>
            </w:tcBorders>
            <w:vAlign w:val="center"/>
          </w:tcPr>
          <w:p w14:paraId="13B945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850,043,520.53</w:t>
            </w:r>
          </w:p>
        </w:tc>
      </w:tr>
      <w:tr w:rsidR="001D26E7" w:rsidRPr="00F614F9" w14:paraId="15DDE6C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6AA25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7E3849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1,455,322,585.49</w:t>
            </w:r>
          </w:p>
        </w:tc>
        <w:tc>
          <w:tcPr>
            <w:tcW w:w="3213" w:type="dxa"/>
            <w:tcBorders>
              <w:top w:val="single" w:sz="2" w:space="0" w:color="auto"/>
              <w:left w:val="single" w:sz="2" w:space="0" w:color="auto"/>
              <w:bottom w:val="single" w:sz="2" w:space="0" w:color="auto"/>
              <w:right w:val="single" w:sz="2" w:space="0" w:color="auto"/>
            </w:tcBorders>
            <w:vAlign w:val="center"/>
          </w:tcPr>
          <w:p w14:paraId="5E62F85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850,043,520.53</w:t>
            </w:r>
          </w:p>
        </w:tc>
      </w:tr>
    </w:tbl>
    <w:p w14:paraId="7CEAB9C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收到的其他与筹资活动有关的现金说明：</w:t>
      </w:r>
    </w:p>
    <w:p w14:paraId="53E5F98F" w14:textId="77777777" w:rsidR="00872599" w:rsidRPr="00F614F9" w:rsidRDefault="00000000">
      <w:pPr>
        <w:pStyle w:val="a3"/>
        <w:divId w:val="862013637"/>
        <w:rPr>
          <w:rFonts w:ascii="Times New Roman" w:hAnsi="Times New Roman"/>
          <w:sz w:val="18"/>
          <w:szCs w:val="18"/>
        </w:rPr>
      </w:pPr>
      <w:r w:rsidRPr="00F614F9">
        <w:rPr>
          <w:rFonts w:ascii="Times New Roman" w:hAnsi="Times New Roman" w:hint="eastAsia"/>
          <w:sz w:val="18"/>
          <w:szCs w:val="18"/>
        </w:rPr>
        <w:t>无</w:t>
      </w:r>
    </w:p>
    <w:p w14:paraId="38A3BCF0"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支付的其他与筹资活动有关的现金</w:t>
      </w:r>
    </w:p>
    <w:p w14:paraId="7C9422CB"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25F503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07BD4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F45C0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7B443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0C657B2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3A2283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限制性股票回购款</w:t>
            </w:r>
          </w:p>
        </w:tc>
        <w:tc>
          <w:tcPr>
            <w:tcW w:w="3213" w:type="dxa"/>
            <w:tcBorders>
              <w:top w:val="single" w:sz="2" w:space="0" w:color="auto"/>
              <w:left w:val="single" w:sz="2" w:space="0" w:color="auto"/>
              <w:bottom w:val="single" w:sz="2" w:space="0" w:color="auto"/>
              <w:right w:val="single" w:sz="2" w:space="0" w:color="auto"/>
            </w:tcBorders>
            <w:vAlign w:val="center"/>
          </w:tcPr>
          <w:p w14:paraId="3EEE04F9"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C419E5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15,421,959.02</w:t>
            </w:r>
          </w:p>
        </w:tc>
      </w:tr>
      <w:tr w:rsidR="001D26E7" w:rsidRPr="00F614F9" w14:paraId="5269944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C325C7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支付的租赁负债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2311034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10,404,339.87</w:t>
            </w:r>
          </w:p>
        </w:tc>
        <w:tc>
          <w:tcPr>
            <w:tcW w:w="3213" w:type="dxa"/>
            <w:tcBorders>
              <w:top w:val="single" w:sz="2" w:space="0" w:color="auto"/>
              <w:left w:val="single" w:sz="2" w:space="0" w:color="auto"/>
              <w:bottom w:val="single" w:sz="2" w:space="0" w:color="auto"/>
              <w:right w:val="single" w:sz="2" w:space="0" w:color="auto"/>
            </w:tcBorders>
            <w:vAlign w:val="center"/>
          </w:tcPr>
          <w:p w14:paraId="5EB7F61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16,160,898.18</w:t>
            </w:r>
          </w:p>
        </w:tc>
      </w:tr>
      <w:tr w:rsidR="001D26E7" w:rsidRPr="00F614F9" w14:paraId="76458C4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769FDD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其他融资费用</w:t>
            </w:r>
          </w:p>
        </w:tc>
        <w:tc>
          <w:tcPr>
            <w:tcW w:w="3213" w:type="dxa"/>
            <w:tcBorders>
              <w:top w:val="single" w:sz="2" w:space="0" w:color="auto"/>
              <w:left w:val="single" w:sz="2" w:space="0" w:color="auto"/>
              <w:bottom w:val="single" w:sz="2" w:space="0" w:color="auto"/>
              <w:right w:val="single" w:sz="2" w:space="0" w:color="auto"/>
            </w:tcBorders>
            <w:vAlign w:val="center"/>
          </w:tcPr>
          <w:p w14:paraId="783B4A8F"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5A8580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25,000.00</w:t>
            </w:r>
          </w:p>
        </w:tc>
      </w:tr>
      <w:tr w:rsidR="001D26E7" w:rsidRPr="00F614F9" w14:paraId="750B123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522B50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库存股回购款</w:t>
            </w:r>
          </w:p>
        </w:tc>
        <w:tc>
          <w:tcPr>
            <w:tcW w:w="3213" w:type="dxa"/>
            <w:tcBorders>
              <w:top w:val="single" w:sz="2" w:space="0" w:color="auto"/>
              <w:left w:val="single" w:sz="2" w:space="0" w:color="auto"/>
              <w:bottom w:val="single" w:sz="2" w:space="0" w:color="auto"/>
              <w:right w:val="single" w:sz="2" w:space="0" w:color="auto"/>
            </w:tcBorders>
            <w:vAlign w:val="center"/>
          </w:tcPr>
          <w:p w14:paraId="7F8729C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280,035,686.56</w:t>
            </w:r>
          </w:p>
        </w:tc>
        <w:tc>
          <w:tcPr>
            <w:tcW w:w="3213" w:type="dxa"/>
            <w:tcBorders>
              <w:top w:val="single" w:sz="2" w:space="0" w:color="auto"/>
              <w:left w:val="single" w:sz="2" w:space="0" w:color="auto"/>
              <w:bottom w:val="single" w:sz="2" w:space="0" w:color="auto"/>
              <w:right w:val="single" w:sz="2" w:space="0" w:color="auto"/>
            </w:tcBorders>
            <w:vAlign w:val="center"/>
          </w:tcPr>
          <w:p w14:paraId="7F5B850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50,004,865.49</w:t>
            </w:r>
          </w:p>
        </w:tc>
      </w:tr>
      <w:tr w:rsidR="001D26E7" w:rsidRPr="00F614F9" w14:paraId="18F666C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4C6BC7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支付融资租赁款</w:t>
            </w:r>
          </w:p>
        </w:tc>
        <w:tc>
          <w:tcPr>
            <w:tcW w:w="3213" w:type="dxa"/>
            <w:tcBorders>
              <w:top w:val="single" w:sz="2" w:space="0" w:color="auto"/>
              <w:left w:val="single" w:sz="2" w:space="0" w:color="auto"/>
              <w:bottom w:val="single" w:sz="2" w:space="0" w:color="auto"/>
              <w:right w:val="single" w:sz="2" w:space="0" w:color="auto"/>
            </w:tcBorders>
            <w:vAlign w:val="center"/>
          </w:tcPr>
          <w:p w14:paraId="173A190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5,280,285.62</w:t>
            </w:r>
          </w:p>
        </w:tc>
        <w:tc>
          <w:tcPr>
            <w:tcW w:w="3213" w:type="dxa"/>
            <w:tcBorders>
              <w:top w:val="single" w:sz="2" w:space="0" w:color="auto"/>
              <w:left w:val="single" w:sz="2" w:space="0" w:color="auto"/>
              <w:bottom w:val="single" w:sz="2" w:space="0" w:color="auto"/>
              <w:right w:val="single" w:sz="2" w:space="0" w:color="auto"/>
            </w:tcBorders>
            <w:vAlign w:val="center"/>
          </w:tcPr>
          <w:p w14:paraId="2ADDC5B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4,584,142.87</w:t>
            </w:r>
          </w:p>
        </w:tc>
      </w:tr>
      <w:tr w:rsidR="001D26E7" w:rsidRPr="00F614F9" w14:paraId="320C7A9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FD1B8B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借款保证金</w:t>
            </w:r>
          </w:p>
        </w:tc>
        <w:tc>
          <w:tcPr>
            <w:tcW w:w="3213" w:type="dxa"/>
            <w:tcBorders>
              <w:top w:val="single" w:sz="2" w:space="0" w:color="auto"/>
              <w:left w:val="single" w:sz="2" w:space="0" w:color="auto"/>
              <w:bottom w:val="single" w:sz="2" w:space="0" w:color="auto"/>
              <w:right w:val="single" w:sz="2" w:space="0" w:color="auto"/>
            </w:tcBorders>
            <w:vAlign w:val="center"/>
          </w:tcPr>
          <w:p w14:paraId="6BA7DE7A"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0EEFA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2.00</w:t>
            </w:r>
          </w:p>
        </w:tc>
      </w:tr>
      <w:tr w:rsidR="001D26E7" w:rsidRPr="00F614F9" w14:paraId="4CACC96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3C6B63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票据、供应链融资付款</w:t>
            </w:r>
          </w:p>
        </w:tc>
        <w:tc>
          <w:tcPr>
            <w:tcW w:w="3213" w:type="dxa"/>
            <w:tcBorders>
              <w:top w:val="single" w:sz="2" w:space="0" w:color="auto"/>
              <w:left w:val="single" w:sz="2" w:space="0" w:color="auto"/>
              <w:bottom w:val="single" w:sz="2" w:space="0" w:color="auto"/>
              <w:right w:val="single" w:sz="2" w:space="0" w:color="auto"/>
            </w:tcBorders>
            <w:vAlign w:val="center"/>
          </w:tcPr>
          <w:p w14:paraId="19481B0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1,016,065,841.65</w:t>
            </w:r>
          </w:p>
        </w:tc>
        <w:tc>
          <w:tcPr>
            <w:tcW w:w="3213" w:type="dxa"/>
            <w:tcBorders>
              <w:top w:val="single" w:sz="2" w:space="0" w:color="auto"/>
              <w:left w:val="single" w:sz="2" w:space="0" w:color="auto"/>
              <w:bottom w:val="single" w:sz="2" w:space="0" w:color="auto"/>
              <w:right w:val="single" w:sz="2" w:space="0" w:color="auto"/>
            </w:tcBorders>
            <w:vAlign w:val="center"/>
          </w:tcPr>
          <w:p w14:paraId="7E42330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1,252,792,569.30</w:t>
            </w:r>
          </w:p>
        </w:tc>
      </w:tr>
      <w:tr w:rsidR="001D26E7" w:rsidRPr="00F614F9" w14:paraId="7531730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B6FB8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5DC9A6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1,311,786,153.70</w:t>
            </w:r>
          </w:p>
        </w:tc>
        <w:tc>
          <w:tcPr>
            <w:tcW w:w="3213" w:type="dxa"/>
            <w:tcBorders>
              <w:top w:val="single" w:sz="2" w:space="0" w:color="auto"/>
              <w:left w:val="single" w:sz="2" w:space="0" w:color="auto"/>
              <w:bottom w:val="single" w:sz="2" w:space="0" w:color="auto"/>
              <w:right w:val="single" w:sz="2" w:space="0" w:color="auto"/>
            </w:tcBorders>
            <w:vAlign w:val="center"/>
          </w:tcPr>
          <w:p w14:paraId="0B1D11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1,338,989,436.86</w:t>
            </w:r>
          </w:p>
        </w:tc>
      </w:tr>
    </w:tbl>
    <w:p w14:paraId="0516F93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支付的其他与筹资活动有关的现金说明：</w:t>
      </w:r>
    </w:p>
    <w:p w14:paraId="5D635778" w14:textId="77777777" w:rsidR="00872599" w:rsidRPr="00F614F9" w:rsidRDefault="00000000">
      <w:pPr>
        <w:pStyle w:val="a3"/>
        <w:divId w:val="1178932482"/>
        <w:rPr>
          <w:rFonts w:ascii="Times New Roman" w:hAnsi="Times New Roman"/>
          <w:sz w:val="18"/>
          <w:szCs w:val="18"/>
        </w:rPr>
      </w:pPr>
      <w:r w:rsidRPr="00F614F9">
        <w:rPr>
          <w:rFonts w:ascii="Times New Roman" w:hAnsi="Times New Roman" w:hint="eastAsia"/>
          <w:sz w:val="18"/>
          <w:szCs w:val="18"/>
        </w:rPr>
        <w:t>无</w:t>
      </w:r>
    </w:p>
    <w:p w14:paraId="471F820A"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筹资活动产生的各项负债变动情况</w:t>
      </w:r>
    </w:p>
    <w:p w14:paraId="1ECCA59B" w14:textId="77777777" w:rsidR="001D26E7" w:rsidRPr="00F614F9" w:rsidRDefault="00000000">
      <w:pPr>
        <w:spacing w:before="40" w:after="4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2BF9FB55"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97" w:name="_Toc989335"/>
      <w:r w:rsidRPr="00F614F9">
        <w:rPr>
          <w:rFonts w:ascii="Times New Roman" w:eastAsia="宋体" w:hAnsi="Times New Roman" w:cs="宋体"/>
          <w:b/>
          <w:bCs/>
          <w:szCs w:val="21"/>
        </w:rPr>
        <w:t>（</w:t>
      </w:r>
      <w:r w:rsidRPr="00F614F9">
        <w:rPr>
          <w:rFonts w:ascii="Times New Roman" w:eastAsia="宋体" w:hAnsi="Times New Roman" w:cs="宋体"/>
          <w:b/>
          <w:bCs/>
          <w:szCs w:val="21"/>
        </w:rPr>
        <w:t>4</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以净额列报现金流量的说明</w:t>
      </w:r>
      <w:bookmarkEnd w:id="497"/>
    </w:p>
    <w:p w14:paraId="302BC56B" w14:textId="77777777" w:rsidR="00886EFE" w:rsidRPr="00F614F9" w:rsidRDefault="00886EFE" w:rsidP="00886EFE">
      <w:pPr>
        <w:rPr>
          <w:rFonts w:ascii="Times New Roman" w:hAnsi="Times New Roman"/>
        </w:rPr>
      </w:pPr>
      <w:r w:rsidRPr="00F614F9">
        <w:rPr>
          <w:rFonts w:ascii="Times New Roman" w:hAnsi="Times New Roman" w:hint="eastAsia"/>
        </w:rPr>
        <w:t>无</w:t>
      </w:r>
    </w:p>
    <w:p w14:paraId="1A417609"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498" w:name="_Toc989336"/>
      <w:r w:rsidRPr="00F614F9">
        <w:rPr>
          <w:rFonts w:ascii="Times New Roman" w:eastAsia="宋体" w:hAnsi="Times New Roman" w:cs="宋体"/>
          <w:b/>
          <w:bCs/>
          <w:szCs w:val="21"/>
        </w:rPr>
        <w:t>（</w:t>
      </w:r>
      <w:r w:rsidRPr="00F614F9">
        <w:rPr>
          <w:rFonts w:ascii="Times New Roman" w:eastAsia="宋体" w:hAnsi="Times New Roman" w:cs="宋体"/>
          <w:b/>
          <w:bCs/>
          <w:szCs w:val="21"/>
        </w:rPr>
        <w:t>5</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不涉及当期现金收支、但影响企业财务状况或在未来可能影响企业现金流量的重大活动及财务影响</w:t>
      </w:r>
      <w:bookmarkEnd w:id="498"/>
    </w:p>
    <w:p w14:paraId="5C59FAC7" w14:textId="77777777" w:rsidR="00872599" w:rsidRPr="00F614F9" w:rsidRDefault="00000000">
      <w:pPr>
        <w:pStyle w:val="a3"/>
        <w:divId w:val="682630186"/>
        <w:rPr>
          <w:rFonts w:ascii="Times New Roman" w:hAnsi="Times New Roman"/>
          <w:sz w:val="18"/>
          <w:szCs w:val="18"/>
        </w:rPr>
      </w:pPr>
      <w:r w:rsidRPr="00F614F9">
        <w:rPr>
          <w:rFonts w:ascii="Times New Roman" w:hAnsi="Times New Roman" w:hint="eastAsia"/>
          <w:sz w:val="18"/>
          <w:szCs w:val="18"/>
        </w:rPr>
        <w:t>无</w:t>
      </w:r>
    </w:p>
    <w:p w14:paraId="02F69763" w14:textId="77777777" w:rsidR="001D26E7" w:rsidRPr="00F614F9" w:rsidRDefault="00000000">
      <w:pPr>
        <w:pStyle w:val="3"/>
        <w:spacing w:line="280" w:lineRule="exact"/>
        <w:jc w:val="left"/>
        <w:rPr>
          <w:rFonts w:ascii="Times New Roman" w:hAnsi="Times New Roman" w:cs="宋体"/>
          <w:b/>
          <w:bCs/>
        </w:rPr>
      </w:pPr>
      <w:bookmarkStart w:id="499" w:name="_Toc989337"/>
      <w:r w:rsidRPr="00F614F9">
        <w:rPr>
          <w:rFonts w:ascii="Times New Roman" w:hAnsi="Times New Roman" w:cs="宋体"/>
          <w:b/>
          <w:bCs/>
        </w:rPr>
        <w:t>79</w:t>
      </w:r>
      <w:r w:rsidRPr="00F614F9">
        <w:rPr>
          <w:rFonts w:ascii="Times New Roman" w:hAnsi="Times New Roman" w:cs="宋体"/>
          <w:b/>
          <w:bCs/>
        </w:rPr>
        <w:t>、现金流量表补充资料</w:t>
      </w:r>
      <w:bookmarkEnd w:id="499"/>
    </w:p>
    <w:p w14:paraId="491A6471"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00" w:name="_Toc989338"/>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现金流量表补充资料</w:t>
      </w:r>
      <w:bookmarkEnd w:id="500"/>
    </w:p>
    <w:p w14:paraId="148C14BA"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56E01C0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03ED9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补充资料</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BEF21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5AC26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上期金额</w:t>
            </w:r>
          </w:p>
        </w:tc>
      </w:tr>
      <w:tr w:rsidR="001D26E7" w:rsidRPr="00F614F9" w14:paraId="6B5065E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9FAD4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．将净利润调节为经营活动现金流量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C859BB"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275763" w14:textId="77777777" w:rsidR="001D26E7" w:rsidRPr="00F614F9" w:rsidRDefault="001D26E7">
            <w:pPr>
              <w:rPr>
                <w:rFonts w:ascii="Times New Roman" w:hAnsi="Times New Roman"/>
              </w:rPr>
            </w:pPr>
          </w:p>
        </w:tc>
      </w:tr>
      <w:tr w:rsidR="001D26E7" w:rsidRPr="00F614F9" w14:paraId="7B2ACE7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6323B2"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14:paraId="245D1B0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-1,483,670,159.85</w:t>
            </w:r>
          </w:p>
        </w:tc>
        <w:tc>
          <w:tcPr>
            <w:tcW w:w="3213" w:type="dxa"/>
            <w:tcBorders>
              <w:top w:val="single" w:sz="2" w:space="0" w:color="auto"/>
              <w:left w:val="single" w:sz="2" w:space="0" w:color="auto"/>
              <w:bottom w:val="single" w:sz="2" w:space="0" w:color="auto"/>
              <w:right w:val="single" w:sz="2" w:space="0" w:color="auto"/>
            </w:tcBorders>
            <w:vAlign w:val="center"/>
          </w:tcPr>
          <w:p w14:paraId="22E30B0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99,642,075.72</w:t>
            </w:r>
          </w:p>
        </w:tc>
      </w:tr>
      <w:tr w:rsidR="001D26E7" w:rsidRPr="00F614F9" w14:paraId="11A292F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3F19D9"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lastRenderedPageBreak/>
              <w:t>加：资产减值准备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73CF6E4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272,545,248.55</w:t>
            </w:r>
          </w:p>
        </w:tc>
        <w:tc>
          <w:tcPr>
            <w:tcW w:w="3213" w:type="dxa"/>
            <w:tcBorders>
              <w:top w:val="single" w:sz="2" w:space="0" w:color="auto"/>
              <w:left w:val="single" w:sz="2" w:space="0" w:color="auto"/>
              <w:bottom w:val="single" w:sz="2" w:space="0" w:color="auto"/>
              <w:right w:val="single" w:sz="2" w:space="0" w:color="auto"/>
            </w:tcBorders>
            <w:vAlign w:val="center"/>
          </w:tcPr>
          <w:p w14:paraId="77C6687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-457,028,448.43</w:t>
            </w:r>
          </w:p>
        </w:tc>
      </w:tr>
      <w:tr w:rsidR="001D26E7" w:rsidRPr="00F614F9" w14:paraId="242507D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EC0F2E"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固定资产折旧、油气资产折耗、生产性生物资产折旧</w:t>
            </w:r>
          </w:p>
        </w:tc>
        <w:tc>
          <w:tcPr>
            <w:tcW w:w="3213" w:type="dxa"/>
            <w:tcBorders>
              <w:top w:val="single" w:sz="2" w:space="0" w:color="auto"/>
              <w:left w:val="single" w:sz="2" w:space="0" w:color="auto"/>
              <w:bottom w:val="single" w:sz="2" w:space="0" w:color="auto"/>
              <w:right w:val="single" w:sz="2" w:space="0" w:color="auto"/>
            </w:tcBorders>
            <w:vAlign w:val="center"/>
          </w:tcPr>
          <w:p w14:paraId="0F0F133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188,132,154.24</w:t>
            </w:r>
          </w:p>
        </w:tc>
        <w:tc>
          <w:tcPr>
            <w:tcW w:w="3213" w:type="dxa"/>
            <w:tcBorders>
              <w:top w:val="single" w:sz="2" w:space="0" w:color="auto"/>
              <w:left w:val="single" w:sz="2" w:space="0" w:color="auto"/>
              <w:bottom w:val="single" w:sz="2" w:space="0" w:color="auto"/>
              <w:right w:val="single" w:sz="2" w:space="0" w:color="auto"/>
            </w:tcBorders>
            <w:vAlign w:val="center"/>
          </w:tcPr>
          <w:p w14:paraId="5060944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174,995,647.41</w:t>
            </w:r>
          </w:p>
        </w:tc>
      </w:tr>
      <w:tr w:rsidR="001D26E7" w:rsidRPr="00F614F9" w14:paraId="5EFE70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AB793C"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使用权资产折旧</w:t>
            </w:r>
          </w:p>
        </w:tc>
        <w:tc>
          <w:tcPr>
            <w:tcW w:w="3213" w:type="dxa"/>
            <w:tcBorders>
              <w:top w:val="single" w:sz="2" w:space="0" w:color="auto"/>
              <w:left w:val="single" w:sz="2" w:space="0" w:color="auto"/>
              <w:bottom w:val="single" w:sz="2" w:space="0" w:color="auto"/>
              <w:right w:val="single" w:sz="2" w:space="0" w:color="auto"/>
            </w:tcBorders>
            <w:vAlign w:val="center"/>
          </w:tcPr>
          <w:p w14:paraId="3C56C55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12,404,894.87</w:t>
            </w:r>
          </w:p>
        </w:tc>
        <w:tc>
          <w:tcPr>
            <w:tcW w:w="3213" w:type="dxa"/>
            <w:tcBorders>
              <w:top w:val="single" w:sz="2" w:space="0" w:color="auto"/>
              <w:left w:val="single" w:sz="2" w:space="0" w:color="auto"/>
              <w:bottom w:val="single" w:sz="2" w:space="0" w:color="auto"/>
              <w:right w:val="single" w:sz="2" w:space="0" w:color="auto"/>
            </w:tcBorders>
            <w:vAlign w:val="center"/>
          </w:tcPr>
          <w:p w14:paraId="67DE876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15,900,740.96</w:t>
            </w:r>
          </w:p>
        </w:tc>
      </w:tr>
      <w:tr w:rsidR="001D26E7" w:rsidRPr="00F614F9" w14:paraId="2863A54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2D2F1D"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无形资产摊销</w:t>
            </w:r>
          </w:p>
        </w:tc>
        <w:tc>
          <w:tcPr>
            <w:tcW w:w="3213" w:type="dxa"/>
            <w:tcBorders>
              <w:top w:val="single" w:sz="2" w:space="0" w:color="auto"/>
              <w:left w:val="single" w:sz="2" w:space="0" w:color="auto"/>
              <w:bottom w:val="single" w:sz="2" w:space="0" w:color="auto"/>
              <w:right w:val="single" w:sz="2" w:space="0" w:color="auto"/>
            </w:tcBorders>
            <w:vAlign w:val="center"/>
          </w:tcPr>
          <w:p w14:paraId="7A7559F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5,600,572.60</w:t>
            </w:r>
          </w:p>
        </w:tc>
        <w:tc>
          <w:tcPr>
            <w:tcW w:w="3213" w:type="dxa"/>
            <w:tcBorders>
              <w:top w:val="single" w:sz="2" w:space="0" w:color="auto"/>
              <w:left w:val="single" w:sz="2" w:space="0" w:color="auto"/>
              <w:bottom w:val="single" w:sz="2" w:space="0" w:color="auto"/>
              <w:right w:val="single" w:sz="2" w:space="0" w:color="auto"/>
            </w:tcBorders>
            <w:vAlign w:val="center"/>
          </w:tcPr>
          <w:p w14:paraId="0309C1F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4,637,623.92</w:t>
            </w:r>
          </w:p>
        </w:tc>
      </w:tr>
      <w:tr w:rsidR="001D26E7" w:rsidRPr="00F614F9" w14:paraId="70E10CE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C79E1D"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长期待摊费用摊销</w:t>
            </w:r>
          </w:p>
        </w:tc>
        <w:tc>
          <w:tcPr>
            <w:tcW w:w="3213" w:type="dxa"/>
            <w:tcBorders>
              <w:top w:val="single" w:sz="2" w:space="0" w:color="auto"/>
              <w:left w:val="single" w:sz="2" w:space="0" w:color="auto"/>
              <w:bottom w:val="single" w:sz="2" w:space="0" w:color="auto"/>
              <w:right w:val="single" w:sz="2" w:space="0" w:color="auto"/>
            </w:tcBorders>
            <w:vAlign w:val="center"/>
          </w:tcPr>
          <w:p w14:paraId="32096D7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4,619,081.44</w:t>
            </w:r>
          </w:p>
        </w:tc>
        <w:tc>
          <w:tcPr>
            <w:tcW w:w="3213" w:type="dxa"/>
            <w:tcBorders>
              <w:top w:val="single" w:sz="2" w:space="0" w:color="auto"/>
              <w:left w:val="single" w:sz="2" w:space="0" w:color="auto"/>
              <w:bottom w:val="single" w:sz="2" w:space="0" w:color="auto"/>
              <w:right w:val="single" w:sz="2" w:space="0" w:color="auto"/>
            </w:tcBorders>
            <w:vAlign w:val="center"/>
          </w:tcPr>
          <w:p w14:paraId="2EB856A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4,177,404.47</w:t>
            </w:r>
          </w:p>
        </w:tc>
      </w:tr>
      <w:tr w:rsidR="001D26E7" w:rsidRPr="00F614F9" w14:paraId="75453B0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B8B14B"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处置固定资产、无形资产和其他长期资产的损失（收益以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C7646B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128,746,923.35</w:t>
            </w:r>
          </w:p>
        </w:tc>
        <w:tc>
          <w:tcPr>
            <w:tcW w:w="3213" w:type="dxa"/>
            <w:tcBorders>
              <w:top w:val="single" w:sz="2" w:space="0" w:color="auto"/>
              <w:left w:val="single" w:sz="2" w:space="0" w:color="auto"/>
              <w:bottom w:val="single" w:sz="2" w:space="0" w:color="auto"/>
              <w:right w:val="single" w:sz="2" w:space="0" w:color="auto"/>
            </w:tcBorders>
            <w:vAlign w:val="center"/>
          </w:tcPr>
          <w:p w14:paraId="2083A45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85,474,446.37</w:t>
            </w:r>
          </w:p>
        </w:tc>
      </w:tr>
      <w:tr w:rsidR="001D26E7" w:rsidRPr="00F614F9" w14:paraId="545F51B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F5908B"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固定资产报废损失（收益以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16B7160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46,899,699.25</w:t>
            </w:r>
          </w:p>
        </w:tc>
        <w:tc>
          <w:tcPr>
            <w:tcW w:w="3213" w:type="dxa"/>
            <w:tcBorders>
              <w:top w:val="single" w:sz="2" w:space="0" w:color="auto"/>
              <w:left w:val="single" w:sz="2" w:space="0" w:color="auto"/>
              <w:bottom w:val="single" w:sz="2" w:space="0" w:color="auto"/>
              <w:right w:val="single" w:sz="2" w:space="0" w:color="auto"/>
            </w:tcBorders>
            <w:vAlign w:val="center"/>
          </w:tcPr>
          <w:p w14:paraId="08D4522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138,117.30</w:t>
            </w:r>
          </w:p>
        </w:tc>
      </w:tr>
      <w:tr w:rsidR="001D26E7" w:rsidRPr="00F614F9" w14:paraId="730932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CECD3E"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公允价值变动损失（收益以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3A4B5B8"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0DC006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3B1526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DDC851"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财务费用（收益以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15A9D9F" w14:textId="77777777" w:rsidR="001D26E7" w:rsidRPr="00F614F9" w:rsidRDefault="00643505">
            <w:pPr>
              <w:spacing w:line="240" w:lineRule="exact"/>
              <w:jc w:val="right"/>
              <w:rPr>
                <w:rFonts w:ascii="Times New Roman" w:eastAsia="宋体" w:hAnsi="Times New Roman" w:cs="宋体"/>
                <w:sz w:val="18"/>
                <w:szCs w:val="18"/>
              </w:rPr>
            </w:pPr>
            <w:r w:rsidRPr="00643505">
              <w:rPr>
                <w:rFonts w:ascii="Times New Roman" w:eastAsia="宋体" w:hAnsi="Times New Roman" w:cs="宋体"/>
                <w:sz w:val="18"/>
                <w:szCs w:val="18"/>
              </w:rPr>
              <w:t>105,138,263.82</w:t>
            </w:r>
          </w:p>
        </w:tc>
        <w:tc>
          <w:tcPr>
            <w:tcW w:w="3213" w:type="dxa"/>
            <w:tcBorders>
              <w:top w:val="single" w:sz="2" w:space="0" w:color="auto"/>
              <w:left w:val="single" w:sz="2" w:space="0" w:color="auto"/>
              <w:bottom w:val="single" w:sz="2" w:space="0" w:color="auto"/>
              <w:right w:val="single" w:sz="2" w:space="0" w:color="auto"/>
            </w:tcBorders>
            <w:vAlign w:val="center"/>
          </w:tcPr>
          <w:p w14:paraId="1C5DC09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106,274,108.44</w:t>
            </w:r>
          </w:p>
        </w:tc>
      </w:tr>
      <w:tr w:rsidR="001D26E7" w:rsidRPr="00F614F9" w14:paraId="4603DC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B3A13F"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投资损失（收益以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A3DC794"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F1E3C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-966,929.31</w:t>
            </w:r>
          </w:p>
        </w:tc>
      </w:tr>
      <w:tr w:rsidR="001D26E7" w:rsidRPr="00F614F9" w14:paraId="66E779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20D1E8"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递延所得税资产减少（增加以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F2164A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59,120,889.56</w:t>
            </w:r>
          </w:p>
        </w:tc>
        <w:tc>
          <w:tcPr>
            <w:tcW w:w="3213" w:type="dxa"/>
            <w:tcBorders>
              <w:top w:val="single" w:sz="2" w:space="0" w:color="auto"/>
              <w:left w:val="single" w:sz="2" w:space="0" w:color="auto"/>
              <w:bottom w:val="single" w:sz="2" w:space="0" w:color="auto"/>
              <w:right w:val="single" w:sz="2" w:space="0" w:color="auto"/>
            </w:tcBorders>
            <w:vAlign w:val="center"/>
          </w:tcPr>
          <w:p w14:paraId="0F20584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9,121,103.54</w:t>
            </w:r>
          </w:p>
        </w:tc>
      </w:tr>
      <w:tr w:rsidR="001D26E7" w:rsidRPr="00F614F9" w14:paraId="3DA8BF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25732F"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递延所得税负债增加（减少以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CC0C7B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-61,105.73</w:t>
            </w:r>
          </w:p>
        </w:tc>
        <w:tc>
          <w:tcPr>
            <w:tcW w:w="3213" w:type="dxa"/>
            <w:tcBorders>
              <w:top w:val="single" w:sz="2" w:space="0" w:color="auto"/>
              <w:left w:val="single" w:sz="2" w:space="0" w:color="auto"/>
              <w:bottom w:val="single" w:sz="2" w:space="0" w:color="auto"/>
              <w:right w:val="single" w:sz="2" w:space="0" w:color="auto"/>
            </w:tcBorders>
            <w:vAlign w:val="center"/>
          </w:tcPr>
          <w:p w14:paraId="5ABA71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2,029,122.14</w:t>
            </w:r>
          </w:p>
        </w:tc>
      </w:tr>
      <w:tr w:rsidR="001D26E7" w:rsidRPr="00F614F9" w14:paraId="1DF66B6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B5A266"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存货的减少（增加以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C23ECA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494,877,428.24</w:t>
            </w:r>
          </w:p>
        </w:tc>
        <w:tc>
          <w:tcPr>
            <w:tcW w:w="3213" w:type="dxa"/>
            <w:tcBorders>
              <w:top w:val="single" w:sz="2" w:space="0" w:color="auto"/>
              <w:left w:val="single" w:sz="2" w:space="0" w:color="auto"/>
              <w:bottom w:val="single" w:sz="2" w:space="0" w:color="auto"/>
              <w:right w:val="single" w:sz="2" w:space="0" w:color="auto"/>
            </w:tcBorders>
            <w:vAlign w:val="center"/>
          </w:tcPr>
          <w:p w14:paraId="5939EAE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315,597,721.24</w:t>
            </w:r>
          </w:p>
        </w:tc>
      </w:tr>
      <w:tr w:rsidR="001D26E7" w:rsidRPr="00F614F9" w14:paraId="2332E9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831813"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经营性应收项目的减少（增加以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D3F599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288,073,902.72</w:t>
            </w:r>
          </w:p>
        </w:tc>
        <w:tc>
          <w:tcPr>
            <w:tcW w:w="3213" w:type="dxa"/>
            <w:tcBorders>
              <w:top w:val="single" w:sz="2" w:space="0" w:color="auto"/>
              <w:left w:val="single" w:sz="2" w:space="0" w:color="auto"/>
              <w:bottom w:val="single" w:sz="2" w:space="0" w:color="auto"/>
              <w:right w:val="single" w:sz="2" w:space="0" w:color="auto"/>
            </w:tcBorders>
            <w:vAlign w:val="center"/>
          </w:tcPr>
          <w:p w14:paraId="325C8A5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297,622,108.23</w:t>
            </w:r>
          </w:p>
        </w:tc>
      </w:tr>
      <w:tr w:rsidR="001D26E7" w:rsidRPr="00F614F9" w14:paraId="2788A8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27E2BF"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经营性应付项目的增加（减少以</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C32A834" w14:textId="77777777" w:rsidR="001D26E7" w:rsidRPr="00F614F9" w:rsidRDefault="00643505">
            <w:pPr>
              <w:spacing w:line="240" w:lineRule="exact"/>
              <w:jc w:val="right"/>
              <w:rPr>
                <w:rFonts w:ascii="Times New Roman" w:eastAsia="宋体" w:hAnsi="Times New Roman" w:cs="宋体"/>
                <w:sz w:val="18"/>
                <w:szCs w:val="18"/>
              </w:rPr>
            </w:pPr>
            <w:r w:rsidRPr="00643505">
              <w:rPr>
                <w:rFonts w:ascii="Times New Roman" w:eastAsia="宋体" w:hAnsi="Times New Roman" w:cs="宋体"/>
                <w:sz w:val="18"/>
                <w:szCs w:val="18"/>
              </w:rPr>
              <w:t>-711,146,271.75</w:t>
            </w:r>
          </w:p>
        </w:tc>
        <w:tc>
          <w:tcPr>
            <w:tcW w:w="3213" w:type="dxa"/>
            <w:tcBorders>
              <w:top w:val="single" w:sz="2" w:space="0" w:color="auto"/>
              <w:left w:val="single" w:sz="2" w:space="0" w:color="auto"/>
              <w:bottom w:val="single" w:sz="2" w:space="0" w:color="auto"/>
              <w:right w:val="single" w:sz="2" w:space="0" w:color="auto"/>
            </w:tcBorders>
            <w:vAlign w:val="center"/>
          </w:tcPr>
          <w:p w14:paraId="1E6BC59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283,487,620.16</w:t>
            </w:r>
          </w:p>
        </w:tc>
      </w:tr>
      <w:tr w:rsidR="001D26E7" w:rsidRPr="00F614F9" w14:paraId="609CF72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BB8E66"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7652B691"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32DED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A37C4B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C1E9A9"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2A2DBA1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-588,718,478.69</w:t>
            </w:r>
          </w:p>
        </w:tc>
        <w:tc>
          <w:tcPr>
            <w:tcW w:w="3213" w:type="dxa"/>
            <w:tcBorders>
              <w:top w:val="single" w:sz="2" w:space="0" w:color="auto"/>
              <w:left w:val="single" w:sz="2" w:space="0" w:color="auto"/>
              <w:bottom w:val="single" w:sz="2" w:space="0" w:color="auto"/>
              <w:right w:val="single" w:sz="2" w:space="0" w:color="auto"/>
            </w:tcBorders>
            <w:vAlign w:val="center"/>
          </w:tcPr>
          <w:p w14:paraId="3749831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941,102,462.16</w:t>
            </w:r>
          </w:p>
        </w:tc>
      </w:tr>
      <w:tr w:rsidR="001D26E7" w:rsidRPr="00F614F9" w14:paraId="7946E99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8191A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．不涉及现金收支的重大投资和筹资活动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BE1F04"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B8CAC0" w14:textId="77777777" w:rsidR="001D26E7" w:rsidRPr="00F614F9" w:rsidRDefault="001D26E7">
            <w:pPr>
              <w:rPr>
                <w:rFonts w:ascii="Times New Roman" w:hAnsi="Times New Roman"/>
              </w:rPr>
            </w:pPr>
          </w:p>
        </w:tc>
      </w:tr>
      <w:tr w:rsidR="001D26E7" w:rsidRPr="00F614F9" w14:paraId="6ECFF9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7CF8EA"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债务转为资本</w:t>
            </w:r>
          </w:p>
        </w:tc>
        <w:tc>
          <w:tcPr>
            <w:tcW w:w="3213" w:type="dxa"/>
            <w:tcBorders>
              <w:top w:val="single" w:sz="2" w:space="0" w:color="auto"/>
              <w:left w:val="single" w:sz="2" w:space="0" w:color="auto"/>
              <w:bottom w:val="single" w:sz="2" w:space="0" w:color="auto"/>
              <w:right w:val="single" w:sz="2" w:space="0" w:color="auto"/>
            </w:tcBorders>
            <w:vAlign w:val="center"/>
          </w:tcPr>
          <w:p w14:paraId="4565EA92"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1E4BA67"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72627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AA5038"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一年内到期的可转换公司债</w:t>
            </w:r>
            <w:proofErr w:type="gramStart"/>
            <w:r w:rsidRPr="00F614F9">
              <w:rPr>
                <w:rFonts w:ascii="Times New Roman" w:eastAsia="宋体" w:hAnsi="Times New Roman" w:cs="宋体"/>
                <w:sz w:val="18"/>
                <w:szCs w:val="18"/>
              </w:rPr>
              <w:t>券</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14:paraId="0FD43D41"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C3E8FF9"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12E37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C5ACB1"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融资租入固定资产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637EEAAD"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6FDC9A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A8165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246FA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．现金及现金等价物净变动情况：</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DBB9AC" w14:textId="77777777" w:rsidR="001D26E7" w:rsidRPr="00F614F9" w:rsidRDefault="001D26E7">
            <w:pPr>
              <w:rPr>
                <w:rFonts w:ascii="Times New Roman" w:hAnsi="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6EE62F" w14:textId="77777777" w:rsidR="001D26E7" w:rsidRPr="00F614F9" w:rsidRDefault="001D26E7">
            <w:pPr>
              <w:rPr>
                <w:rFonts w:ascii="Times New Roman" w:hAnsi="Times New Roman"/>
              </w:rPr>
            </w:pPr>
          </w:p>
        </w:tc>
      </w:tr>
      <w:tr w:rsidR="001D26E7" w:rsidRPr="00F614F9" w14:paraId="3CEB34C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286370"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现金的期末余额</w:t>
            </w:r>
          </w:p>
        </w:tc>
        <w:tc>
          <w:tcPr>
            <w:tcW w:w="3213" w:type="dxa"/>
            <w:tcBorders>
              <w:top w:val="single" w:sz="2" w:space="0" w:color="auto"/>
              <w:left w:val="single" w:sz="2" w:space="0" w:color="auto"/>
              <w:bottom w:val="single" w:sz="2" w:space="0" w:color="auto"/>
              <w:right w:val="single" w:sz="2" w:space="0" w:color="auto"/>
            </w:tcBorders>
            <w:vAlign w:val="center"/>
          </w:tcPr>
          <w:p w14:paraId="657BBBD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903,314,576.39</w:t>
            </w:r>
          </w:p>
        </w:tc>
        <w:tc>
          <w:tcPr>
            <w:tcW w:w="3213" w:type="dxa"/>
            <w:tcBorders>
              <w:top w:val="single" w:sz="2" w:space="0" w:color="auto"/>
              <w:left w:val="single" w:sz="2" w:space="0" w:color="auto"/>
              <w:bottom w:val="single" w:sz="2" w:space="0" w:color="auto"/>
              <w:right w:val="single" w:sz="2" w:space="0" w:color="auto"/>
            </w:tcBorders>
            <w:vAlign w:val="center"/>
          </w:tcPr>
          <w:p w14:paraId="56E2267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749,118,356.19</w:t>
            </w:r>
          </w:p>
        </w:tc>
      </w:tr>
      <w:tr w:rsidR="001D26E7" w:rsidRPr="00F614F9" w14:paraId="0BE57D2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55301B"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减：现金的期初余额</w:t>
            </w:r>
          </w:p>
        </w:tc>
        <w:tc>
          <w:tcPr>
            <w:tcW w:w="3213" w:type="dxa"/>
            <w:tcBorders>
              <w:top w:val="single" w:sz="2" w:space="0" w:color="auto"/>
              <w:left w:val="single" w:sz="2" w:space="0" w:color="auto"/>
              <w:bottom w:val="single" w:sz="2" w:space="0" w:color="auto"/>
              <w:right w:val="single" w:sz="2" w:space="0" w:color="auto"/>
            </w:tcBorders>
            <w:vAlign w:val="center"/>
          </w:tcPr>
          <w:p w14:paraId="2D2345E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749,118,356.19</w:t>
            </w:r>
          </w:p>
        </w:tc>
        <w:tc>
          <w:tcPr>
            <w:tcW w:w="3213" w:type="dxa"/>
            <w:tcBorders>
              <w:top w:val="single" w:sz="2" w:space="0" w:color="auto"/>
              <w:left w:val="single" w:sz="2" w:space="0" w:color="auto"/>
              <w:bottom w:val="single" w:sz="2" w:space="0" w:color="auto"/>
              <w:right w:val="single" w:sz="2" w:space="0" w:color="auto"/>
            </w:tcBorders>
            <w:vAlign w:val="center"/>
          </w:tcPr>
          <w:p w14:paraId="3D3DEE2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1,746,221,993.07</w:t>
            </w:r>
          </w:p>
        </w:tc>
      </w:tr>
      <w:tr w:rsidR="001D26E7" w:rsidRPr="00F614F9" w14:paraId="1A1884E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FFCD42"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加：现金等价物的期末余额</w:t>
            </w:r>
          </w:p>
        </w:tc>
        <w:tc>
          <w:tcPr>
            <w:tcW w:w="3213" w:type="dxa"/>
            <w:tcBorders>
              <w:top w:val="single" w:sz="2" w:space="0" w:color="auto"/>
              <w:left w:val="single" w:sz="2" w:space="0" w:color="auto"/>
              <w:bottom w:val="single" w:sz="2" w:space="0" w:color="auto"/>
              <w:right w:val="single" w:sz="2" w:space="0" w:color="auto"/>
            </w:tcBorders>
            <w:vAlign w:val="center"/>
          </w:tcPr>
          <w:p w14:paraId="597259BB"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2E94569"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F453D8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AEFE10"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减：现金等价物的期初余额</w:t>
            </w:r>
          </w:p>
        </w:tc>
        <w:tc>
          <w:tcPr>
            <w:tcW w:w="3213" w:type="dxa"/>
            <w:tcBorders>
              <w:top w:val="single" w:sz="2" w:space="0" w:color="auto"/>
              <w:left w:val="single" w:sz="2" w:space="0" w:color="auto"/>
              <w:bottom w:val="single" w:sz="2" w:space="0" w:color="auto"/>
              <w:right w:val="single" w:sz="2" w:space="0" w:color="auto"/>
            </w:tcBorders>
            <w:vAlign w:val="center"/>
          </w:tcPr>
          <w:p w14:paraId="0955807C"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02ED24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8F5BAA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56B1DE"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EF2909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154,196,220.20</w:t>
            </w:r>
          </w:p>
        </w:tc>
        <w:tc>
          <w:tcPr>
            <w:tcW w:w="3213" w:type="dxa"/>
            <w:tcBorders>
              <w:top w:val="single" w:sz="2" w:space="0" w:color="auto"/>
              <w:left w:val="single" w:sz="2" w:space="0" w:color="auto"/>
              <w:bottom w:val="single" w:sz="2" w:space="0" w:color="auto"/>
              <w:right w:val="single" w:sz="2" w:space="0" w:color="auto"/>
            </w:tcBorders>
            <w:vAlign w:val="center"/>
          </w:tcPr>
          <w:p w14:paraId="0AA14C3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-997,103,636.88</w:t>
            </w:r>
          </w:p>
        </w:tc>
      </w:tr>
    </w:tbl>
    <w:p w14:paraId="3605E531"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01" w:name="_Toc989339"/>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本期支付的取得子公司的现金净额</w:t>
      </w:r>
      <w:bookmarkEnd w:id="501"/>
    </w:p>
    <w:p w14:paraId="1B366ACF" w14:textId="77777777" w:rsidR="00872599" w:rsidRPr="00F614F9" w:rsidRDefault="00000000">
      <w:pPr>
        <w:pStyle w:val="a3"/>
        <w:divId w:val="255209436"/>
        <w:rPr>
          <w:rFonts w:ascii="Times New Roman" w:hAnsi="Times New Roman"/>
          <w:sz w:val="18"/>
          <w:szCs w:val="18"/>
        </w:rPr>
      </w:pPr>
      <w:r w:rsidRPr="00F614F9">
        <w:rPr>
          <w:rFonts w:ascii="Times New Roman" w:hAnsi="Times New Roman" w:hint="eastAsia"/>
          <w:sz w:val="18"/>
          <w:szCs w:val="18"/>
        </w:rPr>
        <w:t>无</w:t>
      </w:r>
    </w:p>
    <w:p w14:paraId="11AC5128"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02" w:name="_Toc989340"/>
      <w:r w:rsidRPr="00F614F9">
        <w:rPr>
          <w:rFonts w:ascii="Times New Roman" w:eastAsia="宋体" w:hAnsi="Times New Roman" w:cs="宋体"/>
          <w:b/>
          <w:bCs/>
          <w:szCs w:val="21"/>
        </w:rPr>
        <w:lastRenderedPageBreak/>
        <w:t>（</w:t>
      </w:r>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本期收到的处置子公司的现金净额</w:t>
      </w:r>
      <w:bookmarkEnd w:id="502"/>
    </w:p>
    <w:p w14:paraId="1AB229B9" w14:textId="77777777" w:rsidR="00872599" w:rsidRPr="00F614F9" w:rsidRDefault="00000000">
      <w:pPr>
        <w:pStyle w:val="a3"/>
        <w:divId w:val="1860000811"/>
        <w:rPr>
          <w:rFonts w:ascii="Times New Roman" w:hAnsi="Times New Roman"/>
          <w:sz w:val="18"/>
          <w:szCs w:val="18"/>
        </w:rPr>
      </w:pPr>
      <w:r w:rsidRPr="00F614F9">
        <w:rPr>
          <w:rFonts w:ascii="Times New Roman" w:hAnsi="Times New Roman" w:hint="eastAsia"/>
          <w:sz w:val="18"/>
          <w:szCs w:val="18"/>
        </w:rPr>
        <w:t>无</w:t>
      </w:r>
    </w:p>
    <w:p w14:paraId="3FF76EE8"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03" w:name="_Toc989341"/>
      <w:r w:rsidRPr="00F614F9">
        <w:rPr>
          <w:rFonts w:ascii="Times New Roman" w:eastAsia="宋体" w:hAnsi="Times New Roman" w:cs="宋体"/>
          <w:b/>
          <w:bCs/>
          <w:szCs w:val="21"/>
        </w:rPr>
        <w:t>（</w:t>
      </w:r>
      <w:r w:rsidRPr="00F614F9">
        <w:rPr>
          <w:rFonts w:ascii="Times New Roman" w:eastAsia="宋体" w:hAnsi="Times New Roman" w:cs="宋体"/>
          <w:b/>
          <w:bCs/>
          <w:szCs w:val="21"/>
        </w:rPr>
        <w:t>4</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现金和现金等价物的构成</w:t>
      </w:r>
      <w:bookmarkEnd w:id="503"/>
    </w:p>
    <w:p w14:paraId="126685D0"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750B1C8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2833A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51BB1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83817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6F6EBA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5266D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一、现金</w:t>
            </w:r>
          </w:p>
        </w:tc>
        <w:tc>
          <w:tcPr>
            <w:tcW w:w="3213" w:type="dxa"/>
            <w:tcBorders>
              <w:top w:val="single" w:sz="2" w:space="0" w:color="auto"/>
              <w:left w:val="single" w:sz="2" w:space="0" w:color="auto"/>
              <w:bottom w:val="single" w:sz="2" w:space="0" w:color="auto"/>
              <w:right w:val="single" w:sz="2" w:space="0" w:color="auto"/>
            </w:tcBorders>
            <w:vAlign w:val="center"/>
          </w:tcPr>
          <w:p w14:paraId="62414E5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903,314,576.39</w:t>
            </w:r>
          </w:p>
        </w:tc>
        <w:tc>
          <w:tcPr>
            <w:tcW w:w="3213" w:type="dxa"/>
            <w:tcBorders>
              <w:top w:val="single" w:sz="2" w:space="0" w:color="auto"/>
              <w:left w:val="single" w:sz="2" w:space="0" w:color="auto"/>
              <w:bottom w:val="single" w:sz="2" w:space="0" w:color="auto"/>
              <w:right w:val="single" w:sz="2" w:space="0" w:color="auto"/>
            </w:tcBorders>
            <w:vAlign w:val="center"/>
          </w:tcPr>
          <w:p w14:paraId="7E67CEA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749,118,356.19</w:t>
            </w:r>
          </w:p>
        </w:tc>
      </w:tr>
      <w:tr w:rsidR="001D26E7" w:rsidRPr="00F614F9" w14:paraId="337CF05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F95DC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其中：库存现金</w:t>
            </w:r>
          </w:p>
        </w:tc>
        <w:tc>
          <w:tcPr>
            <w:tcW w:w="3213" w:type="dxa"/>
            <w:tcBorders>
              <w:top w:val="single" w:sz="2" w:space="0" w:color="auto"/>
              <w:left w:val="single" w:sz="2" w:space="0" w:color="auto"/>
              <w:bottom w:val="single" w:sz="2" w:space="0" w:color="auto"/>
              <w:right w:val="single" w:sz="2" w:space="0" w:color="auto"/>
            </w:tcBorders>
            <w:vAlign w:val="center"/>
          </w:tcPr>
          <w:p w14:paraId="4A8F0E7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10,752.96</w:t>
            </w:r>
          </w:p>
        </w:tc>
        <w:tc>
          <w:tcPr>
            <w:tcW w:w="3213" w:type="dxa"/>
            <w:tcBorders>
              <w:top w:val="single" w:sz="2" w:space="0" w:color="auto"/>
              <w:left w:val="single" w:sz="2" w:space="0" w:color="auto"/>
              <w:bottom w:val="single" w:sz="2" w:space="0" w:color="auto"/>
              <w:right w:val="single" w:sz="2" w:space="0" w:color="auto"/>
            </w:tcBorders>
            <w:vAlign w:val="center"/>
          </w:tcPr>
          <w:p w14:paraId="6D2B5C3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216,936.47</w:t>
            </w:r>
          </w:p>
        </w:tc>
      </w:tr>
      <w:tr w:rsidR="001D26E7" w:rsidRPr="00F614F9" w14:paraId="4BEB15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1DDF8C"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可随时用于支付的银行存款</w:t>
            </w:r>
          </w:p>
        </w:tc>
        <w:tc>
          <w:tcPr>
            <w:tcW w:w="3213" w:type="dxa"/>
            <w:tcBorders>
              <w:top w:val="single" w:sz="2" w:space="0" w:color="auto"/>
              <w:left w:val="single" w:sz="2" w:space="0" w:color="auto"/>
              <w:bottom w:val="single" w:sz="2" w:space="0" w:color="auto"/>
              <w:right w:val="single" w:sz="2" w:space="0" w:color="auto"/>
            </w:tcBorders>
            <w:vAlign w:val="center"/>
          </w:tcPr>
          <w:p w14:paraId="2415EDC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903,108,572.13</w:t>
            </w:r>
          </w:p>
        </w:tc>
        <w:tc>
          <w:tcPr>
            <w:tcW w:w="3213" w:type="dxa"/>
            <w:tcBorders>
              <w:top w:val="single" w:sz="2" w:space="0" w:color="auto"/>
              <w:left w:val="single" w:sz="2" w:space="0" w:color="auto"/>
              <w:bottom w:val="single" w:sz="2" w:space="0" w:color="auto"/>
              <w:right w:val="single" w:sz="2" w:space="0" w:color="auto"/>
            </w:tcBorders>
            <w:vAlign w:val="center"/>
          </w:tcPr>
          <w:p w14:paraId="7850B98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748,901,419.72</w:t>
            </w:r>
          </w:p>
        </w:tc>
      </w:tr>
      <w:tr w:rsidR="001D26E7" w:rsidRPr="00F614F9" w14:paraId="7A1EF6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97B5EA"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可随时用于支付的其他货币资金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1B2A9AB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195,251.30</w:t>
            </w:r>
          </w:p>
        </w:tc>
        <w:tc>
          <w:tcPr>
            <w:tcW w:w="3213" w:type="dxa"/>
            <w:tcBorders>
              <w:top w:val="single" w:sz="2" w:space="0" w:color="auto"/>
              <w:left w:val="single" w:sz="2" w:space="0" w:color="auto"/>
              <w:bottom w:val="single" w:sz="2" w:space="0" w:color="auto"/>
              <w:right w:val="single" w:sz="2" w:space="0" w:color="auto"/>
            </w:tcBorders>
            <w:vAlign w:val="center"/>
          </w:tcPr>
          <w:p w14:paraId="4C7D331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711A6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DB606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三、期末现金及现金等价物余额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4B0E42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903,314,576.39</w:t>
            </w:r>
          </w:p>
        </w:tc>
        <w:tc>
          <w:tcPr>
            <w:tcW w:w="3213" w:type="dxa"/>
            <w:tcBorders>
              <w:top w:val="single" w:sz="2" w:space="0" w:color="auto"/>
              <w:left w:val="single" w:sz="2" w:space="0" w:color="auto"/>
              <w:bottom w:val="single" w:sz="2" w:space="0" w:color="auto"/>
              <w:right w:val="single" w:sz="2" w:space="0" w:color="auto"/>
            </w:tcBorders>
            <w:vAlign w:val="center"/>
          </w:tcPr>
          <w:p w14:paraId="7D176F3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749,118,356.19</w:t>
            </w:r>
          </w:p>
        </w:tc>
      </w:tr>
    </w:tbl>
    <w:p w14:paraId="4B3EDE18"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04" w:name="_Toc989342"/>
      <w:r w:rsidRPr="00F614F9">
        <w:rPr>
          <w:rFonts w:ascii="Times New Roman" w:eastAsia="宋体" w:hAnsi="Times New Roman" w:cs="宋体"/>
          <w:b/>
          <w:bCs/>
          <w:szCs w:val="21"/>
        </w:rPr>
        <w:t>（</w:t>
      </w:r>
      <w:r w:rsidRPr="00F614F9">
        <w:rPr>
          <w:rFonts w:ascii="Times New Roman" w:eastAsia="宋体" w:hAnsi="Times New Roman" w:cs="宋体"/>
          <w:b/>
          <w:bCs/>
          <w:szCs w:val="21"/>
        </w:rPr>
        <w:t>5</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使用范围受限但仍属于现金及现金等价物列示的情况</w:t>
      </w:r>
      <w:bookmarkEnd w:id="504"/>
    </w:p>
    <w:p w14:paraId="45DB176F" w14:textId="77777777" w:rsidR="001D26E7" w:rsidRPr="00F614F9" w:rsidRDefault="002A34D2" w:rsidP="002A34D2">
      <w:pPr>
        <w:spacing w:before="40" w:after="40" w:line="240" w:lineRule="exact"/>
        <w:rPr>
          <w:rFonts w:ascii="Times New Roman" w:eastAsia="宋体" w:hAnsi="Times New Roman" w:cs="宋体"/>
          <w:sz w:val="18"/>
          <w:szCs w:val="18"/>
        </w:rPr>
      </w:pPr>
      <w:r>
        <w:rPr>
          <w:rFonts w:ascii="Times New Roman" w:eastAsia="宋体" w:hAnsi="Times New Roman" w:cs="宋体" w:hint="eastAsia"/>
          <w:sz w:val="18"/>
          <w:szCs w:val="18"/>
        </w:rPr>
        <w:t>无</w:t>
      </w:r>
    </w:p>
    <w:p w14:paraId="011ED991"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05" w:name="_Toc989343"/>
      <w:r w:rsidRPr="00F614F9">
        <w:rPr>
          <w:rFonts w:ascii="Times New Roman" w:eastAsia="宋体" w:hAnsi="Times New Roman" w:cs="宋体"/>
          <w:b/>
          <w:bCs/>
          <w:szCs w:val="21"/>
        </w:rPr>
        <w:t>（</w:t>
      </w:r>
      <w:r w:rsidRPr="00F614F9">
        <w:rPr>
          <w:rFonts w:ascii="Times New Roman" w:eastAsia="宋体" w:hAnsi="Times New Roman" w:cs="宋体"/>
          <w:b/>
          <w:bCs/>
          <w:szCs w:val="21"/>
        </w:rPr>
        <w:t>6</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不属于现金及现金等价物的货币资金</w:t>
      </w:r>
      <w:bookmarkEnd w:id="505"/>
    </w:p>
    <w:p w14:paraId="178D33CB"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1D26E7" w:rsidRPr="00F614F9" w14:paraId="3454476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F08BB5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D08516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32805F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178DA1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不属于现金及现金等价物的理由</w:t>
            </w:r>
          </w:p>
        </w:tc>
      </w:tr>
      <w:tr w:rsidR="001D26E7" w:rsidRPr="00F614F9" w14:paraId="140F6A0B"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0448A8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信用证、承兑汇票保证金及利息</w:t>
            </w:r>
          </w:p>
        </w:tc>
        <w:tc>
          <w:tcPr>
            <w:tcW w:w="2410" w:type="dxa"/>
            <w:tcBorders>
              <w:top w:val="single" w:sz="2" w:space="0" w:color="auto"/>
              <w:left w:val="single" w:sz="2" w:space="0" w:color="auto"/>
              <w:bottom w:val="single" w:sz="2" w:space="0" w:color="auto"/>
              <w:right w:val="single" w:sz="2" w:space="0" w:color="auto"/>
            </w:tcBorders>
            <w:vAlign w:val="center"/>
          </w:tcPr>
          <w:p w14:paraId="00835D8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487,782,804.49</w:t>
            </w:r>
          </w:p>
        </w:tc>
        <w:tc>
          <w:tcPr>
            <w:tcW w:w="2410" w:type="dxa"/>
            <w:tcBorders>
              <w:top w:val="single" w:sz="2" w:space="0" w:color="auto"/>
              <w:left w:val="single" w:sz="2" w:space="0" w:color="auto"/>
              <w:bottom w:val="single" w:sz="2" w:space="0" w:color="auto"/>
              <w:right w:val="single" w:sz="2" w:space="0" w:color="auto"/>
            </w:tcBorders>
            <w:vAlign w:val="center"/>
          </w:tcPr>
          <w:p w14:paraId="4AA71B1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480,592,945.24</w:t>
            </w:r>
          </w:p>
        </w:tc>
        <w:tc>
          <w:tcPr>
            <w:tcW w:w="2410" w:type="dxa"/>
            <w:tcBorders>
              <w:top w:val="single" w:sz="2" w:space="0" w:color="auto"/>
              <w:left w:val="single" w:sz="2" w:space="0" w:color="auto"/>
              <w:bottom w:val="single" w:sz="2" w:space="0" w:color="auto"/>
              <w:right w:val="single" w:sz="2" w:space="0" w:color="auto"/>
            </w:tcBorders>
            <w:vAlign w:val="center"/>
          </w:tcPr>
          <w:p w14:paraId="07C7B8F6" w14:textId="77777777" w:rsidR="001D26E7" w:rsidRPr="00F614F9" w:rsidRDefault="00000000" w:rsidP="00886EFE">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受限</w:t>
            </w:r>
          </w:p>
        </w:tc>
      </w:tr>
      <w:tr w:rsidR="001D26E7" w:rsidRPr="00F614F9" w14:paraId="61D2D37A"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E63F61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存出投资款</w:t>
            </w:r>
          </w:p>
        </w:tc>
        <w:tc>
          <w:tcPr>
            <w:tcW w:w="2410" w:type="dxa"/>
            <w:tcBorders>
              <w:top w:val="single" w:sz="2" w:space="0" w:color="auto"/>
              <w:left w:val="single" w:sz="2" w:space="0" w:color="auto"/>
              <w:bottom w:val="single" w:sz="2" w:space="0" w:color="auto"/>
              <w:right w:val="single" w:sz="2" w:space="0" w:color="auto"/>
            </w:tcBorders>
            <w:vAlign w:val="center"/>
          </w:tcPr>
          <w:p w14:paraId="4BE3F4B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11,879.40</w:t>
            </w:r>
          </w:p>
        </w:tc>
        <w:tc>
          <w:tcPr>
            <w:tcW w:w="2410" w:type="dxa"/>
            <w:tcBorders>
              <w:top w:val="single" w:sz="2" w:space="0" w:color="auto"/>
              <w:left w:val="single" w:sz="2" w:space="0" w:color="auto"/>
              <w:bottom w:val="single" w:sz="2" w:space="0" w:color="auto"/>
              <w:right w:val="single" w:sz="2" w:space="0" w:color="auto"/>
            </w:tcBorders>
            <w:vAlign w:val="center"/>
          </w:tcPr>
          <w:p w14:paraId="03300B1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12,760,193.25</w:t>
            </w:r>
          </w:p>
        </w:tc>
        <w:tc>
          <w:tcPr>
            <w:tcW w:w="2410" w:type="dxa"/>
            <w:tcBorders>
              <w:top w:val="single" w:sz="2" w:space="0" w:color="auto"/>
              <w:left w:val="single" w:sz="2" w:space="0" w:color="auto"/>
              <w:bottom w:val="single" w:sz="2" w:space="0" w:color="auto"/>
              <w:right w:val="single" w:sz="2" w:space="0" w:color="auto"/>
            </w:tcBorders>
            <w:vAlign w:val="center"/>
          </w:tcPr>
          <w:p w14:paraId="652544F2" w14:textId="77777777" w:rsidR="001D26E7" w:rsidRPr="00F614F9" w:rsidRDefault="00000000" w:rsidP="00886EFE">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受限</w:t>
            </w:r>
          </w:p>
        </w:tc>
      </w:tr>
      <w:tr w:rsidR="001D26E7" w:rsidRPr="00F614F9" w14:paraId="341B73A6"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007DED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单用途预付卡保证金</w:t>
            </w:r>
          </w:p>
        </w:tc>
        <w:tc>
          <w:tcPr>
            <w:tcW w:w="2410" w:type="dxa"/>
            <w:tcBorders>
              <w:top w:val="single" w:sz="2" w:space="0" w:color="auto"/>
              <w:left w:val="single" w:sz="2" w:space="0" w:color="auto"/>
              <w:bottom w:val="single" w:sz="2" w:space="0" w:color="auto"/>
              <w:right w:val="single" w:sz="2" w:space="0" w:color="auto"/>
            </w:tcBorders>
            <w:vAlign w:val="center"/>
          </w:tcPr>
          <w:p w14:paraId="78FBB63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1,462,836.23</w:t>
            </w:r>
          </w:p>
        </w:tc>
        <w:tc>
          <w:tcPr>
            <w:tcW w:w="2410" w:type="dxa"/>
            <w:tcBorders>
              <w:top w:val="single" w:sz="2" w:space="0" w:color="auto"/>
              <w:left w:val="single" w:sz="2" w:space="0" w:color="auto"/>
              <w:bottom w:val="single" w:sz="2" w:space="0" w:color="auto"/>
              <w:right w:val="single" w:sz="2" w:space="0" w:color="auto"/>
            </w:tcBorders>
            <w:vAlign w:val="center"/>
          </w:tcPr>
          <w:p w14:paraId="6B894D8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1,449,539.02</w:t>
            </w:r>
          </w:p>
        </w:tc>
        <w:tc>
          <w:tcPr>
            <w:tcW w:w="2410" w:type="dxa"/>
            <w:tcBorders>
              <w:top w:val="single" w:sz="2" w:space="0" w:color="auto"/>
              <w:left w:val="single" w:sz="2" w:space="0" w:color="auto"/>
              <w:bottom w:val="single" w:sz="2" w:space="0" w:color="auto"/>
              <w:right w:val="single" w:sz="2" w:space="0" w:color="auto"/>
            </w:tcBorders>
            <w:vAlign w:val="center"/>
          </w:tcPr>
          <w:p w14:paraId="0D709BF3" w14:textId="77777777" w:rsidR="001D26E7" w:rsidRPr="00F614F9" w:rsidRDefault="00000000" w:rsidP="00886EFE">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受限</w:t>
            </w:r>
          </w:p>
        </w:tc>
      </w:tr>
      <w:tr w:rsidR="001D26E7" w:rsidRPr="00F614F9" w14:paraId="2F8B6B13"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C306DE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借款保证金</w:t>
            </w:r>
          </w:p>
        </w:tc>
        <w:tc>
          <w:tcPr>
            <w:tcW w:w="2410" w:type="dxa"/>
            <w:tcBorders>
              <w:top w:val="single" w:sz="2" w:space="0" w:color="auto"/>
              <w:left w:val="single" w:sz="2" w:space="0" w:color="auto"/>
              <w:bottom w:val="single" w:sz="2" w:space="0" w:color="auto"/>
              <w:right w:val="single" w:sz="2" w:space="0" w:color="auto"/>
            </w:tcBorders>
            <w:vAlign w:val="center"/>
          </w:tcPr>
          <w:p w14:paraId="08F47B5B"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62CF60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2.00</w:t>
            </w:r>
          </w:p>
        </w:tc>
        <w:tc>
          <w:tcPr>
            <w:tcW w:w="2410" w:type="dxa"/>
            <w:tcBorders>
              <w:top w:val="single" w:sz="2" w:space="0" w:color="auto"/>
              <w:left w:val="single" w:sz="2" w:space="0" w:color="auto"/>
              <w:bottom w:val="single" w:sz="2" w:space="0" w:color="auto"/>
              <w:right w:val="single" w:sz="2" w:space="0" w:color="auto"/>
            </w:tcBorders>
            <w:vAlign w:val="center"/>
          </w:tcPr>
          <w:p w14:paraId="25E72537" w14:textId="77777777" w:rsidR="001D26E7" w:rsidRPr="00F614F9" w:rsidRDefault="00000000" w:rsidP="00886EFE">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受限</w:t>
            </w:r>
          </w:p>
        </w:tc>
      </w:tr>
      <w:tr w:rsidR="001D26E7" w:rsidRPr="00F614F9" w14:paraId="642A158F"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297854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定期存款</w:t>
            </w:r>
          </w:p>
        </w:tc>
        <w:tc>
          <w:tcPr>
            <w:tcW w:w="2410" w:type="dxa"/>
            <w:tcBorders>
              <w:top w:val="single" w:sz="2" w:space="0" w:color="auto"/>
              <w:left w:val="single" w:sz="2" w:space="0" w:color="auto"/>
              <w:bottom w:val="single" w:sz="2" w:space="0" w:color="auto"/>
              <w:right w:val="single" w:sz="2" w:space="0" w:color="auto"/>
            </w:tcBorders>
            <w:vAlign w:val="center"/>
          </w:tcPr>
          <w:p w14:paraId="59E1CD2A"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688973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612,000,000.00</w:t>
            </w:r>
          </w:p>
        </w:tc>
        <w:tc>
          <w:tcPr>
            <w:tcW w:w="2410" w:type="dxa"/>
            <w:tcBorders>
              <w:top w:val="single" w:sz="2" w:space="0" w:color="auto"/>
              <w:left w:val="single" w:sz="2" w:space="0" w:color="auto"/>
              <w:bottom w:val="single" w:sz="2" w:space="0" w:color="auto"/>
              <w:right w:val="single" w:sz="2" w:space="0" w:color="auto"/>
            </w:tcBorders>
            <w:vAlign w:val="center"/>
          </w:tcPr>
          <w:p w14:paraId="011D82A8" w14:textId="77777777" w:rsidR="001D26E7" w:rsidRPr="00F614F9" w:rsidRDefault="00000000" w:rsidP="00886EFE">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受限</w:t>
            </w:r>
          </w:p>
        </w:tc>
      </w:tr>
      <w:tr w:rsidR="001D26E7" w:rsidRPr="00F614F9" w14:paraId="586B866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D8A077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734C159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489,257,520.12</w:t>
            </w:r>
          </w:p>
        </w:tc>
        <w:tc>
          <w:tcPr>
            <w:tcW w:w="2410" w:type="dxa"/>
            <w:tcBorders>
              <w:top w:val="single" w:sz="2" w:space="0" w:color="auto"/>
              <w:left w:val="single" w:sz="2" w:space="0" w:color="auto"/>
              <w:bottom w:val="single" w:sz="2" w:space="0" w:color="auto"/>
              <w:right w:val="single" w:sz="2" w:space="0" w:color="auto"/>
            </w:tcBorders>
            <w:vAlign w:val="center"/>
          </w:tcPr>
          <w:p w14:paraId="48E66EF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1,106,802,679.51</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B3C03D3" w14:textId="77777777" w:rsidR="001D26E7" w:rsidRPr="00F614F9" w:rsidRDefault="001D26E7" w:rsidP="00886EFE">
            <w:pPr>
              <w:jc w:val="center"/>
              <w:rPr>
                <w:rFonts w:ascii="Times New Roman" w:hAnsi="Times New Roman"/>
              </w:rPr>
            </w:pPr>
          </w:p>
        </w:tc>
      </w:tr>
    </w:tbl>
    <w:p w14:paraId="3010D618"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10F23009" w14:textId="77777777" w:rsidR="00872599" w:rsidRPr="00F614F9" w:rsidRDefault="00000000">
      <w:pPr>
        <w:pStyle w:val="a3"/>
        <w:divId w:val="432943307"/>
        <w:rPr>
          <w:rFonts w:ascii="Times New Roman" w:hAnsi="Times New Roman"/>
          <w:sz w:val="18"/>
          <w:szCs w:val="18"/>
        </w:rPr>
      </w:pPr>
      <w:r w:rsidRPr="00F614F9">
        <w:rPr>
          <w:rFonts w:ascii="Times New Roman" w:hAnsi="Times New Roman" w:hint="eastAsia"/>
          <w:sz w:val="18"/>
          <w:szCs w:val="18"/>
        </w:rPr>
        <w:t>无</w:t>
      </w:r>
    </w:p>
    <w:p w14:paraId="36299087"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06" w:name="_Toc989344"/>
      <w:r w:rsidRPr="00F614F9">
        <w:rPr>
          <w:rFonts w:ascii="Times New Roman" w:eastAsia="宋体" w:hAnsi="Times New Roman" w:cs="宋体"/>
          <w:b/>
          <w:bCs/>
          <w:szCs w:val="21"/>
        </w:rPr>
        <w:t>（</w:t>
      </w:r>
      <w:r w:rsidRPr="00F614F9">
        <w:rPr>
          <w:rFonts w:ascii="Times New Roman" w:eastAsia="宋体" w:hAnsi="Times New Roman" w:cs="宋体"/>
          <w:b/>
          <w:bCs/>
          <w:szCs w:val="21"/>
        </w:rPr>
        <w:t>7</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其他重大活动说明</w:t>
      </w:r>
      <w:bookmarkEnd w:id="506"/>
    </w:p>
    <w:p w14:paraId="739A5AEA" w14:textId="77777777" w:rsidR="00872599" w:rsidRPr="00F614F9" w:rsidRDefault="00000000">
      <w:pPr>
        <w:pStyle w:val="a3"/>
        <w:divId w:val="995576095"/>
        <w:rPr>
          <w:rFonts w:ascii="Times New Roman" w:hAnsi="Times New Roman"/>
          <w:sz w:val="18"/>
          <w:szCs w:val="18"/>
        </w:rPr>
      </w:pPr>
      <w:r w:rsidRPr="00F614F9">
        <w:rPr>
          <w:rFonts w:ascii="Times New Roman" w:hAnsi="Times New Roman" w:hint="eastAsia"/>
          <w:sz w:val="18"/>
          <w:szCs w:val="18"/>
        </w:rPr>
        <w:t>无</w:t>
      </w:r>
    </w:p>
    <w:p w14:paraId="039EB4FA" w14:textId="77777777" w:rsidR="001D26E7" w:rsidRPr="00F614F9" w:rsidRDefault="00000000">
      <w:pPr>
        <w:pStyle w:val="3"/>
        <w:spacing w:line="280" w:lineRule="exact"/>
        <w:jc w:val="left"/>
        <w:rPr>
          <w:rFonts w:ascii="Times New Roman" w:hAnsi="Times New Roman" w:cs="宋体"/>
          <w:b/>
          <w:bCs/>
        </w:rPr>
      </w:pPr>
      <w:bookmarkStart w:id="507" w:name="_Toc989345"/>
      <w:r w:rsidRPr="00F614F9">
        <w:rPr>
          <w:rFonts w:ascii="Times New Roman" w:hAnsi="Times New Roman" w:cs="宋体"/>
          <w:b/>
          <w:bCs/>
        </w:rPr>
        <w:t>80</w:t>
      </w:r>
      <w:r w:rsidRPr="00F614F9">
        <w:rPr>
          <w:rFonts w:ascii="Times New Roman" w:hAnsi="Times New Roman" w:cs="宋体"/>
          <w:b/>
          <w:bCs/>
        </w:rPr>
        <w:t>、所有者权益变动</w:t>
      </w:r>
      <w:proofErr w:type="gramStart"/>
      <w:r w:rsidRPr="00F614F9">
        <w:rPr>
          <w:rFonts w:ascii="Times New Roman" w:hAnsi="Times New Roman" w:cs="宋体"/>
          <w:b/>
          <w:bCs/>
        </w:rPr>
        <w:t>表项目</w:t>
      </w:r>
      <w:proofErr w:type="gramEnd"/>
      <w:r w:rsidRPr="00F614F9">
        <w:rPr>
          <w:rFonts w:ascii="Times New Roman" w:hAnsi="Times New Roman" w:cs="宋体"/>
          <w:b/>
          <w:bCs/>
        </w:rPr>
        <w:t>注释</w:t>
      </w:r>
      <w:bookmarkEnd w:id="507"/>
    </w:p>
    <w:p w14:paraId="7A9198EF"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说明对上年年末余额进行调整的</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其他</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项目名称及调整金额等事项：</w:t>
      </w:r>
    </w:p>
    <w:p w14:paraId="3EA4F8EB" w14:textId="77777777" w:rsidR="00872599" w:rsidRPr="00F614F9" w:rsidRDefault="00000000">
      <w:pPr>
        <w:pStyle w:val="a3"/>
        <w:divId w:val="675768783"/>
        <w:rPr>
          <w:rFonts w:ascii="Times New Roman" w:hAnsi="Times New Roman"/>
          <w:sz w:val="18"/>
          <w:szCs w:val="18"/>
        </w:rPr>
      </w:pPr>
      <w:r w:rsidRPr="00F614F9">
        <w:rPr>
          <w:rFonts w:ascii="Times New Roman" w:hAnsi="Times New Roman" w:hint="eastAsia"/>
          <w:sz w:val="18"/>
          <w:szCs w:val="18"/>
        </w:rPr>
        <w:t>无</w:t>
      </w:r>
    </w:p>
    <w:p w14:paraId="59EE1F05" w14:textId="77777777" w:rsidR="001D26E7" w:rsidRPr="00F614F9" w:rsidRDefault="00000000">
      <w:pPr>
        <w:pStyle w:val="3"/>
        <w:spacing w:line="280" w:lineRule="exact"/>
        <w:jc w:val="left"/>
        <w:rPr>
          <w:rFonts w:ascii="Times New Roman" w:hAnsi="Times New Roman" w:cs="宋体"/>
          <w:b/>
          <w:bCs/>
        </w:rPr>
      </w:pPr>
      <w:bookmarkStart w:id="508" w:name="_Toc989346"/>
      <w:r w:rsidRPr="00F614F9">
        <w:rPr>
          <w:rFonts w:ascii="Times New Roman" w:hAnsi="Times New Roman" w:cs="宋体"/>
          <w:b/>
          <w:bCs/>
        </w:rPr>
        <w:lastRenderedPageBreak/>
        <w:t>81</w:t>
      </w:r>
      <w:r w:rsidRPr="00F614F9">
        <w:rPr>
          <w:rFonts w:ascii="Times New Roman" w:hAnsi="Times New Roman" w:cs="宋体"/>
          <w:b/>
          <w:bCs/>
        </w:rPr>
        <w:t>、外币货币性项目</w:t>
      </w:r>
      <w:bookmarkEnd w:id="508"/>
    </w:p>
    <w:p w14:paraId="1F28DFE1"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09" w:name="_Toc989347"/>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外币货币性项目</w:t>
      </w:r>
      <w:bookmarkEnd w:id="509"/>
    </w:p>
    <w:p w14:paraId="7E218523"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1D26E7" w:rsidRPr="00F614F9" w14:paraId="19DD5B4C" w14:textId="77777777" w:rsidTr="001B61B9">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66FD9E1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AA6439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期末外币余额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77C38B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折算汇率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398D98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期末折算人民币余额</w:t>
            </w:r>
          </w:p>
        </w:tc>
      </w:tr>
      <w:tr w:rsidR="001D26E7" w:rsidRPr="00F614F9" w14:paraId="71001846" w14:textId="77777777" w:rsidTr="001B61B9">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5C042AE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货币资金</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6EDE364" w14:textId="77777777" w:rsidR="001D26E7" w:rsidRPr="00F614F9" w:rsidRDefault="001D26E7">
            <w:pPr>
              <w:rPr>
                <w:rFonts w:ascii="Times New Roman" w:hAnsi="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F392B27" w14:textId="77777777" w:rsidR="001D26E7" w:rsidRPr="00F614F9" w:rsidRDefault="001D26E7">
            <w:pPr>
              <w:rPr>
                <w:rFonts w:ascii="Times New Roman" w:hAnsi="Times New Roman"/>
              </w:rPr>
            </w:pPr>
          </w:p>
        </w:tc>
        <w:tc>
          <w:tcPr>
            <w:tcW w:w="2410" w:type="dxa"/>
            <w:tcBorders>
              <w:top w:val="single" w:sz="2" w:space="0" w:color="auto"/>
              <w:left w:val="single" w:sz="2" w:space="0" w:color="auto"/>
              <w:bottom w:val="single" w:sz="2" w:space="0" w:color="auto"/>
              <w:right w:val="single" w:sz="2" w:space="0" w:color="auto"/>
            </w:tcBorders>
            <w:vAlign w:val="center"/>
          </w:tcPr>
          <w:p w14:paraId="1F39370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44,487.23</w:t>
            </w:r>
          </w:p>
        </w:tc>
      </w:tr>
      <w:tr w:rsidR="001D26E7" w:rsidRPr="00F614F9" w14:paraId="29BFBC41" w14:textId="77777777" w:rsidTr="001B61B9">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2BB0196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14:paraId="1DCAAA6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6,281.10</w:t>
            </w:r>
          </w:p>
        </w:tc>
        <w:tc>
          <w:tcPr>
            <w:tcW w:w="2410" w:type="dxa"/>
            <w:tcBorders>
              <w:top w:val="single" w:sz="2" w:space="0" w:color="auto"/>
              <w:left w:val="single" w:sz="2" w:space="0" w:color="auto"/>
              <w:bottom w:val="single" w:sz="2" w:space="0" w:color="auto"/>
              <w:right w:val="single" w:sz="2" w:space="0" w:color="auto"/>
            </w:tcBorders>
            <w:vAlign w:val="center"/>
          </w:tcPr>
          <w:p w14:paraId="02F9120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7.0827</w:t>
            </w:r>
          </w:p>
        </w:tc>
        <w:tc>
          <w:tcPr>
            <w:tcW w:w="2410" w:type="dxa"/>
            <w:tcBorders>
              <w:top w:val="single" w:sz="2" w:space="0" w:color="auto"/>
              <w:left w:val="single" w:sz="2" w:space="0" w:color="auto"/>
              <w:bottom w:val="single" w:sz="2" w:space="0" w:color="auto"/>
              <w:right w:val="single" w:sz="2" w:space="0" w:color="auto"/>
            </w:tcBorders>
            <w:vAlign w:val="center"/>
          </w:tcPr>
          <w:p w14:paraId="28358F1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44,487.15</w:t>
            </w:r>
          </w:p>
        </w:tc>
      </w:tr>
      <w:tr w:rsidR="001D26E7" w:rsidRPr="00F614F9" w14:paraId="1162A76E" w14:textId="77777777" w:rsidTr="001B61B9">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3BA5D1FF"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14:paraId="6375E8F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0.01</w:t>
            </w:r>
          </w:p>
        </w:tc>
        <w:tc>
          <w:tcPr>
            <w:tcW w:w="2410" w:type="dxa"/>
            <w:tcBorders>
              <w:top w:val="single" w:sz="2" w:space="0" w:color="auto"/>
              <w:left w:val="single" w:sz="2" w:space="0" w:color="auto"/>
              <w:bottom w:val="single" w:sz="2" w:space="0" w:color="auto"/>
              <w:right w:val="single" w:sz="2" w:space="0" w:color="auto"/>
            </w:tcBorders>
            <w:vAlign w:val="center"/>
          </w:tcPr>
          <w:p w14:paraId="3D76666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 7.85920000</w:t>
            </w:r>
          </w:p>
        </w:tc>
        <w:tc>
          <w:tcPr>
            <w:tcW w:w="2410" w:type="dxa"/>
            <w:tcBorders>
              <w:top w:val="single" w:sz="2" w:space="0" w:color="auto"/>
              <w:left w:val="single" w:sz="2" w:space="0" w:color="auto"/>
              <w:bottom w:val="single" w:sz="2" w:space="0" w:color="auto"/>
              <w:right w:val="single" w:sz="2" w:space="0" w:color="auto"/>
            </w:tcBorders>
            <w:vAlign w:val="center"/>
          </w:tcPr>
          <w:p w14:paraId="02444DA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0.08</w:t>
            </w:r>
          </w:p>
        </w:tc>
      </w:tr>
      <w:tr w:rsidR="001D26E7" w:rsidRPr="00F614F9" w14:paraId="4F9E57DF" w14:textId="77777777" w:rsidTr="001B61B9">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10BDD233"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14:paraId="5D35B196"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FEAB722" w14:textId="77777777" w:rsidR="001D26E7" w:rsidRPr="00F614F9" w:rsidRDefault="001D26E7">
            <w:pPr>
              <w:spacing w:line="240" w:lineRule="exac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A8085E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2B077E8" w14:textId="77777777" w:rsidTr="001B61B9">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089DD524" w14:textId="77777777" w:rsidR="001D26E7" w:rsidRPr="00F614F9" w:rsidRDefault="001D26E7">
            <w:pPr>
              <w:spacing w:line="240" w:lineRule="exac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A06725D"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45E1AAC" w14:textId="77777777" w:rsidR="001D26E7" w:rsidRPr="00F614F9" w:rsidRDefault="001D26E7">
            <w:pPr>
              <w:spacing w:line="240" w:lineRule="exac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9321DD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434DA24" w14:textId="77777777" w:rsidTr="001B61B9">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56F4EA3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应收账款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CC9AE73" w14:textId="77777777" w:rsidR="001D26E7" w:rsidRPr="00F614F9" w:rsidRDefault="001D26E7">
            <w:pPr>
              <w:rPr>
                <w:rFonts w:ascii="Times New Roman" w:hAnsi="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0363849" w14:textId="77777777" w:rsidR="001D26E7" w:rsidRPr="00F614F9" w:rsidRDefault="001D26E7">
            <w:pPr>
              <w:rPr>
                <w:rFonts w:ascii="Times New Roman" w:hAnsi="Times New Roman"/>
              </w:rPr>
            </w:pPr>
          </w:p>
        </w:tc>
        <w:tc>
          <w:tcPr>
            <w:tcW w:w="2410" w:type="dxa"/>
            <w:tcBorders>
              <w:top w:val="single" w:sz="2" w:space="0" w:color="auto"/>
              <w:left w:val="single" w:sz="2" w:space="0" w:color="auto"/>
              <w:bottom w:val="single" w:sz="2" w:space="0" w:color="auto"/>
              <w:right w:val="single" w:sz="2" w:space="0" w:color="auto"/>
            </w:tcBorders>
            <w:vAlign w:val="center"/>
          </w:tcPr>
          <w:p w14:paraId="2B1A1F70"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6EDDD49" w14:textId="77777777" w:rsidTr="001B61B9">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1AA1516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14:paraId="39BB8F7D"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B7C906A" w14:textId="77777777" w:rsidR="001D26E7" w:rsidRPr="00F614F9" w:rsidRDefault="001D26E7">
            <w:pPr>
              <w:spacing w:line="240" w:lineRule="exac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4BD22D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58C6813" w14:textId="77777777" w:rsidTr="001B61B9">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6E4EEAD2"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14:paraId="6493680F"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60BE557" w14:textId="77777777" w:rsidR="001D26E7" w:rsidRPr="00F614F9" w:rsidRDefault="001D26E7">
            <w:pPr>
              <w:spacing w:line="240" w:lineRule="exac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169DE93"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7BDF853" w14:textId="77777777" w:rsidTr="001B61B9">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16815CFF"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14:paraId="7BD97009"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FABFB75" w14:textId="77777777" w:rsidR="001D26E7" w:rsidRPr="00F614F9" w:rsidRDefault="001D26E7">
            <w:pPr>
              <w:spacing w:line="240" w:lineRule="exac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3DAB0D0"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305FAB7" w14:textId="77777777" w:rsidTr="001B61B9">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2DEC5D0C" w14:textId="77777777" w:rsidR="001D26E7" w:rsidRPr="00F614F9" w:rsidRDefault="006631BB" w:rsidP="006631BB">
            <w:pPr>
              <w:spacing w:line="240" w:lineRule="exact"/>
              <w:ind w:firstLineChars="300" w:firstLine="540"/>
              <w:rPr>
                <w:rFonts w:ascii="Times New Roman" w:eastAsia="宋体" w:hAnsi="Times New Roman" w:cs="宋体"/>
                <w:sz w:val="18"/>
                <w:szCs w:val="18"/>
              </w:rPr>
            </w:pPr>
            <w:r>
              <w:rPr>
                <w:rFonts w:ascii="Times New Roman" w:eastAsia="宋体" w:hAnsi="Times New Roman" w:cs="宋体" w:hint="eastAsia"/>
                <w:sz w:val="18"/>
                <w:szCs w:val="18"/>
              </w:rPr>
              <w:t>日元</w:t>
            </w:r>
          </w:p>
        </w:tc>
        <w:tc>
          <w:tcPr>
            <w:tcW w:w="2410" w:type="dxa"/>
            <w:tcBorders>
              <w:top w:val="single" w:sz="2" w:space="0" w:color="auto"/>
              <w:left w:val="single" w:sz="2" w:space="0" w:color="auto"/>
              <w:bottom w:val="single" w:sz="2" w:space="0" w:color="auto"/>
              <w:right w:val="single" w:sz="2" w:space="0" w:color="auto"/>
            </w:tcBorders>
            <w:vAlign w:val="center"/>
          </w:tcPr>
          <w:p w14:paraId="5FBA677B"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D20B686" w14:textId="77777777" w:rsidR="001D26E7" w:rsidRPr="00F614F9" w:rsidRDefault="001D26E7">
            <w:pPr>
              <w:spacing w:line="240" w:lineRule="exac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B06E82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8784652" w14:textId="77777777" w:rsidTr="001B61B9">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676FF55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长期借款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D236FDB" w14:textId="77777777" w:rsidR="001D26E7" w:rsidRPr="00F614F9" w:rsidRDefault="001D26E7">
            <w:pPr>
              <w:rPr>
                <w:rFonts w:ascii="Times New Roman" w:hAnsi="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3870451" w14:textId="77777777" w:rsidR="001D26E7" w:rsidRPr="00F614F9" w:rsidRDefault="001D26E7">
            <w:pPr>
              <w:rPr>
                <w:rFonts w:ascii="Times New Roman" w:hAnsi="Times New Roman"/>
              </w:rPr>
            </w:pPr>
          </w:p>
        </w:tc>
        <w:tc>
          <w:tcPr>
            <w:tcW w:w="2410" w:type="dxa"/>
            <w:tcBorders>
              <w:top w:val="single" w:sz="2" w:space="0" w:color="auto"/>
              <w:left w:val="single" w:sz="2" w:space="0" w:color="auto"/>
              <w:bottom w:val="single" w:sz="2" w:space="0" w:color="auto"/>
              <w:right w:val="single" w:sz="2" w:space="0" w:color="auto"/>
            </w:tcBorders>
            <w:vAlign w:val="center"/>
          </w:tcPr>
          <w:p w14:paraId="4DBD7682"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2A732E6" w14:textId="77777777" w:rsidTr="001B61B9">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392EA39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14:paraId="4D478032"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B0DE6EA" w14:textId="77777777" w:rsidR="001D26E7" w:rsidRPr="00F614F9" w:rsidRDefault="001D26E7">
            <w:pPr>
              <w:spacing w:line="240" w:lineRule="exac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F60764C"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A6AA02F" w14:textId="77777777" w:rsidTr="001B61B9">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435893F8"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14:paraId="383178F2"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CF9AC50" w14:textId="77777777" w:rsidR="001D26E7" w:rsidRPr="00F614F9" w:rsidRDefault="001D26E7">
            <w:pPr>
              <w:spacing w:line="240" w:lineRule="exac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1544F1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47C13F3" w14:textId="77777777" w:rsidTr="001B61B9">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779016E5"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14:paraId="6DCB37A4"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8227083" w14:textId="77777777" w:rsidR="001D26E7" w:rsidRPr="00F614F9" w:rsidRDefault="001D26E7">
            <w:pPr>
              <w:spacing w:line="240" w:lineRule="exac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C4314A6" w14:textId="77777777" w:rsidR="001D26E7" w:rsidRPr="00F614F9" w:rsidRDefault="001D26E7">
            <w:pPr>
              <w:spacing w:line="240" w:lineRule="exact"/>
              <w:jc w:val="right"/>
              <w:rPr>
                <w:rFonts w:ascii="Times New Roman" w:eastAsia="宋体" w:hAnsi="Times New Roman" w:cs="宋体"/>
                <w:sz w:val="18"/>
                <w:szCs w:val="18"/>
              </w:rPr>
            </w:pPr>
          </w:p>
        </w:tc>
      </w:tr>
      <w:tr w:rsidR="001B61B9" w:rsidRPr="00F614F9" w14:paraId="412D772F" w14:textId="77777777" w:rsidTr="001B61B9">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67161D7A" w14:textId="77777777" w:rsidR="001B61B9" w:rsidRPr="001B61B9" w:rsidRDefault="001B61B9" w:rsidP="001B61B9">
            <w:pPr>
              <w:widowControl/>
              <w:rPr>
                <w:rFonts w:ascii="宋体" w:eastAsia="宋体" w:hAnsi="宋体"/>
                <w:sz w:val="18"/>
                <w:szCs w:val="18"/>
              </w:rPr>
            </w:pPr>
            <w:r w:rsidRPr="001B61B9">
              <w:rPr>
                <w:rFonts w:ascii="宋体" w:eastAsia="宋体" w:hAnsi="宋体" w:hint="eastAsia"/>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tcPr>
          <w:p w14:paraId="5675C71B" w14:textId="77777777" w:rsidR="001B61B9" w:rsidRPr="001B61B9" w:rsidRDefault="001B61B9" w:rsidP="001B61B9">
            <w:pPr>
              <w:jc w:val="right"/>
              <w:rPr>
                <w:rFonts w:ascii="Times New Roman" w:eastAsia="宋体" w:hAnsi="Times New Roman" w:cs="Times New Roman"/>
                <w:sz w:val="18"/>
                <w:szCs w:val="18"/>
              </w:rPr>
            </w:pPr>
            <w:r w:rsidRPr="001B61B9">
              <w:rPr>
                <w:rFonts w:ascii="Times New Roman" w:eastAsia="宋体" w:hAnsi="Times New Roman" w:cs="Times New Roman"/>
                <w:sz w:val="18"/>
                <w:szCs w:val="18"/>
              </w:rPr>
              <w:t xml:space="preserve">　</w:t>
            </w:r>
          </w:p>
        </w:tc>
        <w:tc>
          <w:tcPr>
            <w:tcW w:w="2410" w:type="dxa"/>
            <w:tcBorders>
              <w:top w:val="single" w:sz="2" w:space="0" w:color="auto"/>
              <w:left w:val="single" w:sz="2" w:space="0" w:color="auto"/>
              <w:bottom w:val="single" w:sz="2" w:space="0" w:color="auto"/>
              <w:right w:val="single" w:sz="2" w:space="0" w:color="auto"/>
            </w:tcBorders>
            <w:vAlign w:val="center"/>
          </w:tcPr>
          <w:p w14:paraId="7F644553" w14:textId="77777777" w:rsidR="001B61B9" w:rsidRPr="001B61B9" w:rsidRDefault="001B61B9" w:rsidP="001B61B9">
            <w:pPr>
              <w:rPr>
                <w:rFonts w:ascii="Times New Roman" w:eastAsia="宋体" w:hAnsi="Times New Roman" w:cs="Times New Roman"/>
                <w:sz w:val="18"/>
                <w:szCs w:val="18"/>
              </w:rPr>
            </w:pPr>
            <w:r w:rsidRPr="001B61B9">
              <w:rPr>
                <w:rFonts w:ascii="Times New Roman" w:eastAsia="宋体" w:hAnsi="Times New Roman" w:cs="Times New Roman"/>
                <w:sz w:val="18"/>
                <w:szCs w:val="18"/>
              </w:rPr>
              <w:t xml:space="preserve">　</w:t>
            </w:r>
          </w:p>
        </w:tc>
        <w:tc>
          <w:tcPr>
            <w:tcW w:w="2410" w:type="dxa"/>
            <w:tcBorders>
              <w:top w:val="single" w:sz="2" w:space="0" w:color="auto"/>
              <w:left w:val="single" w:sz="2" w:space="0" w:color="auto"/>
              <w:bottom w:val="single" w:sz="2" w:space="0" w:color="auto"/>
              <w:right w:val="single" w:sz="2" w:space="0" w:color="auto"/>
            </w:tcBorders>
            <w:vAlign w:val="center"/>
          </w:tcPr>
          <w:p w14:paraId="44C47E48" w14:textId="77777777" w:rsidR="001B61B9" w:rsidRPr="001B61B9" w:rsidRDefault="001B61B9" w:rsidP="001B61B9">
            <w:pPr>
              <w:jc w:val="right"/>
              <w:rPr>
                <w:rFonts w:ascii="Times New Roman" w:eastAsia="宋体" w:hAnsi="Times New Roman" w:cs="Times New Roman"/>
                <w:sz w:val="18"/>
                <w:szCs w:val="18"/>
              </w:rPr>
            </w:pPr>
            <w:r w:rsidRPr="001B61B9">
              <w:rPr>
                <w:rFonts w:ascii="Times New Roman" w:eastAsia="宋体" w:hAnsi="Times New Roman" w:cs="Times New Roman"/>
                <w:sz w:val="18"/>
                <w:szCs w:val="18"/>
              </w:rPr>
              <w:t>162,529.61</w:t>
            </w:r>
          </w:p>
        </w:tc>
      </w:tr>
      <w:tr w:rsidR="001B61B9" w:rsidRPr="00F614F9" w14:paraId="1EDE599D" w14:textId="77777777" w:rsidTr="001B61B9">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0842168D" w14:textId="77777777" w:rsidR="001B61B9" w:rsidRPr="001B61B9" w:rsidRDefault="001B61B9" w:rsidP="001B61B9">
            <w:pPr>
              <w:rPr>
                <w:rFonts w:ascii="宋体" w:eastAsia="宋体" w:hAnsi="宋体"/>
                <w:sz w:val="18"/>
                <w:szCs w:val="18"/>
              </w:rPr>
            </w:pPr>
            <w:r w:rsidRPr="001B61B9">
              <w:rPr>
                <w:rFonts w:ascii="宋体" w:eastAsia="宋体" w:hAnsi="宋体" w:hint="eastAsia"/>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14:paraId="6A67D5D8" w14:textId="77777777" w:rsidR="001B61B9" w:rsidRPr="001B61B9" w:rsidRDefault="001B61B9" w:rsidP="001B61B9">
            <w:pPr>
              <w:jc w:val="right"/>
              <w:rPr>
                <w:rFonts w:ascii="Times New Roman" w:eastAsia="宋体" w:hAnsi="Times New Roman" w:cs="Times New Roman"/>
                <w:sz w:val="18"/>
                <w:szCs w:val="18"/>
              </w:rPr>
            </w:pPr>
            <w:r w:rsidRPr="001B61B9">
              <w:rPr>
                <w:rFonts w:ascii="Times New Roman" w:eastAsia="宋体" w:hAnsi="Times New Roman" w:cs="Times New Roman"/>
                <w:sz w:val="18"/>
                <w:szCs w:val="18"/>
              </w:rPr>
              <w:t>12,541.91</w:t>
            </w:r>
          </w:p>
        </w:tc>
        <w:tc>
          <w:tcPr>
            <w:tcW w:w="2410" w:type="dxa"/>
            <w:tcBorders>
              <w:top w:val="single" w:sz="2" w:space="0" w:color="auto"/>
              <w:left w:val="single" w:sz="2" w:space="0" w:color="auto"/>
              <w:bottom w:val="single" w:sz="2" w:space="0" w:color="auto"/>
              <w:right w:val="single" w:sz="2" w:space="0" w:color="auto"/>
            </w:tcBorders>
            <w:vAlign w:val="center"/>
          </w:tcPr>
          <w:p w14:paraId="2C83A945" w14:textId="77777777" w:rsidR="001B61B9" w:rsidRPr="001B61B9" w:rsidRDefault="001B61B9" w:rsidP="001B61B9">
            <w:pPr>
              <w:rPr>
                <w:rFonts w:ascii="Times New Roman" w:eastAsia="宋体" w:hAnsi="Times New Roman" w:cs="Times New Roman"/>
                <w:sz w:val="18"/>
                <w:szCs w:val="18"/>
              </w:rPr>
            </w:pPr>
            <w:r w:rsidRPr="001B61B9">
              <w:rPr>
                <w:rFonts w:ascii="Times New Roman" w:eastAsia="宋体" w:hAnsi="Times New Roman" w:cs="Times New Roman"/>
                <w:sz w:val="18"/>
                <w:szCs w:val="18"/>
              </w:rPr>
              <w:t>7.0827</w:t>
            </w:r>
          </w:p>
        </w:tc>
        <w:tc>
          <w:tcPr>
            <w:tcW w:w="2410" w:type="dxa"/>
            <w:tcBorders>
              <w:top w:val="single" w:sz="2" w:space="0" w:color="auto"/>
              <w:left w:val="single" w:sz="2" w:space="0" w:color="auto"/>
              <w:bottom w:val="single" w:sz="2" w:space="0" w:color="auto"/>
              <w:right w:val="single" w:sz="2" w:space="0" w:color="auto"/>
            </w:tcBorders>
            <w:vAlign w:val="center"/>
          </w:tcPr>
          <w:p w14:paraId="520181D3" w14:textId="77777777" w:rsidR="001B61B9" w:rsidRPr="001B61B9" w:rsidRDefault="001B61B9" w:rsidP="001B61B9">
            <w:pPr>
              <w:jc w:val="right"/>
              <w:rPr>
                <w:rFonts w:ascii="Times New Roman" w:eastAsia="宋体" w:hAnsi="Times New Roman" w:cs="Times New Roman"/>
                <w:sz w:val="18"/>
                <w:szCs w:val="18"/>
              </w:rPr>
            </w:pPr>
            <w:r w:rsidRPr="001B61B9">
              <w:rPr>
                <w:rFonts w:ascii="Times New Roman" w:eastAsia="宋体" w:hAnsi="Times New Roman" w:cs="Times New Roman"/>
                <w:sz w:val="18"/>
                <w:szCs w:val="18"/>
              </w:rPr>
              <w:t>88,830.59</w:t>
            </w:r>
          </w:p>
        </w:tc>
      </w:tr>
      <w:tr w:rsidR="001B61B9" w:rsidRPr="00F614F9" w14:paraId="5F960281" w14:textId="77777777" w:rsidTr="001B61B9">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5320AD55" w14:textId="77777777" w:rsidR="001B61B9" w:rsidRPr="001B61B9" w:rsidRDefault="001B61B9" w:rsidP="001B61B9">
            <w:pPr>
              <w:rPr>
                <w:rFonts w:ascii="宋体" w:eastAsia="宋体" w:hAnsi="宋体"/>
                <w:sz w:val="18"/>
                <w:szCs w:val="18"/>
              </w:rPr>
            </w:pPr>
            <w:r w:rsidRPr="001B61B9">
              <w:rPr>
                <w:rFonts w:ascii="宋体" w:eastAsia="宋体" w:hAnsi="宋体" w:hint="eastAsia"/>
                <w:sz w:val="18"/>
                <w:szCs w:val="18"/>
              </w:rPr>
              <w:t>日元</w:t>
            </w:r>
          </w:p>
        </w:tc>
        <w:tc>
          <w:tcPr>
            <w:tcW w:w="2410" w:type="dxa"/>
            <w:tcBorders>
              <w:top w:val="single" w:sz="2" w:space="0" w:color="auto"/>
              <w:left w:val="single" w:sz="2" w:space="0" w:color="auto"/>
              <w:bottom w:val="single" w:sz="2" w:space="0" w:color="auto"/>
              <w:right w:val="single" w:sz="2" w:space="0" w:color="auto"/>
            </w:tcBorders>
            <w:vAlign w:val="center"/>
          </w:tcPr>
          <w:p w14:paraId="27A672CB" w14:textId="77777777" w:rsidR="001B61B9" w:rsidRPr="001B61B9" w:rsidRDefault="001B61B9" w:rsidP="001B61B9">
            <w:pPr>
              <w:jc w:val="right"/>
              <w:rPr>
                <w:rFonts w:ascii="Times New Roman" w:eastAsia="宋体" w:hAnsi="Times New Roman" w:cs="Times New Roman"/>
                <w:sz w:val="18"/>
                <w:szCs w:val="18"/>
              </w:rPr>
            </w:pPr>
            <w:r w:rsidRPr="001B61B9">
              <w:rPr>
                <w:rFonts w:ascii="Times New Roman" w:eastAsia="宋体" w:hAnsi="Times New Roman" w:cs="Times New Roman"/>
                <w:sz w:val="18"/>
                <w:szCs w:val="18"/>
              </w:rPr>
              <w:t>1,820,000.00</w:t>
            </w:r>
          </w:p>
        </w:tc>
        <w:tc>
          <w:tcPr>
            <w:tcW w:w="2410" w:type="dxa"/>
            <w:tcBorders>
              <w:top w:val="single" w:sz="2" w:space="0" w:color="auto"/>
              <w:left w:val="single" w:sz="2" w:space="0" w:color="auto"/>
              <w:bottom w:val="single" w:sz="2" w:space="0" w:color="auto"/>
              <w:right w:val="single" w:sz="2" w:space="0" w:color="auto"/>
            </w:tcBorders>
            <w:vAlign w:val="center"/>
          </w:tcPr>
          <w:p w14:paraId="378E9237" w14:textId="77777777" w:rsidR="001B61B9" w:rsidRPr="001B61B9" w:rsidRDefault="001B61B9" w:rsidP="001B61B9">
            <w:pPr>
              <w:rPr>
                <w:rFonts w:ascii="Times New Roman" w:eastAsia="宋体" w:hAnsi="Times New Roman" w:cs="Times New Roman"/>
                <w:sz w:val="18"/>
                <w:szCs w:val="18"/>
              </w:rPr>
            </w:pPr>
            <w:r w:rsidRPr="001B61B9">
              <w:rPr>
                <w:rFonts w:ascii="Times New Roman" w:eastAsia="宋体" w:hAnsi="Times New Roman" w:cs="Times New Roman"/>
                <w:sz w:val="18"/>
                <w:szCs w:val="18"/>
              </w:rPr>
              <w:t>0.0405</w:t>
            </w:r>
          </w:p>
        </w:tc>
        <w:tc>
          <w:tcPr>
            <w:tcW w:w="2410" w:type="dxa"/>
            <w:tcBorders>
              <w:top w:val="single" w:sz="2" w:space="0" w:color="auto"/>
              <w:left w:val="single" w:sz="2" w:space="0" w:color="auto"/>
              <w:bottom w:val="single" w:sz="2" w:space="0" w:color="auto"/>
              <w:right w:val="single" w:sz="2" w:space="0" w:color="auto"/>
            </w:tcBorders>
            <w:vAlign w:val="center"/>
          </w:tcPr>
          <w:p w14:paraId="738C11DB" w14:textId="77777777" w:rsidR="001B61B9" w:rsidRPr="001B61B9" w:rsidRDefault="001B61B9" w:rsidP="001B61B9">
            <w:pPr>
              <w:jc w:val="right"/>
              <w:rPr>
                <w:rFonts w:ascii="Times New Roman" w:eastAsia="宋体" w:hAnsi="Times New Roman" w:cs="Times New Roman"/>
                <w:sz w:val="18"/>
                <w:szCs w:val="18"/>
              </w:rPr>
            </w:pPr>
            <w:r w:rsidRPr="001B61B9">
              <w:rPr>
                <w:rFonts w:ascii="Times New Roman" w:eastAsia="宋体" w:hAnsi="Times New Roman" w:cs="Times New Roman"/>
                <w:sz w:val="18"/>
                <w:szCs w:val="18"/>
              </w:rPr>
              <w:t>73,699.02</w:t>
            </w:r>
          </w:p>
        </w:tc>
      </w:tr>
    </w:tbl>
    <w:p w14:paraId="18EB0A1F"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0BF01963" w14:textId="77777777" w:rsidR="00872599" w:rsidRPr="00F614F9" w:rsidRDefault="00000000">
      <w:pPr>
        <w:pStyle w:val="a3"/>
        <w:divId w:val="381298088"/>
        <w:rPr>
          <w:rFonts w:ascii="Times New Roman" w:hAnsi="Times New Roman"/>
          <w:sz w:val="18"/>
          <w:szCs w:val="18"/>
        </w:rPr>
      </w:pPr>
      <w:r w:rsidRPr="00F614F9">
        <w:rPr>
          <w:rFonts w:ascii="Times New Roman" w:hAnsi="Times New Roman" w:hint="eastAsia"/>
          <w:sz w:val="18"/>
          <w:szCs w:val="18"/>
        </w:rPr>
        <w:t>无</w:t>
      </w:r>
    </w:p>
    <w:p w14:paraId="150AA171"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10" w:name="_Toc989348"/>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境外经营实体说明，包括对于重要的境外经营实体，应披露其境外主要经营地、记账本位币及选择依据，记账本位币发生变化的还应披露原因。</w:t>
      </w:r>
      <w:bookmarkEnd w:id="510"/>
    </w:p>
    <w:p w14:paraId="53E0218C"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5873EC39" w14:textId="77777777" w:rsidR="001D26E7" w:rsidRPr="00F614F9" w:rsidRDefault="00000000">
      <w:pPr>
        <w:pStyle w:val="3"/>
        <w:spacing w:line="280" w:lineRule="exact"/>
        <w:jc w:val="left"/>
        <w:rPr>
          <w:rFonts w:ascii="Times New Roman" w:hAnsi="Times New Roman" w:cs="宋体"/>
          <w:b/>
          <w:bCs/>
        </w:rPr>
      </w:pPr>
      <w:bookmarkStart w:id="511" w:name="_Toc989349"/>
      <w:r w:rsidRPr="00F614F9">
        <w:rPr>
          <w:rFonts w:ascii="Times New Roman" w:hAnsi="Times New Roman" w:cs="宋体"/>
          <w:b/>
          <w:bCs/>
        </w:rPr>
        <w:t>82</w:t>
      </w:r>
      <w:r w:rsidRPr="00F614F9">
        <w:rPr>
          <w:rFonts w:ascii="Times New Roman" w:hAnsi="Times New Roman" w:cs="宋体"/>
          <w:b/>
          <w:bCs/>
        </w:rPr>
        <w:t>、租赁</w:t>
      </w:r>
      <w:bookmarkEnd w:id="511"/>
    </w:p>
    <w:p w14:paraId="723A23EA"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12" w:name="_Toc989350"/>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本公司作为承租方</w:t>
      </w:r>
      <w:bookmarkEnd w:id="512"/>
    </w:p>
    <w:p w14:paraId="3B80C6B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565413F3"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未纳入租赁负债计量的可变租赁付款额</w:t>
      </w:r>
    </w:p>
    <w:p w14:paraId="728E3754"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54ED7A7D"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简化处理的短期租赁或低价值资产的租赁费用</w:t>
      </w:r>
    </w:p>
    <w:p w14:paraId="3580F9AF" w14:textId="77777777" w:rsidR="001D26E7" w:rsidRPr="00F614F9" w:rsidRDefault="00C9135A" w:rsidP="00886EFE">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2FF7741C" w14:textId="77777777" w:rsidR="001D26E7" w:rsidRPr="00F614F9" w:rsidRDefault="00000000" w:rsidP="00886EFE">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涉及售后租回交易的情况</w:t>
      </w:r>
    </w:p>
    <w:p w14:paraId="432E1F3A" w14:textId="77777777" w:rsidR="00886EFE" w:rsidRPr="00C9135A" w:rsidRDefault="00C9135A" w:rsidP="00886EFE">
      <w:pPr>
        <w:spacing w:before="100" w:after="100" w:line="240" w:lineRule="exact"/>
        <w:rPr>
          <w:rFonts w:ascii="Times New Roman" w:eastAsia="宋体" w:hAnsi="Times New Roman" w:cs="宋体"/>
          <w:sz w:val="18"/>
          <w:szCs w:val="18"/>
        </w:rPr>
      </w:pPr>
      <w:r>
        <w:rPr>
          <w:rFonts w:ascii="Times New Roman" w:eastAsia="宋体" w:hAnsi="Times New Roman" w:cs="宋体" w:hint="eastAsia"/>
          <w:sz w:val="18"/>
          <w:szCs w:val="18"/>
        </w:rPr>
        <w:t>参见本附注七、</w:t>
      </w:r>
      <w:r>
        <w:rPr>
          <w:rFonts w:ascii="Times New Roman" w:eastAsia="宋体" w:hAnsi="Times New Roman" w:cs="宋体" w:hint="eastAsia"/>
          <w:sz w:val="18"/>
          <w:szCs w:val="18"/>
        </w:rPr>
        <w:t>83</w:t>
      </w:r>
      <w:r>
        <w:rPr>
          <w:rFonts w:ascii="Times New Roman" w:eastAsia="宋体" w:hAnsi="Times New Roman" w:cs="宋体" w:hint="eastAsia"/>
          <w:sz w:val="18"/>
          <w:szCs w:val="18"/>
        </w:rPr>
        <w:t>。</w:t>
      </w:r>
    </w:p>
    <w:p w14:paraId="5B70D1BB"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13" w:name="_Toc989351"/>
      <w:r w:rsidRPr="00F614F9">
        <w:rPr>
          <w:rFonts w:ascii="Times New Roman" w:eastAsia="宋体" w:hAnsi="Times New Roman" w:cs="宋体"/>
          <w:b/>
          <w:bCs/>
          <w:szCs w:val="21"/>
        </w:rPr>
        <w:lastRenderedPageBreak/>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本公司作为出租方</w:t>
      </w:r>
      <w:bookmarkEnd w:id="513"/>
    </w:p>
    <w:p w14:paraId="122ACEB9"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作为出租人的经营租赁</w:t>
      </w:r>
    </w:p>
    <w:p w14:paraId="0F49563E" w14:textId="77777777" w:rsidR="001D26E7" w:rsidRPr="00F614F9" w:rsidRDefault="000E4C8D">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0B7E437F"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作为出租人的融资租赁</w:t>
      </w:r>
    </w:p>
    <w:p w14:paraId="05F010BE"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65BF05F0"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未来五年每年未折现</w:t>
      </w:r>
      <w:proofErr w:type="gramStart"/>
      <w:r w:rsidRPr="00F614F9">
        <w:rPr>
          <w:rFonts w:ascii="Times New Roman" w:eastAsia="宋体" w:hAnsi="Times New Roman" w:cs="宋体"/>
          <w:sz w:val="18"/>
          <w:szCs w:val="18"/>
        </w:rPr>
        <w:t>租赁收</w:t>
      </w:r>
      <w:proofErr w:type="gramEnd"/>
      <w:r w:rsidRPr="00F614F9">
        <w:rPr>
          <w:rFonts w:ascii="Times New Roman" w:eastAsia="宋体" w:hAnsi="Times New Roman" w:cs="宋体"/>
          <w:sz w:val="18"/>
          <w:szCs w:val="18"/>
        </w:rPr>
        <w:t>款额</w:t>
      </w:r>
    </w:p>
    <w:p w14:paraId="6C53BBE0"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635B6B98" w14:textId="77777777" w:rsidR="001D26E7"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未折现</w:t>
      </w:r>
      <w:proofErr w:type="gramStart"/>
      <w:r w:rsidRPr="00F614F9">
        <w:rPr>
          <w:rFonts w:ascii="Times New Roman" w:eastAsia="宋体" w:hAnsi="Times New Roman" w:cs="宋体"/>
          <w:sz w:val="18"/>
          <w:szCs w:val="18"/>
        </w:rPr>
        <w:t>租赁收</w:t>
      </w:r>
      <w:proofErr w:type="gramEnd"/>
      <w:r w:rsidRPr="00F614F9">
        <w:rPr>
          <w:rFonts w:ascii="Times New Roman" w:eastAsia="宋体" w:hAnsi="Times New Roman" w:cs="宋体"/>
          <w:sz w:val="18"/>
          <w:szCs w:val="18"/>
        </w:rPr>
        <w:t>款额与租赁投资净额的调节表</w:t>
      </w:r>
    </w:p>
    <w:p w14:paraId="453BA3B9" w14:textId="77777777" w:rsidR="000E4C8D" w:rsidRPr="00F614F9" w:rsidRDefault="000E4C8D">
      <w:pPr>
        <w:spacing w:before="100" w:after="100" w:line="240" w:lineRule="exact"/>
        <w:rPr>
          <w:rFonts w:ascii="Times New Roman" w:eastAsia="宋体" w:hAnsi="Times New Roman" w:cs="宋体"/>
          <w:sz w:val="18"/>
          <w:szCs w:val="18"/>
        </w:rPr>
      </w:pPr>
      <w:r>
        <w:rPr>
          <w:rFonts w:ascii="Times New Roman" w:eastAsia="宋体" w:hAnsi="Times New Roman" w:cs="宋体" w:hint="eastAsia"/>
          <w:sz w:val="18"/>
          <w:szCs w:val="18"/>
        </w:rPr>
        <w:t>参见本附注七、</w:t>
      </w:r>
      <w:r>
        <w:rPr>
          <w:rFonts w:ascii="Times New Roman" w:eastAsia="宋体" w:hAnsi="Times New Roman" w:cs="宋体" w:hint="eastAsia"/>
          <w:sz w:val="18"/>
          <w:szCs w:val="18"/>
        </w:rPr>
        <w:t>83</w:t>
      </w:r>
      <w:r>
        <w:rPr>
          <w:rFonts w:ascii="Times New Roman" w:eastAsia="宋体" w:hAnsi="Times New Roman" w:cs="宋体" w:hint="eastAsia"/>
          <w:sz w:val="18"/>
          <w:szCs w:val="18"/>
        </w:rPr>
        <w:t>。</w:t>
      </w:r>
    </w:p>
    <w:p w14:paraId="1C04D391"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14" w:name="_Toc989352"/>
      <w:r w:rsidRPr="00F614F9">
        <w:rPr>
          <w:rFonts w:ascii="Times New Roman" w:eastAsia="宋体" w:hAnsi="Times New Roman" w:cs="宋体"/>
          <w:b/>
          <w:bCs/>
          <w:szCs w:val="21"/>
        </w:rPr>
        <w:t>（</w:t>
      </w:r>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作为生产商或经销商确认融资租赁销售损益</w:t>
      </w:r>
      <w:bookmarkEnd w:id="514"/>
    </w:p>
    <w:p w14:paraId="00350F9C"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0EA4946A" w14:textId="77777777" w:rsidR="001D26E7" w:rsidRPr="00F614F9" w:rsidRDefault="00000000">
      <w:pPr>
        <w:pStyle w:val="3"/>
        <w:spacing w:line="280" w:lineRule="exact"/>
        <w:jc w:val="left"/>
        <w:rPr>
          <w:rFonts w:ascii="Times New Roman" w:hAnsi="Times New Roman" w:cs="宋体"/>
          <w:b/>
          <w:bCs/>
        </w:rPr>
      </w:pPr>
      <w:bookmarkStart w:id="515" w:name="_Toc989353"/>
      <w:r w:rsidRPr="00F614F9">
        <w:rPr>
          <w:rFonts w:ascii="Times New Roman" w:hAnsi="Times New Roman" w:cs="宋体"/>
          <w:b/>
          <w:bCs/>
        </w:rPr>
        <w:t>83</w:t>
      </w:r>
      <w:r w:rsidRPr="00F614F9">
        <w:rPr>
          <w:rFonts w:ascii="Times New Roman" w:hAnsi="Times New Roman" w:cs="宋体"/>
          <w:b/>
          <w:bCs/>
        </w:rPr>
        <w:t>、其他</w:t>
      </w:r>
      <w:bookmarkEnd w:id="515"/>
    </w:p>
    <w:p w14:paraId="5ADE5796" w14:textId="77777777" w:rsidR="000E4C8D" w:rsidRPr="000E4C8D" w:rsidRDefault="000E4C8D" w:rsidP="000E4C8D">
      <w:pPr>
        <w:rPr>
          <w:rFonts w:ascii="Times New Roman" w:eastAsia="宋体" w:hAnsi="Times New Roman"/>
          <w:sz w:val="18"/>
          <w:szCs w:val="20"/>
        </w:rPr>
      </w:pPr>
      <w:bookmarkStart w:id="516" w:name="_Toc989354"/>
      <w:bookmarkStart w:id="517" w:name="_Toc164024829"/>
      <w:r w:rsidRPr="000E4C8D">
        <w:rPr>
          <w:rFonts w:ascii="Times New Roman" w:eastAsia="宋体" w:hAnsi="Times New Roman" w:hint="eastAsia"/>
          <w:sz w:val="18"/>
          <w:szCs w:val="20"/>
        </w:rPr>
        <w:t>（</w:t>
      </w:r>
      <w:r w:rsidRPr="000E4C8D">
        <w:rPr>
          <w:rFonts w:ascii="Times New Roman" w:eastAsia="宋体" w:hAnsi="Times New Roman" w:hint="eastAsia"/>
          <w:sz w:val="18"/>
          <w:szCs w:val="20"/>
        </w:rPr>
        <w:t>1</w:t>
      </w:r>
      <w:r w:rsidRPr="000E4C8D">
        <w:rPr>
          <w:rFonts w:ascii="Times New Roman" w:eastAsia="宋体" w:hAnsi="Times New Roman" w:hint="eastAsia"/>
          <w:sz w:val="18"/>
          <w:szCs w:val="20"/>
        </w:rPr>
        <w:t>）前期差错更正</w:t>
      </w:r>
    </w:p>
    <w:p w14:paraId="1ED2FCBA"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本报告期无重要前期会计差错更正事项。</w:t>
      </w:r>
    </w:p>
    <w:p w14:paraId="1F363274"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w:t>
      </w:r>
      <w:r w:rsidRPr="000E4C8D">
        <w:rPr>
          <w:rFonts w:ascii="Times New Roman" w:eastAsia="宋体" w:hAnsi="Times New Roman" w:hint="eastAsia"/>
          <w:sz w:val="18"/>
          <w:szCs w:val="20"/>
        </w:rPr>
        <w:t>2</w:t>
      </w:r>
      <w:r w:rsidRPr="000E4C8D">
        <w:rPr>
          <w:rFonts w:ascii="Times New Roman" w:eastAsia="宋体" w:hAnsi="Times New Roman" w:hint="eastAsia"/>
          <w:sz w:val="18"/>
          <w:szCs w:val="20"/>
        </w:rPr>
        <w:t>）租赁</w:t>
      </w:r>
    </w:p>
    <w:p w14:paraId="7D3A5F88"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sz w:val="18"/>
          <w:szCs w:val="20"/>
        </w:rPr>
        <w:t>1</w:t>
      </w:r>
      <w:r w:rsidRPr="000E4C8D">
        <w:rPr>
          <w:rFonts w:ascii="Times New Roman" w:eastAsia="宋体" w:hAnsi="Times New Roman" w:hint="eastAsia"/>
          <w:sz w:val="18"/>
          <w:szCs w:val="20"/>
        </w:rPr>
        <w:t>）本集团作为承租人</w:t>
      </w:r>
    </w:p>
    <w:p w14:paraId="436FEAFA"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①使用权资产、租赁负债情况参见本附注</w:t>
      </w:r>
      <w:r w:rsidR="0001660E">
        <w:rPr>
          <w:rFonts w:ascii="Times New Roman" w:eastAsia="宋体" w:hAnsi="Times New Roman" w:hint="eastAsia"/>
          <w:sz w:val="18"/>
          <w:szCs w:val="20"/>
        </w:rPr>
        <w:t>七</w:t>
      </w:r>
      <w:r w:rsidRPr="000E4C8D">
        <w:rPr>
          <w:rFonts w:ascii="Times New Roman" w:eastAsia="宋体" w:hAnsi="Times New Roman" w:hint="eastAsia"/>
          <w:sz w:val="18"/>
          <w:szCs w:val="20"/>
        </w:rPr>
        <w:t>、</w:t>
      </w:r>
      <w:r w:rsidR="001B61B9">
        <w:rPr>
          <w:rFonts w:ascii="Times New Roman" w:eastAsia="宋体" w:hAnsi="Times New Roman" w:hint="eastAsia"/>
          <w:sz w:val="18"/>
          <w:szCs w:val="20"/>
        </w:rPr>
        <w:t>25</w:t>
      </w:r>
      <w:r w:rsidRPr="000E4C8D">
        <w:rPr>
          <w:rFonts w:ascii="Times New Roman" w:eastAsia="宋体" w:hAnsi="Times New Roman" w:hint="eastAsia"/>
          <w:sz w:val="18"/>
          <w:szCs w:val="20"/>
        </w:rPr>
        <w:t>，</w:t>
      </w:r>
      <w:r w:rsidR="001B61B9">
        <w:rPr>
          <w:rFonts w:ascii="Times New Roman" w:eastAsia="宋体" w:hAnsi="Times New Roman" w:hint="eastAsia"/>
          <w:sz w:val="18"/>
          <w:szCs w:val="20"/>
        </w:rPr>
        <w:t>七</w:t>
      </w:r>
      <w:r w:rsidRPr="000E4C8D">
        <w:rPr>
          <w:rFonts w:ascii="Times New Roman" w:eastAsia="宋体" w:hAnsi="Times New Roman" w:hint="eastAsia"/>
          <w:sz w:val="18"/>
          <w:szCs w:val="20"/>
        </w:rPr>
        <w:t>、</w:t>
      </w:r>
      <w:r w:rsidR="001B61B9">
        <w:rPr>
          <w:rFonts w:ascii="Times New Roman" w:eastAsia="宋体" w:hAnsi="Times New Roman" w:hint="eastAsia"/>
          <w:sz w:val="18"/>
          <w:szCs w:val="20"/>
        </w:rPr>
        <w:t>47</w:t>
      </w:r>
      <w:r w:rsidRPr="000E4C8D">
        <w:rPr>
          <w:rFonts w:ascii="Times New Roman" w:eastAsia="宋体" w:hAnsi="Times New Roman" w:hint="eastAsia"/>
          <w:sz w:val="18"/>
          <w:szCs w:val="20"/>
        </w:rPr>
        <w:t>。</w:t>
      </w:r>
    </w:p>
    <w:p w14:paraId="37965B5A" w14:textId="77777777" w:rsidR="000E4C8D" w:rsidRPr="000E4C8D" w:rsidRDefault="000E4C8D" w:rsidP="000E4C8D">
      <w:pPr>
        <w:widowControl/>
        <w:spacing w:line="460" w:lineRule="atLeast"/>
        <w:ind w:left="422"/>
        <w:jc w:val="both"/>
        <w:rPr>
          <w:rFonts w:ascii="Times New Roman" w:eastAsia="宋体" w:hAnsi="Times New Roman" w:cs="Times New Roman"/>
          <w:color w:val="000000"/>
          <w:kern w:val="0"/>
          <w:sz w:val="24"/>
          <w:szCs w:val="24"/>
          <w14:ligatures w14:val="none"/>
        </w:rPr>
      </w:pPr>
      <w:r w:rsidRPr="000E4C8D">
        <w:rPr>
          <w:rFonts w:ascii="Times New Roman" w:eastAsia="宋体" w:hAnsi="Times New Roman" w:cs="Times New Roman" w:hint="eastAsia"/>
          <w:color w:val="000000"/>
          <w:kern w:val="0"/>
          <w:szCs w:val="21"/>
          <w14:ligatures w14:val="none"/>
        </w:rPr>
        <w:t>②计入本年损益情况</w:t>
      </w:r>
    </w:p>
    <w:tbl>
      <w:tblPr>
        <w:tblW w:w="5000" w:type="pct"/>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3400"/>
        <w:gridCol w:w="1457"/>
        <w:gridCol w:w="1652"/>
        <w:gridCol w:w="1554"/>
        <w:gridCol w:w="1554"/>
      </w:tblGrid>
      <w:tr w:rsidR="000E4C8D" w:rsidRPr="000E4C8D" w14:paraId="7FD16078" w14:textId="77777777" w:rsidTr="000E4C8D">
        <w:trPr>
          <w:trHeight w:val="288"/>
        </w:trPr>
        <w:tc>
          <w:tcPr>
            <w:tcW w:w="17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3B6011"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项目</w:t>
            </w:r>
          </w:p>
        </w:tc>
        <w:tc>
          <w:tcPr>
            <w:tcW w:w="16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E133E1"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计入本年损益</w:t>
            </w:r>
          </w:p>
        </w:tc>
        <w:tc>
          <w:tcPr>
            <w:tcW w:w="16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90386B"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计入上年损益</w:t>
            </w:r>
          </w:p>
        </w:tc>
      </w:tr>
      <w:tr w:rsidR="000E4C8D" w:rsidRPr="000E4C8D" w14:paraId="0D9FA09B" w14:textId="77777777" w:rsidTr="000E4C8D">
        <w:trPr>
          <w:trHeight w:val="27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E6EE89C" w14:textId="77777777" w:rsidR="000E4C8D" w:rsidRPr="000E4C8D" w:rsidRDefault="000E4C8D" w:rsidP="000E4C8D">
            <w:pPr>
              <w:rPr>
                <w:rFonts w:ascii="Times New Roman" w:eastAsia="宋体" w:hAnsi="Times New Roman"/>
                <w:sz w:val="18"/>
                <w:szCs w:val="20"/>
              </w:rPr>
            </w:pPr>
          </w:p>
        </w:tc>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E7CD2"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列</w:t>
            </w:r>
            <w:proofErr w:type="gramStart"/>
            <w:r w:rsidRPr="000E4C8D">
              <w:rPr>
                <w:rFonts w:ascii="Times New Roman" w:eastAsia="宋体" w:hAnsi="Times New Roman" w:hint="eastAsia"/>
                <w:sz w:val="18"/>
                <w:szCs w:val="20"/>
              </w:rPr>
              <w:t>报项目</w:t>
            </w:r>
            <w:proofErr w:type="gramEnd"/>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73717"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金额</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94D0A"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列</w:t>
            </w:r>
            <w:proofErr w:type="gramStart"/>
            <w:r w:rsidRPr="000E4C8D">
              <w:rPr>
                <w:rFonts w:ascii="Times New Roman" w:eastAsia="宋体" w:hAnsi="Times New Roman" w:hint="eastAsia"/>
                <w:sz w:val="18"/>
                <w:szCs w:val="20"/>
              </w:rPr>
              <w:t>报项目</w:t>
            </w:r>
            <w:proofErr w:type="gramEnd"/>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CD50C1"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金额</w:t>
            </w:r>
          </w:p>
        </w:tc>
      </w:tr>
      <w:tr w:rsidR="000E4C8D" w:rsidRPr="000E4C8D" w14:paraId="2452BF1A" w14:textId="77777777" w:rsidTr="000E4C8D">
        <w:trPr>
          <w:trHeight w:val="276"/>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11F65"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租赁负债的利息</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A7E2B4D"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财务费用</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54FF900"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sz w:val="18"/>
                <w:szCs w:val="20"/>
              </w:rPr>
              <w:t>2,769,410.83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810282D"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财务费用</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EE22282"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sz w:val="18"/>
                <w:szCs w:val="20"/>
              </w:rPr>
              <w:t>2,788,891.24</w:t>
            </w:r>
          </w:p>
        </w:tc>
      </w:tr>
      <w:tr w:rsidR="000E4C8D" w:rsidRPr="000E4C8D" w14:paraId="495471D4" w14:textId="77777777" w:rsidTr="000E4C8D">
        <w:trPr>
          <w:trHeight w:val="276"/>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A152D"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短期租赁费用（适用简化处理）</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078B12D4"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销售费用</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7D5DFA52"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sz w:val="18"/>
                <w:szCs w:val="20"/>
              </w:rPr>
              <w:t>2,574,277.54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9591B8B"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销售费用</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A8271CD"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sz w:val="18"/>
                <w:szCs w:val="20"/>
              </w:rPr>
              <w:t>1,910,467.90</w:t>
            </w:r>
          </w:p>
        </w:tc>
      </w:tr>
      <w:tr w:rsidR="000E4C8D" w:rsidRPr="000E4C8D" w14:paraId="44E3F94D" w14:textId="77777777" w:rsidTr="000E4C8D">
        <w:trPr>
          <w:trHeight w:val="276"/>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FC03C"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短期租赁费用（适用简化处理）</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569E9F0E"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管理费用</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E48AD16"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sz w:val="18"/>
                <w:szCs w:val="20"/>
              </w:rPr>
              <w:t>2,911,932.36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524E607"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管理费用</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3998DDB"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sz w:val="18"/>
                <w:szCs w:val="20"/>
              </w:rPr>
              <w:t>2,133,161.40</w:t>
            </w:r>
          </w:p>
        </w:tc>
      </w:tr>
      <w:tr w:rsidR="000E4C8D" w:rsidRPr="000E4C8D" w14:paraId="2442A14D" w14:textId="77777777" w:rsidTr="000E4C8D">
        <w:trPr>
          <w:trHeight w:val="444"/>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FEAA4"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低价值资产租赁费用（适用简化处理）</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41399674"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管理费用</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594DCA2A"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sz w:val="18"/>
                <w:szCs w:val="20"/>
              </w:rPr>
              <w:t>0.00</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85187EC"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管理费用</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AD83A56"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sz w:val="18"/>
                <w:szCs w:val="20"/>
              </w:rPr>
              <w:t>24,299.11</w:t>
            </w:r>
          </w:p>
        </w:tc>
      </w:tr>
    </w:tbl>
    <w:p w14:paraId="2B32D952" w14:textId="77777777" w:rsidR="000E4C8D" w:rsidRPr="000E4C8D" w:rsidRDefault="000E4C8D" w:rsidP="000E4C8D">
      <w:pPr>
        <w:widowControl/>
        <w:spacing w:line="460" w:lineRule="atLeast"/>
        <w:ind w:firstLine="420"/>
        <w:jc w:val="both"/>
        <w:rPr>
          <w:rFonts w:ascii="Times New Roman" w:eastAsia="宋体" w:hAnsi="Times New Roman" w:cs="Times New Roman"/>
          <w:color w:val="000000"/>
          <w:kern w:val="0"/>
          <w:szCs w:val="21"/>
          <w14:ligatures w14:val="none"/>
        </w:rPr>
      </w:pPr>
      <w:r w:rsidRPr="000E4C8D">
        <w:rPr>
          <w:rFonts w:ascii="Times New Roman" w:eastAsia="宋体" w:hAnsi="Times New Roman" w:cs="Times New Roman" w:hint="eastAsia"/>
          <w:color w:val="000000"/>
          <w:kern w:val="0"/>
          <w:sz w:val="18"/>
          <w:szCs w:val="18"/>
          <w14:ligatures w14:val="none"/>
        </w:rPr>
        <w:t>注：上表中“短期租赁费用”不包含租赁期在</w:t>
      </w:r>
      <w:r w:rsidRPr="000E4C8D">
        <w:rPr>
          <w:rFonts w:ascii="Times New Roman" w:eastAsia="宋体" w:hAnsi="Times New Roman" w:cs="Times New Roman"/>
          <w:color w:val="000000"/>
          <w:kern w:val="0"/>
          <w:sz w:val="18"/>
          <w:szCs w:val="18"/>
          <w14:ligatures w14:val="none"/>
        </w:rPr>
        <w:t>1</w:t>
      </w:r>
      <w:r w:rsidRPr="000E4C8D">
        <w:rPr>
          <w:rFonts w:ascii="Times New Roman" w:eastAsia="宋体" w:hAnsi="Times New Roman" w:cs="Times New Roman" w:hint="eastAsia"/>
          <w:color w:val="000000"/>
          <w:kern w:val="0"/>
          <w:sz w:val="18"/>
          <w:szCs w:val="18"/>
          <w14:ligatures w14:val="none"/>
        </w:rPr>
        <w:t>个月以内的租赁相关费用；“低价值资产租赁费用”不包含包括在“短期租赁费用”中的低价值资产短期租赁费用。</w:t>
      </w:r>
    </w:p>
    <w:p w14:paraId="58C7EA2A" w14:textId="77777777" w:rsidR="000E4C8D" w:rsidRPr="000E4C8D" w:rsidRDefault="000E4C8D" w:rsidP="000E4C8D">
      <w:pPr>
        <w:widowControl/>
        <w:spacing w:line="460" w:lineRule="atLeast"/>
        <w:ind w:left="422"/>
        <w:jc w:val="both"/>
        <w:rPr>
          <w:rFonts w:ascii="Times New Roman" w:eastAsia="宋体" w:hAnsi="Times New Roman" w:cs="Times New Roman"/>
          <w:color w:val="000000"/>
          <w:kern w:val="0"/>
          <w:szCs w:val="21"/>
          <w14:ligatures w14:val="none"/>
        </w:rPr>
      </w:pPr>
      <w:r w:rsidRPr="000E4C8D">
        <w:rPr>
          <w:rFonts w:ascii="Times New Roman" w:eastAsia="宋体" w:hAnsi="Times New Roman" w:cs="Times New Roman" w:hint="eastAsia"/>
          <w:color w:val="000000"/>
          <w:kern w:val="0"/>
          <w:sz w:val="18"/>
          <w:szCs w:val="18"/>
          <w14:ligatures w14:val="none"/>
        </w:rPr>
        <w:t>③与租赁相关的现金流量流出情况</w:t>
      </w:r>
    </w:p>
    <w:tbl>
      <w:tblPr>
        <w:tblW w:w="5000" w:type="pct"/>
        <w:tblCellMar>
          <w:left w:w="0" w:type="dxa"/>
          <w:right w:w="0" w:type="dxa"/>
        </w:tblCellMar>
        <w:tblLook w:val="04A0" w:firstRow="1" w:lastRow="0" w:firstColumn="1" w:lastColumn="0" w:noHBand="0" w:noVBand="1"/>
      </w:tblPr>
      <w:tblGrid>
        <w:gridCol w:w="4080"/>
        <w:gridCol w:w="2137"/>
        <w:gridCol w:w="1748"/>
        <w:gridCol w:w="1652"/>
      </w:tblGrid>
      <w:tr w:rsidR="000E4C8D" w:rsidRPr="000E4C8D" w14:paraId="3268ED1D" w14:textId="77777777" w:rsidTr="000E4C8D">
        <w:trPr>
          <w:trHeight w:val="288"/>
        </w:trPr>
        <w:tc>
          <w:tcPr>
            <w:tcW w:w="2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6F4320"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项目</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6ECB63"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现金流量类别</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7D679C"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本年金额</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FCB2ED"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上年金额</w:t>
            </w:r>
          </w:p>
        </w:tc>
      </w:tr>
      <w:tr w:rsidR="000E4C8D" w:rsidRPr="000E4C8D" w14:paraId="2ED16794" w14:textId="77777777" w:rsidTr="000E4C8D">
        <w:trPr>
          <w:trHeight w:val="432"/>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D4228"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偿还租赁负债本金和利息所支付的现金</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5ABFE374"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筹资活动现金流出</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0E85BAC7"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sz w:val="18"/>
                <w:szCs w:val="20"/>
              </w:rPr>
              <w:t>10,404,339.87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3B5B0B68"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sz w:val="18"/>
                <w:szCs w:val="20"/>
              </w:rPr>
              <w:t>16,160,898.18</w:t>
            </w:r>
          </w:p>
        </w:tc>
      </w:tr>
      <w:tr w:rsidR="000E4C8D" w:rsidRPr="000E4C8D" w14:paraId="7C0190FF" w14:textId="77777777" w:rsidTr="000E4C8D">
        <w:trPr>
          <w:trHeight w:val="432"/>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F6797"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对短期租赁和低价值资产支付的付款额（适用于简化处理）</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5CB5E8FD"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经营活动现金流出</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9B829A5"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sz w:val="18"/>
                <w:szCs w:val="20"/>
              </w:rPr>
              <w:t>6,017,078.50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392282D2"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sz w:val="18"/>
                <w:szCs w:val="20"/>
              </w:rPr>
              <w:t>4,272,021.40</w:t>
            </w:r>
          </w:p>
        </w:tc>
      </w:tr>
      <w:tr w:rsidR="000E4C8D" w:rsidRPr="000E4C8D" w14:paraId="526438AD" w14:textId="77777777" w:rsidTr="000E4C8D">
        <w:trPr>
          <w:trHeight w:val="288"/>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247741"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合计</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14:paraId="08FFD2C1"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sz w:val="18"/>
                <w:szCs w:val="20"/>
              </w:rPr>
              <w:t>——</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5944FD4B"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sz w:val="18"/>
                <w:szCs w:val="20"/>
              </w:rPr>
              <w:t>16,421,418.37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46B61584"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sz w:val="18"/>
                <w:szCs w:val="20"/>
              </w:rPr>
              <w:t>20,432,919.58</w:t>
            </w:r>
          </w:p>
        </w:tc>
      </w:tr>
    </w:tbl>
    <w:p w14:paraId="69DF28E0" w14:textId="77777777" w:rsidR="000E4C8D" w:rsidRPr="000E4C8D" w:rsidRDefault="000E4C8D" w:rsidP="000E4C8D">
      <w:pPr>
        <w:widowControl/>
        <w:spacing w:line="460" w:lineRule="atLeast"/>
        <w:ind w:left="422"/>
        <w:jc w:val="both"/>
        <w:rPr>
          <w:rFonts w:ascii="Times New Roman" w:eastAsia="宋体" w:hAnsi="Times New Roman" w:cs="Times New Roman"/>
          <w:color w:val="000000"/>
          <w:kern w:val="0"/>
          <w:szCs w:val="21"/>
          <w14:ligatures w14:val="none"/>
        </w:rPr>
      </w:pPr>
      <w:r w:rsidRPr="000E4C8D">
        <w:rPr>
          <w:rFonts w:ascii="Times New Roman" w:eastAsia="宋体" w:hAnsi="Times New Roman" w:cs="Times New Roman" w:hint="eastAsia"/>
          <w:color w:val="000000"/>
          <w:kern w:val="0"/>
          <w:sz w:val="18"/>
          <w:szCs w:val="18"/>
          <w14:ligatures w14:val="none"/>
        </w:rPr>
        <w:t>④其他信息</w:t>
      </w:r>
    </w:p>
    <w:p w14:paraId="31300606" w14:textId="77777777" w:rsidR="000E4C8D" w:rsidRPr="000E4C8D" w:rsidRDefault="000E4C8D" w:rsidP="000E4C8D">
      <w:pPr>
        <w:widowControl/>
        <w:spacing w:line="460" w:lineRule="atLeast"/>
        <w:ind w:left="422"/>
        <w:jc w:val="both"/>
        <w:rPr>
          <w:rFonts w:ascii="Times New Roman" w:eastAsia="宋体" w:hAnsi="Times New Roman" w:cs="Times New Roman"/>
          <w:color w:val="000000"/>
          <w:kern w:val="0"/>
          <w:szCs w:val="21"/>
          <w14:ligatures w14:val="none"/>
        </w:rPr>
      </w:pPr>
      <w:r w:rsidRPr="000E4C8D">
        <w:rPr>
          <w:rFonts w:ascii="Times New Roman" w:eastAsia="宋体" w:hAnsi="Times New Roman" w:cs="Times New Roman"/>
          <w:color w:val="000000"/>
          <w:kern w:val="0"/>
          <w:sz w:val="18"/>
          <w:szCs w:val="18"/>
          <w14:ligatures w14:val="none"/>
        </w:rPr>
        <w:t>A</w:t>
      </w:r>
      <w:r w:rsidRPr="000E4C8D">
        <w:rPr>
          <w:rFonts w:ascii="Times New Roman" w:eastAsia="宋体" w:hAnsi="Times New Roman" w:cs="Times New Roman" w:hint="eastAsia"/>
          <w:color w:val="000000"/>
          <w:kern w:val="0"/>
          <w:sz w:val="18"/>
          <w:szCs w:val="18"/>
          <w14:ligatures w14:val="none"/>
        </w:rPr>
        <w:t>、租赁活动的性质</w:t>
      </w:r>
    </w:p>
    <w:tbl>
      <w:tblPr>
        <w:tblW w:w="5000" w:type="pct"/>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3436"/>
        <w:gridCol w:w="1472"/>
        <w:gridCol w:w="1570"/>
        <w:gridCol w:w="1570"/>
        <w:gridCol w:w="1569"/>
      </w:tblGrid>
      <w:tr w:rsidR="000E4C8D" w:rsidRPr="000E4C8D" w14:paraId="4F7BFBAB" w14:textId="77777777" w:rsidTr="000E4C8D">
        <w:trPr>
          <w:trHeight w:val="444"/>
        </w:trPr>
        <w:tc>
          <w:tcPr>
            <w:tcW w:w="1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3D632"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公司</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1CF09E"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租入资产类别</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479693"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数量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682939"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租赁期</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02336E"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是否存在续租选择权</w:t>
            </w:r>
          </w:p>
        </w:tc>
      </w:tr>
      <w:tr w:rsidR="000E4C8D" w:rsidRPr="000E4C8D" w14:paraId="3A3867E7" w14:textId="77777777" w:rsidTr="000E4C8D">
        <w:trPr>
          <w:trHeight w:val="276"/>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72C0DC"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烟台龙大养殖</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5DADC8"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土地</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0C726"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sz w:val="18"/>
                <w:szCs w:val="20"/>
              </w:rPr>
              <w:t>30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4A916"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sz w:val="18"/>
                <w:szCs w:val="20"/>
              </w:rPr>
              <w:t>5</w:t>
            </w:r>
            <w:r w:rsidRPr="000E4C8D">
              <w:rPr>
                <w:rFonts w:ascii="Times New Roman" w:eastAsia="宋体" w:hAnsi="Times New Roman" w:hint="eastAsia"/>
                <w:sz w:val="18"/>
                <w:szCs w:val="20"/>
              </w:rPr>
              <w:t>年</w:t>
            </w:r>
            <w:r w:rsidRPr="000E4C8D">
              <w:rPr>
                <w:rFonts w:ascii="Times New Roman" w:eastAsia="宋体" w:hAnsi="Times New Roman"/>
                <w:sz w:val="18"/>
                <w:szCs w:val="20"/>
              </w:rPr>
              <w:t>-20</w:t>
            </w:r>
            <w:r w:rsidRPr="000E4C8D">
              <w:rPr>
                <w:rFonts w:ascii="Times New Roman" w:eastAsia="宋体" w:hAnsi="Times New Roman" w:hint="eastAsia"/>
                <w:sz w:val="18"/>
                <w:szCs w:val="20"/>
              </w:rPr>
              <w:t>年</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17983F"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hint="eastAsia"/>
                <w:sz w:val="18"/>
                <w:szCs w:val="20"/>
              </w:rPr>
              <w:t>否</w:t>
            </w:r>
          </w:p>
        </w:tc>
      </w:tr>
      <w:tr w:rsidR="000E4C8D" w:rsidRPr="000E4C8D" w14:paraId="492F14FC" w14:textId="77777777" w:rsidTr="000E4C8D">
        <w:trPr>
          <w:trHeight w:val="276"/>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F6D98B"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lastRenderedPageBreak/>
              <w:t>莱阳龙大养殖</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46E0E"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土地</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FEF0A4"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sz w:val="18"/>
                <w:szCs w:val="20"/>
              </w:rPr>
              <w:t>9</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62B073"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sz w:val="18"/>
                <w:szCs w:val="20"/>
              </w:rPr>
              <w:t>20</w:t>
            </w:r>
            <w:r w:rsidRPr="000E4C8D">
              <w:rPr>
                <w:rFonts w:ascii="Times New Roman" w:eastAsia="宋体" w:hAnsi="Times New Roman" w:hint="eastAsia"/>
                <w:sz w:val="18"/>
                <w:szCs w:val="20"/>
              </w:rPr>
              <w:t>年</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802C6"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hint="eastAsia"/>
                <w:sz w:val="18"/>
                <w:szCs w:val="20"/>
              </w:rPr>
              <w:t>是</w:t>
            </w:r>
          </w:p>
        </w:tc>
      </w:tr>
      <w:tr w:rsidR="000E4C8D" w:rsidRPr="000E4C8D" w14:paraId="4B50BA5D" w14:textId="77777777" w:rsidTr="000E4C8D">
        <w:trPr>
          <w:trHeight w:val="276"/>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4E416"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安丘龙大养殖</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EDFFC"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土地</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137EAC"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sz w:val="18"/>
                <w:szCs w:val="20"/>
              </w:rPr>
              <w:t>10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EF41D5"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sz w:val="18"/>
                <w:szCs w:val="20"/>
              </w:rPr>
              <w:t>20</w:t>
            </w:r>
            <w:r w:rsidRPr="000E4C8D">
              <w:rPr>
                <w:rFonts w:ascii="Times New Roman" w:eastAsia="宋体" w:hAnsi="Times New Roman" w:hint="eastAsia"/>
                <w:sz w:val="18"/>
                <w:szCs w:val="20"/>
              </w:rPr>
              <w:t>年</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BD6ECF"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hint="eastAsia"/>
                <w:sz w:val="18"/>
                <w:szCs w:val="20"/>
              </w:rPr>
              <w:t>是</w:t>
            </w:r>
          </w:p>
        </w:tc>
      </w:tr>
      <w:tr w:rsidR="000E4C8D" w:rsidRPr="000E4C8D" w14:paraId="22BC5934" w14:textId="77777777" w:rsidTr="000E4C8D">
        <w:trPr>
          <w:trHeight w:val="276"/>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0A6058"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莱州龙大养殖</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1EF2A6"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土地</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4FACAF"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sz w:val="18"/>
                <w:szCs w:val="20"/>
              </w:rPr>
              <w:t>5</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0A273"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sz w:val="18"/>
                <w:szCs w:val="20"/>
              </w:rPr>
              <w:t>20</w:t>
            </w:r>
            <w:r w:rsidRPr="000E4C8D">
              <w:rPr>
                <w:rFonts w:ascii="Times New Roman" w:eastAsia="宋体" w:hAnsi="Times New Roman" w:hint="eastAsia"/>
                <w:sz w:val="18"/>
                <w:szCs w:val="20"/>
              </w:rPr>
              <w:t>年</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4C669"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hint="eastAsia"/>
                <w:sz w:val="18"/>
                <w:szCs w:val="20"/>
              </w:rPr>
              <w:t>是</w:t>
            </w:r>
          </w:p>
        </w:tc>
      </w:tr>
      <w:tr w:rsidR="000E4C8D" w:rsidRPr="000E4C8D" w14:paraId="369066BF" w14:textId="77777777" w:rsidTr="000E4C8D">
        <w:trPr>
          <w:trHeight w:val="276"/>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B6E191"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生猪产品技术</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84650"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房屋建筑物</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E49F6"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sz w:val="18"/>
                <w:szCs w:val="20"/>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82AE5"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sz w:val="18"/>
                <w:szCs w:val="20"/>
              </w:rPr>
              <w:t>5</w:t>
            </w:r>
            <w:r w:rsidRPr="000E4C8D">
              <w:rPr>
                <w:rFonts w:ascii="Times New Roman" w:eastAsia="宋体" w:hAnsi="Times New Roman" w:hint="eastAsia"/>
                <w:sz w:val="18"/>
                <w:szCs w:val="20"/>
              </w:rPr>
              <w:t>年</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28CCD"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hint="eastAsia"/>
                <w:sz w:val="18"/>
                <w:szCs w:val="20"/>
              </w:rPr>
              <w:t>否</w:t>
            </w:r>
          </w:p>
        </w:tc>
      </w:tr>
      <w:tr w:rsidR="000E4C8D" w:rsidRPr="000E4C8D" w14:paraId="59EEFE75" w14:textId="77777777" w:rsidTr="000E4C8D">
        <w:trPr>
          <w:trHeight w:val="288"/>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C271CB"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烟台龙大饲料</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9472BB"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房屋建筑物</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23EB0"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sz w:val="18"/>
                <w:szCs w:val="20"/>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2B95BF"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sz w:val="18"/>
                <w:szCs w:val="20"/>
              </w:rPr>
              <w:t>5</w:t>
            </w:r>
            <w:r w:rsidRPr="000E4C8D">
              <w:rPr>
                <w:rFonts w:ascii="Times New Roman" w:eastAsia="宋体" w:hAnsi="Times New Roman" w:hint="eastAsia"/>
                <w:sz w:val="18"/>
                <w:szCs w:val="20"/>
              </w:rPr>
              <w:t>年</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C6F85"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hint="eastAsia"/>
                <w:sz w:val="18"/>
                <w:szCs w:val="20"/>
              </w:rPr>
              <w:t>否</w:t>
            </w:r>
          </w:p>
        </w:tc>
      </w:tr>
    </w:tbl>
    <w:p w14:paraId="40A4B0BC" w14:textId="77777777" w:rsidR="000E4C8D" w:rsidRPr="000E4C8D" w:rsidRDefault="000E4C8D" w:rsidP="000E4C8D">
      <w:pPr>
        <w:spacing w:line="276" w:lineRule="auto"/>
        <w:ind w:firstLineChars="200" w:firstLine="360"/>
        <w:rPr>
          <w:rFonts w:ascii="Times New Roman" w:eastAsia="宋体" w:hAnsi="Times New Roman"/>
          <w:sz w:val="18"/>
          <w:szCs w:val="20"/>
        </w:rPr>
      </w:pPr>
      <w:r w:rsidRPr="000E4C8D">
        <w:rPr>
          <w:rFonts w:ascii="Times New Roman" w:eastAsia="宋体" w:hAnsi="Times New Roman"/>
          <w:sz w:val="18"/>
          <w:szCs w:val="20"/>
        </w:rPr>
        <w:t>2</w:t>
      </w:r>
      <w:r w:rsidRPr="000E4C8D">
        <w:rPr>
          <w:rFonts w:ascii="Times New Roman" w:eastAsia="宋体" w:hAnsi="Times New Roman" w:hint="eastAsia"/>
          <w:sz w:val="18"/>
          <w:szCs w:val="20"/>
        </w:rPr>
        <w:t>）本集团作为出租人</w:t>
      </w:r>
    </w:p>
    <w:p w14:paraId="091CFB29" w14:textId="77777777" w:rsidR="000E4C8D" w:rsidRPr="000E4C8D" w:rsidRDefault="000E4C8D" w:rsidP="000E4C8D">
      <w:pPr>
        <w:spacing w:line="276" w:lineRule="auto"/>
        <w:ind w:firstLineChars="200" w:firstLine="360"/>
        <w:rPr>
          <w:rFonts w:ascii="Times New Roman" w:eastAsia="宋体" w:hAnsi="Times New Roman"/>
          <w:sz w:val="18"/>
          <w:szCs w:val="20"/>
        </w:rPr>
      </w:pPr>
      <w:r w:rsidRPr="000E4C8D">
        <w:rPr>
          <w:rFonts w:ascii="Times New Roman" w:eastAsia="宋体" w:hAnsi="Times New Roman" w:hint="eastAsia"/>
          <w:sz w:val="18"/>
          <w:szCs w:val="20"/>
        </w:rPr>
        <w:t>①与经营租赁有关的信息</w:t>
      </w:r>
    </w:p>
    <w:p w14:paraId="37DC05B9" w14:textId="77777777" w:rsidR="000E4C8D" w:rsidRPr="000E4C8D" w:rsidRDefault="000E4C8D" w:rsidP="000E4C8D">
      <w:pPr>
        <w:spacing w:line="276" w:lineRule="auto"/>
        <w:ind w:firstLineChars="200" w:firstLine="360"/>
        <w:rPr>
          <w:rFonts w:ascii="Times New Roman" w:eastAsia="宋体" w:hAnsi="Times New Roman"/>
          <w:sz w:val="18"/>
          <w:szCs w:val="20"/>
        </w:rPr>
      </w:pPr>
      <w:r w:rsidRPr="000E4C8D">
        <w:rPr>
          <w:rFonts w:ascii="Times New Roman" w:eastAsia="宋体" w:hAnsi="Times New Roman"/>
          <w:sz w:val="18"/>
          <w:szCs w:val="20"/>
        </w:rPr>
        <w:t>A</w:t>
      </w:r>
      <w:r w:rsidRPr="000E4C8D">
        <w:rPr>
          <w:rFonts w:ascii="Times New Roman" w:eastAsia="宋体" w:hAnsi="Times New Roman" w:hint="eastAsia"/>
          <w:sz w:val="18"/>
          <w:szCs w:val="20"/>
        </w:rPr>
        <w:t>、计入本年损益的情况</w:t>
      </w:r>
    </w:p>
    <w:tbl>
      <w:tblPr>
        <w:tblW w:w="5000" w:type="pct"/>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3400"/>
        <w:gridCol w:w="1457"/>
        <w:gridCol w:w="1652"/>
        <w:gridCol w:w="1554"/>
        <w:gridCol w:w="1554"/>
      </w:tblGrid>
      <w:tr w:rsidR="000E4C8D" w:rsidRPr="000E4C8D" w14:paraId="337B0A24" w14:textId="77777777" w:rsidTr="000E4C8D">
        <w:trPr>
          <w:trHeight w:val="288"/>
        </w:trPr>
        <w:tc>
          <w:tcPr>
            <w:tcW w:w="17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D45C08"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项目</w:t>
            </w:r>
          </w:p>
        </w:tc>
        <w:tc>
          <w:tcPr>
            <w:tcW w:w="16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DB5FE0"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计入本年损益</w:t>
            </w:r>
          </w:p>
        </w:tc>
        <w:tc>
          <w:tcPr>
            <w:tcW w:w="16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F9B3FF"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计入上年损益</w:t>
            </w:r>
          </w:p>
        </w:tc>
      </w:tr>
      <w:tr w:rsidR="000E4C8D" w:rsidRPr="000E4C8D" w14:paraId="0BDFD7AB" w14:textId="77777777" w:rsidTr="000E4C8D">
        <w:trPr>
          <w:trHeight w:val="27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240CC04" w14:textId="77777777" w:rsidR="000E4C8D" w:rsidRPr="000E4C8D" w:rsidRDefault="000E4C8D" w:rsidP="000E4C8D">
            <w:pPr>
              <w:rPr>
                <w:rFonts w:ascii="Times New Roman" w:eastAsia="宋体" w:hAnsi="Times New Roman"/>
                <w:sz w:val="18"/>
                <w:szCs w:val="20"/>
              </w:rPr>
            </w:pPr>
          </w:p>
        </w:tc>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DF6D20"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列</w:t>
            </w:r>
            <w:proofErr w:type="gramStart"/>
            <w:r w:rsidRPr="000E4C8D">
              <w:rPr>
                <w:rFonts w:ascii="Times New Roman" w:eastAsia="宋体" w:hAnsi="Times New Roman" w:hint="eastAsia"/>
                <w:sz w:val="18"/>
                <w:szCs w:val="20"/>
              </w:rPr>
              <w:t>报项目</w:t>
            </w:r>
            <w:proofErr w:type="gramEnd"/>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6A3CE4"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金额</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ECF9F"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列</w:t>
            </w:r>
            <w:proofErr w:type="gramStart"/>
            <w:r w:rsidRPr="000E4C8D">
              <w:rPr>
                <w:rFonts w:ascii="Times New Roman" w:eastAsia="宋体" w:hAnsi="Times New Roman" w:hint="eastAsia"/>
                <w:sz w:val="18"/>
                <w:szCs w:val="20"/>
              </w:rPr>
              <w:t>报项目</w:t>
            </w:r>
            <w:proofErr w:type="gramEnd"/>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5FC39C"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金额</w:t>
            </w:r>
          </w:p>
        </w:tc>
      </w:tr>
      <w:tr w:rsidR="000E4C8D" w:rsidRPr="000E4C8D" w14:paraId="356AB6CC" w14:textId="77777777" w:rsidTr="000E4C8D">
        <w:trPr>
          <w:trHeight w:val="276"/>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1841A"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租赁收入</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2915B024"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其他业务收入</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0130EA0" w14:textId="77777777" w:rsidR="000E4C8D" w:rsidRPr="000E4C8D" w:rsidRDefault="000E4C8D" w:rsidP="000E4C8D">
            <w:pPr>
              <w:jc w:val="right"/>
              <w:rPr>
                <w:rFonts w:ascii="Times New Roman" w:eastAsia="宋体" w:hAnsi="Times New Roman"/>
                <w:sz w:val="18"/>
                <w:szCs w:val="20"/>
              </w:rPr>
            </w:pPr>
            <w:r w:rsidRPr="000E4C8D">
              <w:rPr>
                <w:rFonts w:ascii="Times New Roman" w:eastAsia="宋体" w:hAnsi="Times New Roman"/>
                <w:sz w:val="18"/>
                <w:szCs w:val="20"/>
              </w:rPr>
              <w:t>219,801.96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624D6C9"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其他业务收入</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3E509B83" w14:textId="77777777" w:rsidR="000E4C8D" w:rsidRPr="000E4C8D" w:rsidRDefault="000E4C8D" w:rsidP="000E4C8D">
            <w:pPr>
              <w:jc w:val="right"/>
              <w:rPr>
                <w:rFonts w:ascii="Times New Roman" w:eastAsia="宋体" w:hAnsi="Times New Roman"/>
                <w:sz w:val="18"/>
                <w:szCs w:val="20"/>
              </w:rPr>
            </w:pPr>
            <w:r w:rsidRPr="000E4C8D">
              <w:rPr>
                <w:rFonts w:ascii="Times New Roman" w:eastAsia="宋体" w:hAnsi="Times New Roman"/>
                <w:sz w:val="18"/>
                <w:szCs w:val="20"/>
              </w:rPr>
              <w:t> 915.483.53</w:t>
            </w:r>
          </w:p>
        </w:tc>
      </w:tr>
      <w:tr w:rsidR="000E4C8D" w:rsidRPr="000E4C8D" w14:paraId="6033382C" w14:textId="77777777" w:rsidTr="000E4C8D">
        <w:trPr>
          <w:trHeight w:val="288"/>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39184"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合计</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02253E2"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 xml:space="preserve">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6FF90A9F" w14:textId="77777777" w:rsidR="000E4C8D" w:rsidRPr="000E4C8D" w:rsidRDefault="000E4C8D" w:rsidP="000E4C8D">
            <w:pPr>
              <w:jc w:val="right"/>
              <w:rPr>
                <w:rFonts w:ascii="Times New Roman" w:eastAsia="宋体" w:hAnsi="Times New Roman"/>
                <w:sz w:val="18"/>
                <w:szCs w:val="20"/>
              </w:rPr>
            </w:pPr>
            <w:r w:rsidRPr="000E4C8D">
              <w:rPr>
                <w:rFonts w:ascii="Times New Roman" w:eastAsia="宋体" w:hAnsi="Times New Roman"/>
                <w:sz w:val="18"/>
                <w:szCs w:val="20"/>
              </w:rPr>
              <w:t>219,801.96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401969FA"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 xml:space="preserve">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A036B2C" w14:textId="77777777" w:rsidR="000E4C8D" w:rsidRPr="000E4C8D" w:rsidRDefault="000E4C8D" w:rsidP="000E4C8D">
            <w:pPr>
              <w:jc w:val="right"/>
              <w:rPr>
                <w:rFonts w:ascii="Times New Roman" w:eastAsia="宋体" w:hAnsi="Times New Roman"/>
                <w:sz w:val="18"/>
                <w:szCs w:val="20"/>
              </w:rPr>
            </w:pPr>
            <w:r w:rsidRPr="000E4C8D">
              <w:rPr>
                <w:rFonts w:ascii="Times New Roman" w:eastAsia="宋体" w:hAnsi="Times New Roman"/>
                <w:sz w:val="18"/>
                <w:szCs w:val="20"/>
              </w:rPr>
              <w:t>915.483.53</w:t>
            </w:r>
          </w:p>
        </w:tc>
      </w:tr>
    </w:tbl>
    <w:p w14:paraId="27FECAE0" w14:textId="77777777" w:rsidR="000E4C8D" w:rsidRPr="000E4C8D" w:rsidRDefault="000E4C8D" w:rsidP="000E4C8D">
      <w:pPr>
        <w:widowControl/>
        <w:spacing w:line="460" w:lineRule="atLeast"/>
        <w:ind w:left="422"/>
        <w:jc w:val="both"/>
        <w:rPr>
          <w:rFonts w:ascii="Times New Roman" w:eastAsia="宋体" w:hAnsi="Times New Roman" w:cs="Times New Roman"/>
          <w:color w:val="000000"/>
          <w:kern w:val="0"/>
          <w:szCs w:val="21"/>
          <w14:ligatures w14:val="none"/>
        </w:rPr>
      </w:pPr>
      <w:r w:rsidRPr="000E4C8D">
        <w:rPr>
          <w:rFonts w:ascii="Times New Roman" w:eastAsia="宋体" w:hAnsi="Times New Roman" w:cs="Times New Roman"/>
          <w:color w:val="000000"/>
          <w:kern w:val="0"/>
          <w:sz w:val="18"/>
          <w:szCs w:val="18"/>
          <w14:ligatures w14:val="none"/>
        </w:rPr>
        <w:t>B</w:t>
      </w:r>
      <w:r w:rsidRPr="000E4C8D">
        <w:rPr>
          <w:rFonts w:ascii="Times New Roman" w:eastAsia="宋体" w:hAnsi="Times New Roman" w:cs="Times New Roman" w:hint="eastAsia"/>
          <w:color w:val="000000"/>
          <w:kern w:val="0"/>
          <w:sz w:val="18"/>
          <w:szCs w:val="18"/>
          <w14:ligatures w14:val="none"/>
        </w:rPr>
        <w:t>、</w:t>
      </w:r>
      <w:proofErr w:type="gramStart"/>
      <w:r w:rsidRPr="000E4C8D">
        <w:rPr>
          <w:rFonts w:ascii="Times New Roman" w:eastAsia="宋体" w:hAnsi="Times New Roman" w:cs="Times New Roman" w:hint="eastAsia"/>
          <w:color w:val="000000"/>
          <w:kern w:val="0"/>
          <w:sz w:val="18"/>
          <w:szCs w:val="18"/>
          <w14:ligatures w14:val="none"/>
        </w:rPr>
        <w:t>租赁收</w:t>
      </w:r>
      <w:proofErr w:type="gramEnd"/>
      <w:r w:rsidRPr="000E4C8D">
        <w:rPr>
          <w:rFonts w:ascii="Times New Roman" w:eastAsia="宋体" w:hAnsi="Times New Roman" w:cs="Times New Roman" w:hint="eastAsia"/>
          <w:color w:val="000000"/>
          <w:kern w:val="0"/>
          <w:sz w:val="18"/>
          <w:szCs w:val="18"/>
          <w14:ligatures w14:val="none"/>
        </w:rPr>
        <w:t>款额的收款情况</w:t>
      </w:r>
    </w:p>
    <w:tbl>
      <w:tblPr>
        <w:tblW w:w="5000" w:type="pct"/>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6703"/>
        <w:gridCol w:w="2914"/>
      </w:tblGrid>
      <w:tr w:rsidR="000E4C8D" w:rsidRPr="000E4C8D" w14:paraId="16E967A3" w14:textId="77777777" w:rsidTr="000E4C8D">
        <w:trPr>
          <w:trHeight w:val="444"/>
        </w:trPr>
        <w:tc>
          <w:tcPr>
            <w:tcW w:w="3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B9B383"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期间</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289504"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将收到的未折现</w:t>
            </w:r>
            <w:proofErr w:type="gramStart"/>
            <w:r w:rsidRPr="000E4C8D">
              <w:rPr>
                <w:rFonts w:ascii="Times New Roman" w:eastAsia="宋体" w:hAnsi="Times New Roman" w:hint="eastAsia"/>
                <w:sz w:val="18"/>
                <w:szCs w:val="20"/>
              </w:rPr>
              <w:t>租赁收</w:t>
            </w:r>
            <w:proofErr w:type="gramEnd"/>
            <w:r w:rsidRPr="000E4C8D">
              <w:rPr>
                <w:rFonts w:ascii="Times New Roman" w:eastAsia="宋体" w:hAnsi="Times New Roman" w:hint="eastAsia"/>
                <w:sz w:val="18"/>
                <w:szCs w:val="20"/>
              </w:rPr>
              <w:t>款额</w:t>
            </w:r>
          </w:p>
        </w:tc>
      </w:tr>
      <w:tr w:rsidR="000E4C8D" w:rsidRPr="000E4C8D" w14:paraId="54BE0037" w14:textId="77777777" w:rsidTr="000E4C8D">
        <w:trPr>
          <w:trHeight w:val="276"/>
        </w:trPr>
        <w:tc>
          <w:tcPr>
            <w:tcW w:w="3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39A000"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资产负债表日后第</w:t>
            </w:r>
            <w:r w:rsidRPr="000E4C8D">
              <w:rPr>
                <w:rFonts w:ascii="Times New Roman" w:eastAsia="宋体" w:hAnsi="Times New Roman"/>
                <w:sz w:val="18"/>
                <w:szCs w:val="20"/>
              </w:rPr>
              <w:t>1</w:t>
            </w:r>
            <w:r w:rsidRPr="000E4C8D">
              <w:rPr>
                <w:rFonts w:ascii="Times New Roman" w:eastAsia="宋体" w:hAnsi="Times New Roman" w:hint="eastAsia"/>
                <w:sz w:val="18"/>
                <w:szCs w:val="20"/>
              </w:rPr>
              <w:t>年</w:t>
            </w:r>
          </w:p>
        </w:tc>
        <w:tc>
          <w:tcPr>
            <w:tcW w:w="1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BD3ED" w14:textId="77777777" w:rsidR="000E4C8D" w:rsidRPr="000E4C8D" w:rsidRDefault="000E4C8D" w:rsidP="000E4C8D">
            <w:pPr>
              <w:jc w:val="right"/>
              <w:rPr>
                <w:rFonts w:ascii="Times New Roman" w:eastAsia="宋体" w:hAnsi="Times New Roman"/>
                <w:sz w:val="18"/>
                <w:szCs w:val="20"/>
              </w:rPr>
            </w:pPr>
            <w:r w:rsidRPr="000E4C8D">
              <w:rPr>
                <w:rFonts w:ascii="Times New Roman" w:eastAsia="宋体" w:hAnsi="Times New Roman"/>
                <w:sz w:val="18"/>
                <w:szCs w:val="20"/>
              </w:rPr>
              <w:t>77,876.11</w:t>
            </w:r>
          </w:p>
        </w:tc>
      </w:tr>
      <w:tr w:rsidR="000E4C8D" w:rsidRPr="000E4C8D" w14:paraId="73C71783" w14:textId="77777777" w:rsidTr="000E4C8D">
        <w:trPr>
          <w:trHeight w:val="276"/>
        </w:trPr>
        <w:tc>
          <w:tcPr>
            <w:tcW w:w="3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1B2502"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资产负债表日后第</w:t>
            </w:r>
            <w:r w:rsidRPr="000E4C8D">
              <w:rPr>
                <w:rFonts w:ascii="Times New Roman" w:eastAsia="宋体" w:hAnsi="Times New Roman"/>
                <w:sz w:val="18"/>
                <w:szCs w:val="20"/>
              </w:rPr>
              <w:t>2</w:t>
            </w:r>
            <w:r w:rsidRPr="000E4C8D">
              <w:rPr>
                <w:rFonts w:ascii="Times New Roman" w:eastAsia="宋体" w:hAnsi="Times New Roman" w:hint="eastAsia"/>
                <w:sz w:val="18"/>
                <w:szCs w:val="20"/>
              </w:rPr>
              <w:t>年</w:t>
            </w:r>
          </w:p>
        </w:tc>
        <w:tc>
          <w:tcPr>
            <w:tcW w:w="1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78E33" w14:textId="77777777" w:rsidR="000E4C8D" w:rsidRPr="000E4C8D" w:rsidRDefault="000E4C8D" w:rsidP="000E4C8D">
            <w:pPr>
              <w:jc w:val="right"/>
              <w:rPr>
                <w:rFonts w:ascii="Times New Roman" w:eastAsia="宋体" w:hAnsi="Times New Roman"/>
                <w:sz w:val="18"/>
                <w:szCs w:val="20"/>
              </w:rPr>
            </w:pPr>
            <w:r w:rsidRPr="000E4C8D">
              <w:rPr>
                <w:rFonts w:ascii="Times New Roman" w:eastAsia="宋体" w:hAnsi="Times New Roman" w:hint="eastAsia"/>
                <w:sz w:val="18"/>
                <w:szCs w:val="20"/>
              </w:rPr>
              <w:t xml:space="preserve">　</w:t>
            </w:r>
          </w:p>
        </w:tc>
      </w:tr>
      <w:tr w:rsidR="000E4C8D" w:rsidRPr="000E4C8D" w14:paraId="5CF939F3" w14:textId="77777777" w:rsidTr="000E4C8D">
        <w:trPr>
          <w:trHeight w:val="288"/>
        </w:trPr>
        <w:tc>
          <w:tcPr>
            <w:tcW w:w="3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DDE664"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合计</w:t>
            </w:r>
          </w:p>
        </w:tc>
        <w:tc>
          <w:tcPr>
            <w:tcW w:w="1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DC5016" w14:textId="77777777" w:rsidR="000E4C8D" w:rsidRPr="000E4C8D" w:rsidRDefault="000E4C8D" w:rsidP="000E4C8D">
            <w:pPr>
              <w:jc w:val="right"/>
              <w:rPr>
                <w:rFonts w:ascii="Times New Roman" w:eastAsia="宋体" w:hAnsi="Times New Roman"/>
                <w:sz w:val="18"/>
                <w:szCs w:val="20"/>
              </w:rPr>
            </w:pPr>
            <w:r w:rsidRPr="000E4C8D">
              <w:rPr>
                <w:rFonts w:ascii="Times New Roman" w:eastAsia="宋体" w:hAnsi="Times New Roman"/>
                <w:sz w:val="18"/>
                <w:szCs w:val="20"/>
              </w:rPr>
              <w:t>77,876.11</w:t>
            </w:r>
          </w:p>
        </w:tc>
      </w:tr>
    </w:tbl>
    <w:p w14:paraId="603116F0" w14:textId="77777777" w:rsidR="000E4C8D" w:rsidRPr="000E4C8D" w:rsidRDefault="000E4C8D" w:rsidP="000E4C8D">
      <w:pPr>
        <w:widowControl/>
        <w:spacing w:line="460" w:lineRule="atLeast"/>
        <w:ind w:left="422"/>
        <w:jc w:val="both"/>
        <w:rPr>
          <w:rFonts w:ascii="Times New Roman" w:eastAsia="宋体" w:hAnsi="Times New Roman" w:cs="Times New Roman"/>
          <w:color w:val="000000"/>
          <w:kern w:val="0"/>
          <w:szCs w:val="21"/>
          <w14:ligatures w14:val="none"/>
        </w:rPr>
      </w:pPr>
      <w:r w:rsidRPr="000E4C8D">
        <w:rPr>
          <w:rFonts w:ascii="Times New Roman" w:eastAsia="宋体" w:hAnsi="Times New Roman" w:cs="Times New Roman" w:hint="eastAsia"/>
          <w:color w:val="000000"/>
          <w:kern w:val="0"/>
          <w:sz w:val="18"/>
          <w:szCs w:val="18"/>
          <w14:ligatures w14:val="none"/>
        </w:rPr>
        <w:t>②其他信息</w:t>
      </w:r>
    </w:p>
    <w:p w14:paraId="5649D219" w14:textId="77777777" w:rsidR="000E4C8D" w:rsidRPr="000E4C8D" w:rsidRDefault="000E4C8D" w:rsidP="000E4C8D">
      <w:pPr>
        <w:widowControl/>
        <w:spacing w:line="460" w:lineRule="atLeast"/>
        <w:ind w:left="422"/>
        <w:jc w:val="both"/>
        <w:rPr>
          <w:rFonts w:ascii="Times New Roman" w:eastAsia="宋体" w:hAnsi="Times New Roman" w:cs="Times New Roman"/>
          <w:color w:val="000000"/>
          <w:kern w:val="0"/>
          <w:szCs w:val="21"/>
          <w14:ligatures w14:val="none"/>
        </w:rPr>
      </w:pPr>
      <w:r w:rsidRPr="000E4C8D">
        <w:rPr>
          <w:rFonts w:ascii="Times New Roman" w:eastAsia="宋体" w:hAnsi="Times New Roman" w:cs="Times New Roman"/>
          <w:color w:val="000000"/>
          <w:kern w:val="0"/>
          <w:sz w:val="18"/>
          <w:szCs w:val="18"/>
          <w14:ligatures w14:val="none"/>
        </w:rPr>
        <w:t>A</w:t>
      </w:r>
      <w:r w:rsidRPr="000E4C8D">
        <w:rPr>
          <w:rFonts w:ascii="Times New Roman" w:eastAsia="宋体" w:hAnsi="Times New Roman" w:cs="Times New Roman" w:hint="eastAsia"/>
          <w:color w:val="000000"/>
          <w:kern w:val="0"/>
          <w:sz w:val="18"/>
          <w:szCs w:val="18"/>
          <w14:ligatures w14:val="none"/>
        </w:rPr>
        <w:t>、租赁活动的性质</w:t>
      </w:r>
    </w:p>
    <w:tbl>
      <w:tblPr>
        <w:tblW w:w="5000" w:type="pct"/>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3436"/>
        <w:gridCol w:w="1472"/>
        <w:gridCol w:w="1570"/>
        <w:gridCol w:w="1570"/>
        <w:gridCol w:w="1569"/>
      </w:tblGrid>
      <w:tr w:rsidR="000E4C8D" w:rsidRPr="000E4C8D" w14:paraId="6A33B642" w14:textId="77777777" w:rsidTr="000E4C8D">
        <w:trPr>
          <w:trHeight w:val="444"/>
        </w:trPr>
        <w:tc>
          <w:tcPr>
            <w:tcW w:w="1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0DEBE9"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公司</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2039E3"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租出资产类别</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59970D"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数量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04A28A"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租赁期</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DC79A7"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是否存在续租选择权</w:t>
            </w:r>
          </w:p>
        </w:tc>
      </w:tr>
      <w:tr w:rsidR="000E4C8D" w:rsidRPr="000E4C8D" w14:paraId="30198189" w14:textId="77777777" w:rsidTr="000E4C8D">
        <w:trPr>
          <w:trHeight w:val="276"/>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403D3"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本公司</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3AD8A"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房屋建筑物</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D55297"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sz w:val="18"/>
                <w:szCs w:val="20"/>
              </w:rPr>
              <w:t>3</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CE1AF7"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sz w:val="18"/>
                <w:szCs w:val="20"/>
              </w:rPr>
              <w:t>1</w:t>
            </w:r>
            <w:r w:rsidRPr="000E4C8D">
              <w:rPr>
                <w:rFonts w:ascii="Times New Roman" w:eastAsia="宋体" w:hAnsi="Times New Roman" w:hint="eastAsia"/>
                <w:sz w:val="18"/>
                <w:szCs w:val="20"/>
              </w:rPr>
              <w:t>年</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ED1A5E"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hint="eastAsia"/>
                <w:sz w:val="18"/>
                <w:szCs w:val="20"/>
              </w:rPr>
              <w:t>否</w:t>
            </w:r>
          </w:p>
        </w:tc>
      </w:tr>
      <w:tr w:rsidR="000E4C8D" w:rsidRPr="000E4C8D" w14:paraId="6B7C2B0D" w14:textId="77777777" w:rsidTr="000E4C8D">
        <w:trPr>
          <w:trHeight w:val="276"/>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8B2222"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本公司</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9697D"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机器设备</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0B2E8"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sz w:val="18"/>
                <w:szCs w:val="20"/>
              </w:rPr>
              <w:t>3</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C4798"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sz w:val="18"/>
                <w:szCs w:val="20"/>
              </w:rPr>
              <w:t>1</w:t>
            </w:r>
            <w:r w:rsidRPr="000E4C8D">
              <w:rPr>
                <w:rFonts w:ascii="Times New Roman" w:eastAsia="宋体" w:hAnsi="Times New Roman" w:hint="eastAsia"/>
                <w:sz w:val="18"/>
                <w:szCs w:val="20"/>
              </w:rPr>
              <w:t>年</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F37FD6"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hint="eastAsia"/>
                <w:sz w:val="18"/>
                <w:szCs w:val="20"/>
              </w:rPr>
              <w:t>否</w:t>
            </w:r>
          </w:p>
        </w:tc>
      </w:tr>
      <w:tr w:rsidR="000E4C8D" w:rsidRPr="000E4C8D" w14:paraId="4806D9C4" w14:textId="77777777" w:rsidTr="000E4C8D">
        <w:trPr>
          <w:trHeight w:val="288"/>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8C8ABC"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本公司</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B30F42" w14:textId="77777777" w:rsidR="000E4C8D" w:rsidRPr="000E4C8D" w:rsidRDefault="000E4C8D" w:rsidP="000E4C8D">
            <w:pPr>
              <w:rPr>
                <w:rFonts w:ascii="Times New Roman" w:eastAsia="宋体" w:hAnsi="Times New Roman"/>
                <w:sz w:val="18"/>
                <w:szCs w:val="20"/>
              </w:rPr>
            </w:pPr>
            <w:r w:rsidRPr="000E4C8D">
              <w:rPr>
                <w:rFonts w:ascii="Times New Roman" w:eastAsia="宋体" w:hAnsi="Times New Roman" w:hint="eastAsia"/>
                <w:sz w:val="18"/>
                <w:szCs w:val="20"/>
              </w:rPr>
              <w:t>运输设备</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5D4353"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sz w:val="18"/>
                <w:szCs w:val="20"/>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EC93A8"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sz w:val="18"/>
                <w:szCs w:val="20"/>
              </w:rPr>
              <w:t>1</w:t>
            </w:r>
            <w:r w:rsidRPr="000E4C8D">
              <w:rPr>
                <w:rFonts w:ascii="Times New Roman" w:eastAsia="宋体" w:hAnsi="Times New Roman" w:hint="eastAsia"/>
                <w:sz w:val="18"/>
                <w:szCs w:val="20"/>
              </w:rPr>
              <w:t>年</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E958F7" w14:textId="77777777" w:rsidR="000E4C8D" w:rsidRPr="000E4C8D" w:rsidRDefault="000E4C8D" w:rsidP="000E4C8D">
            <w:pPr>
              <w:jc w:val="center"/>
              <w:rPr>
                <w:rFonts w:ascii="Times New Roman" w:eastAsia="宋体" w:hAnsi="Times New Roman"/>
                <w:sz w:val="18"/>
                <w:szCs w:val="20"/>
              </w:rPr>
            </w:pPr>
            <w:r w:rsidRPr="000E4C8D">
              <w:rPr>
                <w:rFonts w:ascii="Times New Roman" w:eastAsia="宋体" w:hAnsi="Times New Roman" w:hint="eastAsia"/>
                <w:sz w:val="18"/>
                <w:szCs w:val="20"/>
              </w:rPr>
              <w:t>否</w:t>
            </w:r>
          </w:p>
        </w:tc>
      </w:tr>
    </w:tbl>
    <w:p w14:paraId="49DD0C78" w14:textId="77777777" w:rsidR="001D26E7" w:rsidRPr="00F614F9" w:rsidRDefault="000E4C8D">
      <w:pPr>
        <w:pStyle w:val="2"/>
        <w:spacing w:before="300" w:after="300" w:line="320" w:lineRule="exact"/>
        <w:rPr>
          <w:rFonts w:ascii="Times New Roman" w:eastAsia="宋体" w:hAnsi="Times New Roman" w:cs="宋体"/>
          <w:b/>
          <w:bCs/>
          <w:sz w:val="24"/>
          <w:szCs w:val="24"/>
        </w:rPr>
      </w:pPr>
      <w:r w:rsidRPr="00F614F9">
        <w:rPr>
          <w:rFonts w:ascii="Times New Roman" w:eastAsia="宋体" w:hAnsi="Times New Roman" w:cs="宋体"/>
          <w:b/>
          <w:bCs/>
          <w:sz w:val="24"/>
          <w:szCs w:val="24"/>
        </w:rPr>
        <w:t>八、研发支出</w:t>
      </w:r>
      <w:bookmarkEnd w:id="516"/>
      <w:bookmarkEnd w:id="517"/>
    </w:p>
    <w:p w14:paraId="40343062" w14:textId="77777777" w:rsidR="00872599" w:rsidRPr="00F614F9" w:rsidRDefault="00000000">
      <w:pPr>
        <w:pStyle w:val="a3"/>
        <w:divId w:val="2003896830"/>
        <w:rPr>
          <w:rFonts w:ascii="Times New Roman" w:hAnsi="Times New Roman"/>
          <w:sz w:val="18"/>
          <w:szCs w:val="18"/>
        </w:rPr>
      </w:pPr>
      <w:r w:rsidRPr="00F614F9">
        <w:rPr>
          <w:rFonts w:ascii="Times New Roman" w:hAnsi="Times New Roman" w:hint="eastAsia"/>
          <w:sz w:val="18"/>
          <w:szCs w:val="18"/>
        </w:rPr>
        <w:t>无</w:t>
      </w:r>
    </w:p>
    <w:p w14:paraId="2D3102CF"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518" w:name="_Toc989357"/>
      <w:bookmarkStart w:id="519" w:name="_Toc164024830"/>
      <w:r w:rsidRPr="00F614F9">
        <w:rPr>
          <w:rFonts w:ascii="Times New Roman" w:eastAsia="宋体" w:hAnsi="Times New Roman" w:cs="宋体"/>
          <w:b/>
          <w:bCs/>
          <w:sz w:val="24"/>
          <w:szCs w:val="24"/>
        </w:rPr>
        <w:t>九、合并范围的变更</w:t>
      </w:r>
      <w:bookmarkEnd w:id="518"/>
      <w:bookmarkEnd w:id="519"/>
    </w:p>
    <w:p w14:paraId="4C45858E" w14:textId="77777777" w:rsidR="001D26E7" w:rsidRPr="00F614F9" w:rsidRDefault="00000000">
      <w:pPr>
        <w:pStyle w:val="3"/>
        <w:spacing w:line="280" w:lineRule="exact"/>
        <w:jc w:val="left"/>
        <w:rPr>
          <w:rFonts w:ascii="Times New Roman" w:hAnsi="Times New Roman" w:cs="宋体"/>
          <w:b/>
          <w:bCs/>
        </w:rPr>
      </w:pPr>
      <w:bookmarkStart w:id="520" w:name="_Toc989358"/>
      <w:r w:rsidRPr="00F614F9">
        <w:rPr>
          <w:rFonts w:ascii="Times New Roman" w:hAnsi="Times New Roman" w:cs="宋体"/>
          <w:b/>
          <w:bCs/>
        </w:rPr>
        <w:t>1</w:t>
      </w:r>
      <w:r w:rsidRPr="00F614F9">
        <w:rPr>
          <w:rFonts w:ascii="Times New Roman" w:hAnsi="Times New Roman" w:cs="宋体"/>
          <w:b/>
          <w:bCs/>
        </w:rPr>
        <w:t>、非同</w:t>
      </w:r>
      <w:proofErr w:type="gramStart"/>
      <w:r w:rsidRPr="00F614F9">
        <w:rPr>
          <w:rFonts w:ascii="Times New Roman" w:hAnsi="Times New Roman" w:cs="宋体"/>
          <w:b/>
          <w:bCs/>
        </w:rPr>
        <w:t>一控制</w:t>
      </w:r>
      <w:proofErr w:type="gramEnd"/>
      <w:r w:rsidRPr="00F614F9">
        <w:rPr>
          <w:rFonts w:ascii="Times New Roman" w:hAnsi="Times New Roman" w:cs="宋体"/>
          <w:b/>
          <w:bCs/>
        </w:rPr>
        <w:t>下企业合并</w:t>
      </w:r>
      <w:bookmarkEnd w:id="520"/>
    </w:p>
    <w:p w14:paraId="222187EE" w14:textId="77777777" w:rsidR="00872599" w:rsidRPr="00F614F9" w:rsidRDefault="00000000">
      <w:pPr>
        <w:pStyle w:val="a3"/>
        <w:divId w:val="639968479"/>
        <w:rPr>
          <w:rFonts w:ascii="Times New Roman" w:hAnsi="Times New Roman"/>
          <w:sz w:val="18"/>
          <w:szCs w:val="18"/>
        </w:rPr>
      </w:pPr>
      <w:r w:rsidRPr="00F614F9">
        <w:rPr>
          <w:rFonts w:ascii="Times New Roman" w:hAnsi="Times New Roman" w:hint="eastAsia"/>
          <w:sz w:val="18"/>
          <w:szCs w:val="18"/>
        </w:rPr>
        <w:t>无</w:t>
      </w:r>
    </w:p>
    <w:p w14:paraId="7B688C26" w14:textId="77777777" w:rsidR="001D26E7" w:rsidRPr="00F614F9" w:rsidRDefault="00000000">
      <w:pPr>
        <w:pStyle w:val="3"/>
        <w:spacing w:line="280" w:lineRule="exact"/>
        <w:jc w:val="left"/>
        <w:rPr>
          <w:rFonts w:ascii="Times New Roman" w:hAnsi="Times New Roman" w:cs="宋体"/>
          <w:b/>
          <w:bCs/>
        </w:rPr>
      </w:pPr>
      <w:bookmarkStart w:id="521" w:name="_Toc989365"/>
      <w:r w:rsidRPr="00F614F9">
        <w:rPr>
          <w:rFonts w:ascii="Times New Roman" w:hAnsi="Times New Roman" w:cs="宋体"/>
          <w:b/>
          <w:bCs/>
        </w:rPr>
        <w:t>2</w:t>
      </w:r>
      <w:r w:rsidRPr="00F614F9">
        <w:rPr>
          <w:rFonts w:ascii="Times New Roman" w:hAnsi="Times New Roman" w:cs="宋体"/>
          <w:b/>
          <w:bCs/>
        </w:rPr>
        <w:t>、同</w:t>
      </w:r>
      <w:proofErr w:type="gramStart"/>
      <w:r w:rsidRPr="00F614F9">
        <w:rPr>
          <w:rFonts w:ascii="Times New Roman" w:hAnsi="Times New Roman" w:cs="宋体"/>
          <w:b/>
          <w:bCs/>
        </w:rPr>
        <w:t>一控制</w:t>
      </w:r>
      <w:proofErr w:type="gramEnd"/>
      <w:r w:rsidRPr="00F614F9">
        <w:rPr>
          <w:rFonts w:ascii="Times New Roman" w:hAnsi="Times New Roman" w:cs="宋体"/>
          <w:b/>
          <w:bCs/>
        </w:rPr>
        <w:t>下企业合并</w:t>
      </w:r>
      <w:bookmarkEnd w:id="521"/>
    </w:p>
    <w:p w14:paraId="74D59413" w14:textId="77777777" w:rsidR="00872599" w:rsidRPr="00F614F9" w:rsidRDefault="00000000">
      <w:pPr>
        <w:pStyle w:val="a3"/>
        <w:divId w:val="1141187769"/>
        <w:rPr>
          <w:rFonts w:ascii="Times New Roman" w:hAnsi="Times New Roman"/>
          <w:sz w:val="18"/>
          <w:szCs w:val="18"/>
        </w:rPr>
      </w:pPr>
      <w:r w:rsidRPr="00F614F9">
        <w:rPr>
          <w:rFonts w:ascii="Times New Roman" w:hAnsi="Times New Roman" w:hint="eastAsia"/>
          <w:sz w:val="18"/>
          <w:szCs w:val="18"/>
        </w:rPr>
        <w:t>无</w:t>
      </w:r>
    </w:p>
    <w:p w14:paraId="409E89EC" w14:textId="77777777" w:rsidR="001D26E7" w:rsidRPr="00F614F9" w:rsidRDefault="00000000">
      <w:pPr>
        <w:pStyle w:val="3"/>
        <w:spacing w:line="280" w:lineRule="exact"/>
        <w:jc w:val="left"/>
        <w:rPr>
          <w:rFonts w:ascii="Times New Roman" w:hAnsi="Times New Roman" w:cs="宋体"/>
          <w:b/>
          <w:bCs/>
        </w:rPr>
      </w:pPr>
      <w:bookmarkStart w:id="522" w:name="_Toc989369"/>
      <w:r w:rsidRPr="00F614F9">
        <w:rPr>
          <w:rFonts w:ascii="Times New Roman" w:hAnsi="Times New Roman" w:cs="宋体"/>
          <w:b/>
          <w:bCs/>
        </w:rPr>
        <w:t>3</w:t>
      </w:r>
      <w:r w:rsidRPr="00F614F9">
        <w:rPr>
          <w:rFonts w:ascii="Times New Roman" w:hAnsi="Times New Roman" w:cs="宋体"/>
          <w:b/>
          <w:bCs/>
        </w:rPr>
        <w:t>、反向购买</w:t>
      </w:r>
      <w:bookmarkEnd w:id="522"/>
    </w:p>
    <w:p w14:paraId="1D1E07AA" w14:textId="77777777" w:rsidR="00872599" w:rsidRPr="00F614F9" w:rsidRDefault="00000000">
      <w:pPr>
        <w:pStyle w:val="a3"/>
        <w:divId w:val="204490727"/>
        <w:rPr>
          <w:rFonts w:ascii="Times New Roman" w:hAnsi="Times New Roman"/>
          <w:sz w:val="18"/>
          <w:szCs w:val="18"/>
        </w:rPr>
      </w:pPr>
      <w:r w:rsidRPr="00F614F9">
        <w:rPr>
          <w:rFonts w:ascii="Times New Roman" w:hAnsi="Times New Roman" w:hint="eastAsia"/>
          <w:sz w:val="18"/>
          <w:szCs w:val="18"/>
        </w:rPr>
        <w:t>无</w:t>
      </w:r>
    </w:p>
    <w:p w14:paraId="2418D1F0" w14:textId="77777777" w:rsidR="001D26E7" w:rsidRPr="00F614F9" w:rsidRDefault="00000000">
      <w:pPr>
        <w:pStyle w:val="3"/>
        <w:spacing w:line="280" w:lineRule="exact"/>
        <w:jc w:val="left"/>
        <w:rPr>
          <w:rFonts w:ascii="Times New Roman" w:hAnsi="Times New Roman" w:cs="宋体"/>
          <w:b/>
          <w:bCs/>
        </w:rPr>
      </w:pPr>
      <w:bookmarkStart w:id="523" w:name="_Toc989370"/>
      <w:r w:rsidRPr="00F614F9">
        <w:rPr>
          <w:rFonts w:ascii="Times New Roman" w:hAnsi="Times New Roman" w:cs="宋体"/>
          <w:b/>
          <w:bCs/>
        </w:rPr>
        <w:lastRenderedPageBreak/>
        <w:t>4</w:t>
      </w:r>
      <w:r w:rsidRPr="00F614F9">
        <w:rPr>
          <w:rFonts w:ascii="Times New Roman" w:hAnsi="Times New Roman" w:cs="宋体"/>
          <w:b/>
          <w:bCs/>
        </w:rPr>
        <w:t>、处置子公司</w:t>
      </w:r>
      <w:bookmarkEnd w:id="523"/>
    </w:p>
    <w:p w14:paraId="673A9B1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本期是否存在丧失子公司控制权的交易或事项</w:t>
      </w:r>
    </w:p>
    <w:p w14:paraId="4E5D607B"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否</w:t>
      </w:r>
    </w:p>
    <w:p w14:paraId="6F4B2A51"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是否存在通过多次交易分步处置对子公司投资且在本期丧失控制权的情形</w:t>
      </w:r>
    </w:p>
    <w:p w14:paraId="31A36B40"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是</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否</w:t>
      </w:r>
    </w:p>
    <w:p w14:paraId="6556399C" w14:textId="77777777" w:rsidR="001D26E7" w:rsidRPr="00F614F9" w:rsidRDefault="00000000">
      <w:pPr>
        <w:pStyle w:val="3"/>
        <w:spacing w:line="280" w:lineRule="exact"/>
        <w:jc w:val="left"/>
        <w:rPr>
          <w:rFonts w:ascii="Times New Roman" w:hAnsi="Times New Roman" w:cs="宋体"/>
          <w:b/>
          <w:bCs/>
        </w:rPr>
      </w:pPr>
      <w:bookmarkStart w:id="524" w:name="_Toc989371"/>
      <w:r w:rsidRPr="00F614F9">
        <w:rPr>
          <w:rFonts w:ascii="Times New Roman" w:hAnsi="Times New Roman" w:cs="宋体"/>
          <w:b/>
          <w:bCs/>
        </w:rPr>
        <w:t>5</w:t>
      </w:r>
      <w:r w:rsidRPr="00F614F9">
        <w:rPr>
          <w:rFonts w:ascii="Times New Roman" w:hAnsi="Times New Roman" w:cs="宋体"/>
          <w:b/>
          <w:bCs/>
        </w:rPr>
        <w:t>、其他原因的合并范围变动</w:t>
      </w:r>
      <w:bookmarkEnd w:id="524"/>
    </w:p>
    <w:p w14:paraId="37ECFAD3"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说明其他原因导致的合并范围变动（如，新设子公司、清算子公司等）及其相关情况：</w:t>
      </w:r>
    </w:p>
    <w:tbl>
      <w:tblPr>
        <w:tblW w:w="8895" w:type="dxa"/>
        <w:tblCellMar>
          <w:left w:w="0" w:type="dxa"/>
          <w:right w:w="0" w:type="dxa"/>
        </w:tblCellMar>
        <w:tblLook w:val="04A0" w:firstRow="1" w:lastRow="0" w:firstColumn="1" w:lastColumn="0" w:noHBand="0" w:noVBand="1"/>
      </w:tblPr>
      <w:tblGrid>
        <w:gridCol w:w="3825"/>
        <w:gridCol w:w="1125"/>
        <w:gridCol w:w="1650"/>
        <w:gridCol w:w="2295"/>
      </w:tblGrid>
      <w:tr w:rsidR="00872599" w:rsidRPr="00F614F9" w14:paraId="65F83C06" w14:textId="77777777">
        <w:trPr>
          <w:divId w:val="1787657877"/>
          <w:trHeight w:val="154"/>
        </w:trPr>
        <w:tc>
          <w:tcPr>
            <w:tcW w:w="382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95F52BC" w14:textId="77777777" w:rsidR="00872599" w:rsidRPr="00F614F9" w:rsidRDefault="00000000" w:rsidP="00886EFE">
            <w:pPr>
              <w:spacing w:line="360" w:lineRule="auto"/>
              <w:rPr>
                <w:rFonts w:ascii="Times New Roman" w:eastAsia="宋体" w:hAnsi="Times New Roman"/>
                <w:sz w:val="18"/>
                <w:szCs w:val="20"/>
              </w:rPr>
            </w:pPr>
            <w:r w:rsidRPr="00F614F9">
              <w:rPr>
                <w:rFonts w:ascii="Times New Roman" w:eastAsia="宋体" w:hAnsi="Times New Roman" w:hint="eastAsia"/>
                <w:sz w:val="18"/>
                <w:szCs w:val="20"/>
              </w:rPr>
              <w:t>公司名称</w:t>
            </w:r>
          </w:p>
        </w:tc>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8F5C737" w14:textId="77777777" w:rsidR="00872599" w:rsidRPr="00F614F9" w:rsidRDefault="00000000" w:rsidP="00886EFE">
            <w:pPr>
              <w:rPr>
                <w:rFonts w:ascii="Times New Roman" w:eastAsia="宋体" w:hAnsi="Times New Roman"/>
                <w:sz w:val="18"/>
                <w:szCs w:val="20"/>
              </w:rPr>
            </w:pPr>
            <w:r w:rsidRPr="00F614F9">
              <w:rPr>
                <w:rFonts w:ascii="Times New Roman" w:eastAsia="宋体" w:hAnsi="Times New Roman" w:hint="eastAsia"/>
                <w:sz w:val="18"/>
                <w:szCs w:val="20"/>
              </w:rPr>
              <w:t>成立时间</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7E88FC8" w14:textId="77777777" w:rsidR="00872599" w:rsidRPr="00F614F9" w:rsidRDefault="00000000" w:rsidP="00886EFE">
            <w:pPr>
              <w:rPr>
                <w:rFonts w:ascii="Times New Roman" w:eastAsia="宋体" w:hAnsi="Times New Roman"/>
                <w:sz w:val="18"/>
                <w:szCs w:val="20"/>
              </w:rPr>
            </w:pPr>
            <w:r w:rsidRPr="00F614F9">
              <w:rPr>
                <w:rFonts w:ascii="Times New Roman" w:eastAsia="宋体" w:hAnsi="Times New Roman" w:hint="eastAsia"/>
                <w:sz w:val="18"/>
                <w:szCs w:val="20"/>
              </w:rPr>
              <w:t>期末净资产</w:t>
            </w:r>
          </w:p>
        </w:tc>
        <w:tc>
          <w:tcPr>
            <w:tcW w:w="229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FE09670" w14:textId="77777777" w:rsidR="00872599" w:rsidRPr="00F614F9" w:rsidRDefault="00000000" w:rsidP="00886EFE">
            <w:pPr>
              <w:rPr>
                <w:rFonts w:ascii="Times New Roman" w:eastAsia="宋体" w:hAnsi="Times New Roman"/>
                <w:sz w:val="18"/>
                <w:szCs w:val="20"/>
              </w:rPr>
            </w:pPr>
            <w:r w:rsidRPr="00F614F9">
              <w:rPr>
                <w:rFonts w:ascii="Times New Roman" w:eastAsia="宋体" w:hAnsi="Times New Roman" w:hint="eastAsia"/>
                <w:sz w:val="18"/>
                <w:szCs w:val="20"/>
              </w:rPr>
              <w:t>合并日至期末净利润</w:t>
            </w:r>
          </w:p>
        </w:tc>
      </w:tr>
      <w:tr w:rsidR="00872599" w:rsidRPr="00F614F9" w14:paraId="131FA32C" w14:textId="77777777">
        <w:trPr>
          <w:divId w:val="1787657877"/>
          <w:trHeight w:val="154"/>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F239D66" w14:textId="77777777" w:rsidR="00872599" w:rsidRPr="00F614F9" w:rsidRDefault="00000000" w:rsidP="00886EFE">
            <w:pPr>
              <w:spacing w:line="360" w:lineRule="auto"/>
              <w:rPr>
                <w:rFonts w:ascii="Times New Roman" w:eastAsia="宋体" w:hAnsi="Times New Roman"/>
                <w:sz w:val="18"/>
                <w:szCs w:val="20"/>
              </w:rPr>
            </w:pPr>
            <w:r w:rsidRPr="00F614F9">
              <w:rPr>
                <w:rFonts w:ascii="Times New Roman" w:eastAsia="宋体" w:hAnsi="Times New Roman" w:hint="eastAsia"/>
                <w:sz w:val="18"/>
                <w:szCs w:val="20"/>
              </w:rPr>
              <w:t>龙大美食</w:t>
            </w:r>
            <w:r w:rsidRPr="00F614F9">
              <w:rPr>
                <w:rFonts w:ascii="Times New Roman" w:eastAsia="宋体" w:hAnsi="Times New Roman" w:hint="eastAsia"/>
                <w:sz w:val="18"/>
                <w:szCs w:val="20"/>
              </w:rPr>
              <w:t>(</w:t>
            </w:r>
            <w:r w:rsidRPr="00F614F9">
              <w:rPr>
                <w:rFonts w:ascii="Times New Roman" w:eastAsia="宋体" w:hAnsi="Times New Roman" w:hint="eastAsia"/>
                <w:sz w:val="18"/>
                <w:szCs w:val="20"/>
              </w:rPr>
              <w:t>北京</w:t>
            </w:r>
            <w:r w:rsidRPr="00F614F9">
              <w:rPr>
                <w:rFonts w:ascii="Times New Roman" w:eastAsia="宋体" w:hAnsi="Times New Roman" w:hint="eastAsia"/>
                <w:sz w:val="18"/>
                <w:szCs w:val="20"/>
              </w:rPr>
              <w:t>)</w:t>
            </w:r>
            <w:r w:rsidRPr="00F614F9">
              <w:rPr>
                <w:rFonts w:ascii="Times New Roman" w:eastAsia="宋体" w:hAnsi="Times New Roman" w:hint="eastAsia"/>
                <w:sz w:val="18"/>
                <w:szCs w:val="20"/>
              </w:rPr>
              <w:t>食品科技有限公司</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45A4F7D" w14:textId="77777777" w:rsidR="00872599" w:rsidRPr="00F614F9" w:rsidRDefault="00000000" w:rsidP="00886EFE">
            <w:pPr>
              <w:rPr>
                <w:rFonts w:ascii="Times New Roman" w:eastAsia="宋体" w:hAnsi="Times New Roman"/>
                <w:sz w:val="18"/>
                <w:szCs w:val="20"/>
              </w:rPr>
            </w:pPr>
            <w:r w:rsidRPr="00F614F9">
              <w:rPr>
                <w:rFonts w:ascii="Times New Roman" w:eastAsia="宋体" w:hAnsi="Times New Roman" w:hint="eastAsia"/>
                <w:sz w:val="18"/>
                <w:szCs w:val="20"/>
              </w:rPr>
              <w:t>2023-3-15</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67A82495" w14:textId="77777777" w:rsidR="00872599" w:rsidRPr="00F614F9" w:rsidRDefault="00000000" w:rsidP="00886EFE">
            <w:pPr>
              <w:rPr>
                <w:rFonts w:ascii="Times New Roman" w:eastAsia="宋体" w:hAnsi="Times New Roman"/>
                <w:sz w:val="18"/>
                <w:szCs w:val="20"/>
              </w:rPr>
            </w:pPr>
            <w:r w:rsidRPr="00F614F9">
              <w:rPr>
                <w:rFonts w:ascii="Times New Roman" w:eastAsia="宋体" w:hAnsi="Times New Roman" w:hint="eastAsia"/>
                <w:sz w:val="18"/>
                <w:szCs w:val="20"/>
              </w:rPr>
              <w:t>437,302.87 </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8904E7B" w14:textId="77777777" w:rsidR="00872599" w:rsidRPr="00F614F9" w:rsidRDefault="00000000" w:rsidP="00886EFE">
            <w:pPr>
              <w:jc w:val="right"/>
              <w:rPr>
                <w:rFonts w:ascii="Times New Roman" w:eastAsia="宋体" w:hAnsi="Times New Roman"/>
                <w:sz w:val="18"/>
                <w:szCs w:val="20"/>
              </w:rPr>
            </w:pPr>
            <w:r w:rsidRPr="00F614F9">
              <w:rPr>
                <w:rFonts w:ascii="Times New Roman" w:eastAsia="宋体" w:hAnsi="Times New Roman" w:hint="eastAsia"/>
                <w:sz w:val="18"/>
                <w:szCs w:val="20"/>
              </w:rPr>
              <w:t>437,302.87 </w:t>
            </w:r>
          </w:p>
        </w:tc>
      </w:tr>
      <w:tr w:rsidR="00872599" w:rsidRPr="00F614F9" w14:paraId="17E45343" w14:textId="77777777">
        <w:trPr>
          <w:divId w:val="1787657877"/>
          <w:trHeight w:val="154"/>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FC38455" w14:textId="77777777" w:rsidR="00872599" w:rsidRPr="00F614F9" w:rsidRDefault="00000000" w:rsidP="00886EFE">
            <w:pPr>
              <w:spacing w:line="360" w:lineRule="auto"/>
              <w:rPr>
                <w:rFonts w:ascii="Times New Roman" w:eastAsia="宋体" w:hAnsi="Times New Roman"/>
                <w:sz w:val="18"/>
                <w:szCs w:val="20"/>
              </w:rPr>
            </w:pPr>
            <w:r w:rsidRPr="00F614F9">
              <w:rPr>
                <w:rFonts w:ascii="Times New Roman" w:eastAsia="宋体" w:hAnsi="Times New Roman" w:hint="eastAsia"/>
                <w:sz w:val="18"/>
                <w:szCs w:val="20"/>
              </w:rPr>
              <w:t>龙大美食</w:t>
            </w:r>
            <w:r w:rsidRPr="00F614F9">
              <w:rPr>
                <w:rFonts w:ascii="Times New Roman" w:eastAsia="宋体" w:hAnsi="Times New Roman" w:hint="eastAsia"/>
                <w:sz w:val="18"/>
                <w:szCs w:val="20"/>
              </w:rPr>
              <w:t>(</w:t>
            </w:r>
            <w:r w:rsidRPr="00F614F9">
              <w:rPr>
                <w:rFonts w:ascii="Times New Roman" w:eastAsia="宋体" w:hAnsi="Times New Roman" w:hint="eastAsia"/>
                <w:sz w:val="18"/>
                <w:szCs w:val="20"/>
              </w:rPr>
              <w:t>上海</w:t>
            </w:r>
            <w:r w:rsidRPr="00F614F9">
              <w:rPr>
                <w:rFonts w:ascii="Times New Roman" w:eastAsia="宋体" w:hAnsi="Times New Roman" w:hint="eastAsia"/>
                <w:sz w:val="18"/>
                <w:szCs w:val="20"/>
              </w:rPr>
              <w:t>)</w:t>
            </w:r>
            <w:r w:rsidRPr="00F614F9">
              <w:rPr>
                <w:rFonts w:ascii="Times New Roman" w:eastAsia="宋体" w:hAnsi="Times New Roman" w:hint="eastAsia"/>
                <w:sz w:val="18"/>
                <w:szCs w:val="20"/>
              </w:rPr>
              <w:t>食品科技有限公司</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AB8974E" w14:textId="77777777" w:rsidR="00872599" w:rsidRPr="00F614F9" w:rsidRDefault="00000000" w:rsidP="00886EFE">
            <w:pPr>
              <w:rPr>
                <w:rFonts w:ascii="Times New Roman" w:eastAsia="宋体" w:hAnsi="Times New Roman"/>
                <w:sz w:val="18"/>
                <w:szCs w:val="20"/>
              </w:rPr>
            </w:pPr>
            <w:r w:rsidRPr="00F614F9">
              <w:rPr>
                <w:rFonts w:ascii="Times New Roman" w:eastAsia="宋体" w:hAnsi="Times New Roman" w:hint="eastAsia"/>
                <w:sz w:val="18"/>
                <w:szCs w:val="20"/>
              </w:rPr>
              <w:t>2023-03-28</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69170CA" w14:textId="77777777" w:rsidR="00872599" w:rsidRPr="00F614F9" w:rsidRDefault="00000000" w:rsidP="00886EFE">
            <w:pPr>
              <w:rPr>
                <w:rFonts w:ascii="Times New Roman" w:eastAsia="宋体" w:hAnsi="Times New Roman"/>
                <w:sz w:val="18"/>
                <w:szCs w:val="20"/>
              </w:rPr>
            </w:pPr>
            <w:r w:rsidRPr="00F614F9">
              <w:rPr>
                <w:rFonts w:ascii="Times New Roman" w:eastAsia="宋体" w:hAnsi="Times New Roman" w:hint="eastAsia"/>
                <w:sz w:val="18"/>
                <w:szCs w:val="20"/>
              </w:rPr>
              <w:t>-974,120.35 </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4A0CCFA" w14:textId="77777777" w:rsidR="00872599" w:rsidRPr="00F614F9" w:rsidRDefault="00000000" w:rsidP="00886EFE">
            <w:pPr>
              <w:jc w:val="right"/>
              <w:rPr>
                <w:rFonts w:ascii="Times New Roman" w:eastAsia="宋体" w:hAnsi="Times New Roman"/>
                <w:sz w:val="18"/>
                <w:szCs w:val="20"/>
              </w:rPr>
            </w:pPr>
            <w:r w:rsidRPr="00F614F9">
              <w:rPr>
                <w:rFonts w:ascii="Times New Roman" w:eastAsia="宋体" w:hAnsi="Times New Roman" w:hint="eastAsia"/>
                <w:sz w:val="18"/>
                <w:szCs w:val="20"/>
              </w:rPr>
              <w:t>-974,120.35 </w:t>
            </w:r>
          </w:p>
        </w:tc>
      </w:tr>
      <w:tr w:rsidR="00872599" w:rsidRPr="00F614F9" w14:paraId="2014102E" w14:textId="77777777">
        <w:trPr>
          <w:divId w:val="1787657877"/>
          <w:trHeight w:val="154"/>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D5AECE9" w14:textId="77777777" w:rsidR="00872599" w:rsidRPr="00F614F9" w:rsidRDefault="00000000" w:rsidP="00886EFE">
            <w:pPr>
              <w:spacing w:line="360" w:lineRule="auto"/>
              <w:rPr>
                <w:rFonts w:ascii="Times New Roman" w:eastAsia="宋体" w:hAnsi="Times New Roman"/>
                <w:sz w:val="18"/>
                <w:szCs w:val="20"/>
              </w:rPr>
            </w:pPr>
            <w:r w:rsidRPr="00F614F9">
              <w:rPr>
                <w:rFonts w:ascii="Times New Roman" w:eastAsia="宋体" w:hAnsi="Times New Roman" w:hint="eastAsia"/>
                <w:sz w:val="18"/>
                <w:szCs w:val="20"/>
              </w:rPr>
              <w:t>龙大美食</w:t>
            </w:r>
            <w:r w:rsidRPr="00F614F9">
              <w:rPr>
                <w:rFonts w:ascii="Times New Roman" w:eastAsia="宋体" w:hAnsi="Times New Roman" w:hint="eastAsia"/>
                <w:sz w:val="18"/>
                <w:szCs w:val="20"/>
              </w:rPr>
              <w:t>(</w:t>
            </w:r>
            <w:r w:rsidRPr="00F614F9">
              <w:rPr>
                <w:rFonts w:ascii="Times New Roman" w:eastAsia="宋体" w:hAnsi="Times New Roman" w:hint="eastAsia"/>
                <w:sz w:val="18"/>
                <w:szCs w:val="20"/>
              </w:rPr>
              <w:t>广东</w:t>
            </w:r>
            <w:r w:rsidRPr="00F614F9">
              <w:rPr>
                <w:rFonts w:ascii="Times New Roman" w:eastAsia="宋体" w:hAnsi="Times New Roman" w:hint="eastAsia"/>
                <w:sz w:val="18"/>
                <w:szCs w:val="20"/>
              </w:rPr>
              <w:t>)</w:t>
            </w:r>
            <w:r w:rsidRPr="00F614F9">
              <w:rPr>
                <w:rFonts w:ascii="Times New Roman" w:eastAsia="宋体" w:hAnsi="Times New Roman" w:hint="eastAsia"/>
                <w:sz w:val="18"/>
                <w:szCs w:val="20"/>
              </w:rPr>
              <w:t>食品科技有限公司</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43F69A2" w14:textId="77777777" w:rsidR="00872599" w:rsidRPr="00F614F9" w:rsidRDefault="00000000" w:rsidP="00886EFE">
            <w:pPr>
              <w:rPr>
                <w:rFonts w:ascii="Times New Roman" w:eastAsia="宋体" w:hAnsi="Times New Roman"/>
                <w:sz w:val="18"/>
                <w:szCs w:val="20"/>
              </w:rPr>
            </w:pPr>
            <w:r w:rsidRPr="00F614F9">
              <w:rPr>
                <w:rFonts w:ascii="Times New Roman" w:eastAsia="宋体" w:hAnsi="Times New Roman" w:hint="eastAsia"/>
                <w:sz w:val="18"/>
                <w:szCs w:val="20"/>
              </w:rPr>
              <w:t>2023-10-31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FC42E29" w14:textId="77777777" w:rsidR="00872599" w:rsidRPr="00F614F9" w:rsidRDefault="00000000" w:rsidP="00886EFE">
            <w:pPr>
              <w:rPr>
                <w:rFonts w:ascii="Times New Roman" w:eastAsia="宋体" w:hAnsi="Times New Roman"/>
                <w:sz w:val="18"/>
                <w:szCs w:val="20"/>
              </w:rPr>
            </w:pPr>
            <w:r w:rsidRPr="00F614F9">
              <w:rPr>
                <w:rFonts w:ascii="Times New Roman" w:eastAsia="宋体" w:hAnsi="Times New Roman" w:hint="eastAsia"/>
                <w:sz w:val="18"/>
                <w:szCs w:val="20"/>
              </w:rPr>
              <w:t>0.00 </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42BD196" w14:textId="77777777" w:rsidR="00872599" w:rsidRPr="00F614F9" w:rsidRDefault="00000000" w:rsidP="00886EFE">
            <w:pPr>
              <w:jc w:val="right"/>
              <w:rPr>
                <w:rFonts w:ascii="Times New Roman" w:eastAsia="宋体" w:hAnsi="Times New Roman"/>
                <w:sz w:val="18"/>
                <w:szCs w:val="20"/>
              </w:rPr>
            </w:pPr>
            <w:r w:rsidRPr="00F614F9">
              <w:rPr>
                <w:rFonts w:ascii="Times New Roman" w:eastAsia="宋体" w:hAnsi="Times New Roman" w:hint="eastAsia"/>
                <w:sz w:val="18"/>
                <w:szCs w:val="20"/>
              </w:rPr>
              <w:t>0.00 </w:t>
            </w:r>
          </w:p>
        </w:tc>
      </w:tr>
    </w:tbl>
    <w:p w14:paraId="3CBD8064" w14:textId="77777777" w:rsidR="001D26E7" w:rsidRPr="00F614F9" w:rsidRDefault="00000000">
      <w:pPr>
        <w:pStyle w:val="3"/>
        <w:spacing w:line="280" w:lineRule="exact"/>
        <w:jc w:val="left"/>
        <w:rPr>
          <w:rFonts w:ascii="Times New Roman" w:hAnsi="Times New Roman" w:cs="宋体"/>
          <w:b/>
          <w:bCs/>
        </w:rPr>
      </w:pPr>
      <w:bookmarkStart w:id="525" w:name="_Toc989372"/>
      <w:r w:rsidRPr="00F614F9">
        <w:rPr>
          <w:rFonts w:ascii="Times New Roman" w:hAnsi="Times New Roman" w:cs="宋体"/>
          <w:b/>
          <w:bCs/>
        </w:rPr>
        <w:t>6</w:t>
      </w:r>
      <w:r w:rsidRPr="00F614F9">
        <w:rPr>
          <w:rFonts w:ascii="Times New Roman" w:hAnsi="Times New Roman" w:cs="宋体"/>
          <w:b/>
          <w:bCs/>
        </w:rPr>
        <w:t>、其他</w:t>
      </w:r>
      <w:bookmarkEnd w:id="525"/>
    </w:p>
    <w:p w14:paraId="4CF34156" w14:textId="77777777" w:rsidR="00872599" w:rsidRPr="00F614F9" w:rsidRDefault="00000000">
      <w:pPr>
        <w:pStyle w:val="a3"/>
        <w:divId w:val="1287200750"/>
        <w:rPr>
          <w:rFonts w:ascii="Times New Roman" w:hAnsi="Times New Roman"/>
          <w:sz w:val="18"/>
          <w:szCs w:val="18"/>
        </w:rPr>
      </w:pPr>
      <w:r w:rsidRPr="00F614F9">
        <w:rPr>
          <w:rFonts w:ascii="Times New Roman" w:hAnsi="Times New Roman" w:hint="eastAsia"/>
          <w:sz w:val="18"/>
          <w:szCs w:val="18"/>
        </w:rPr>
        <w:t>无</w:t>
      </w:r>
    </w:p>
    <w:p w14:paraId="2B1E653F"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526" w:name="_Toc989373"/>
      <w:bookmarkStart w:id="527" w:name="_Toc164024831"/>
      <w:r w:rsidRPr="00F614F9">
        <w:rPr>
          <w:rFonts w:ascii="Times New Roman" w:eastAsia="宋体" w:hAnsi="Times New Roman" w:cs="宋体"/>
          <w:b/>
          <w:bCs/>
          <w:sz w:val="24"/>
          <w:szCs w:val="24"/>
        </w:rPr>
        <w:t>十、在其他主体中的权益</w:t>
      </w:r>
      <w:bookmarkEnd w:id="526"/>
      <w:bookmarkEnd w:id="527"/>
    </w:p>
    <w:p w14:paraId="481EF608" w14:textId="77777777" w:rsidR="001D26E7" w:rsidRPr="00F614F9" w:rsidRDefault="00000000">
      <w:pPr>
        <w:pStyle w:val="3"/>
        <w:spacing w:line="280" w:lineRule="exact"/>
        <w:jc w:val="left"/>
        <w:rPr>
          <w:rFonts w:ascii="Times New Roman" w:hAnsi="Times New Roman" w:cs="宋体"/>
          <w:b/>
          <w:bCs/>
        </w:rPr>
      </w:pPr>
      <w:bookmarkStart w:id="528" w:name="_Toc989374"/>
      <w:r w:rsidRPr="00F614F9">
        <w:rPr>
          <w:rFonts w:ascii="Times New Roman" w:hAnsi="Times New Roman" w:cs="宋体"/>
          <w:b/>
          <w:bCs/>
        </w:rPr>
        <w:t>1</w:t>
      </w:r>
      <w:r w:rsidRPr="00F614F9">
        <w:rPr>
          <w:rFonts w:ascii="Times New Roman" w:hAnsi="Times New Roman" w:cs="宋体"/>
          <w:b/>
          <w:bCs/>
        </w:rPr>
        <w:t>、在子公司中的权益</w:t>
      </w:r>
      <w:bookmarkEnd w:id="528"/>
    </w:p>
    <w:p w14:paraId="66D16A12"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529" w:name="_Toc989375"/>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企业集团的构成</w:t>
      </w:r>
      <w:bookmarkEnd w:id="529"/>
    </w:p>
    <w:p w14:paraId="0ADF143A"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379"/>
        <w:gridCol w:w="1031"/>
        <w:gridCol w:w="1205"/>
        <w:gridCol w:w="1205"/>
        <w:gridCol w:w="1205"/>
        <w:gridCol w:w="1205"/>
        <w:gridCol w:w="1205"/>
      </w:tblGrid>
      <w:tr w:rsidR="001D26E7" w:rsidRPr="00F614F9" w14:paraId="237BABA9" w14:textId="77777777" w:rsidTr="00886EFE">
        <w:trPr>
          <w:trHeight w:val="240"/>
        </w:trPr>
        <w:tc>
          <w:tcPr>
            <w:tcW w:w="12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B17A6D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子公司名称</w:t>
            </w:r>
          </w:p>
        </w:tc>
        <w:tc>
          <w:tcPr>
            <w:tcW w:w="137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567B78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注册资本</w:t>
            </w:r>
          </w:p>
        </w:tc>
        <w:tc>
          <w:tcPr>
            <w:tcW w:w="103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6F7BB5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主要经营地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8D9B1A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注册地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281E38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业务性质</w:t>
            </w:r>
          </w:p>
        </w:tc>
        <w:tc>
          <w:tcPr>
            <w:tcW w:w="241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C01CBC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持股比例</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BF2FA5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取得方式</w:t>
            </w:r>
          </w:p>
        </w:tc>
      </w:tr>
      <w:tr w:rsidR="001D26E7" w:rsidRPr="00F614F9" w14:paraId="677D3F89" w14:textId="77777777" w:rsidTr="00886EFE">
        <w:trPr>
          <w:trHeight w:val="240"/>
        </w:trPr>
        <w:tc>
          <w:tcPr>
            <w:tcW w:w="120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A753F1F" w14:textId="77777777" w:rsidR="001D26E7" w:rsidRPr="00F614F9" w:rsidRDefault="001D26E7">
            <w:pPr>
              <w:rPr>
                <w:rFonts w:ascii="Times New Roman" w:hAnsi="Times New Roman"/>
              </w:rPr>
            </w:pPr>
          </w:p>
        </w:tc>
        <w:tc>
          <w:tcPr>
            <w:tcW w:w="1379" w:type="dxa"/>
            <w:vMerge/>
            <w:tcBorders>
              <w:top w:val="single" w:sz="2" w:space="0" w:color="auto"/>
              <w:left w:val="single" w:sz="2" w:space="0" w:color="auto"/>
              <w:bottom w:val="single" w:sz="2" w:space="0" w:color="auto"/>
              <w:right w:val="single" w:sz="2" w:space="0" w:color="auto"/>
            </w:tcBorders>
            <w:vAlign w:val="center"/>
          </w:tcPr>
          <w:p w14:paraId="5F036219" w14:textId="77777777" w:rsidR="001D26E7" w:rsidRPr="00F614F9" w:rsidRDefault="001D26E7">
            <w:pPr>
              <w:rPr>
                <w:rFonts w:ascii="Times New Roman" w:hAnsi="Times New Roman"/>
              </w:rPr>
            </w:pPr>
          </w:p>
        </w:tc>
        <w:tc>
          <w:tcPr>
            <w:tcW w:w="103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FD7511F" w14:textId="77777777" w:rsidR="001D26E7" w:rsidRPr="00F614F9" w:rsidRDefault="001D26E7">
            <w:pPr>
              <w:rPr>
                <w:rFonts w:ascii="Times New Roman" w:hAnsi="Times New Roman"/>
              </w:rPr>
            </w:pP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24FC54A" w14:textId="77777777" w:rsidR="001D26E7" w:rsidRPr="00F614F9" w:rsidRDefault="001D26E7">
            <w:pPr>
              <w:rPr>
                <w:rFonts w:ascii="Times New Roman" w:hAnsi="Times New Roman"/>
              </w:rPr>
            </w:pP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950761B" w14:textId="77777777" w:rsidR="001D26E7" w:rsidRPr="00F614F9" w:rsidRDefault="001D26E7">
            <w:pPr>
              <w:rPr>
                <w:rFonts w:ascii="Times New Roman" w:hAnsi="Times New Roman"/>
              </w:rPr>
            </w:pP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ECFDBE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直接</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734DF1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间接</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25EBCC8" w14:textId="77777777" w:rsidR="001D26E7" w:rsidRPr="00F614F9" w:rsidRDefault="001D26E7">
            <w:pPr>
              <w:rPr>
                <w:rFonts w:ascii="Times New Roman" w:hAnsi="Times New Roman"/>
              </w:rPr>
            </w:pPr>
          </w:p>
        </w:tc>
      </w:tr>
      <w:tr w:rsidR="001D26E7" w:rsidRPr="00F614F9" w14:paraId="3BA9F559"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4AFB66C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烟台龙大养殖有限公司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29A2AB5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150,000,000.00</w:t>
            </w:r>
          </w:p>
        </w:tc>
        <w:tc>
          <w:tcPr>
            <w:tcW w:w="1031" w:type="dxa"/>
            <w:tcBorders>
              <w:top w:val="single" w:sz="2" w:space="0" w:color="auto"/>
              <w:left w:val="single" w:sz="2" w:space="0" w:color="auto"/>
              <w:bottom w:val="single" w:sz="2" w:space="0" w:color="auto"/>
              <w:right w:val="single" w:sz="2" w:space="0" w:color="auto"/>
            </w:tcBorders>
            <w:vAlign w:val="center"/>
          </w:tcPr>
          <w:p w14:paraId="6095358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57324F1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山东省莱阳市龙旺庄街道办事处乔家泊村</w:t>
            </w:r>
          </w:p>
        </w:tc>
        <w:tc>
          <w:tcPr>
            <w:tcW w:w="1205" w:type="dxa"/>
            <w:tcBorders>
              <w:top w:val="single" w:sz="2" w:space="0" w:color="auto"/>
              <w:left w:val="single" w:sz="2" w:space="0" w:color="auto"/>
              <w:bottom w:val="single" w:sz="2" w:space="0" w:color="auto"/>
              <w:right w:val="single" w:sz="2" w:space="0" w:color="auto"/>
            </w:tcBorders>
            <w:vAlign w:val="center"/>
          </w:tcPr>
          <w:p w14:paraId="4011B65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畜禽</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养殖</w:t>
            </w:r>
          </w:p>
        </w:tc>
        <w:tc>
          <w:tcPr>
            <w:tcW w:w="1205" w:type="dxa"/>
            <w:tcBorders>
              <w:top w:val="single" w:sz="2" w:space="0" w:color="auto"/>
              <w:left w:val="single" w:sz="2" w:space="0" w:color="auto"/>
              <w:bottom w:val="single" w:sz="2" w:space="0" w:color="auto"/>
              <w:right w:val="single" w:sz="2" w:space="0" w:color="auto"/>
            </w:tcBorders>
            <w:vAlign w:val="center"/>
          </w:tcPr>
          <w:p w14:paraId="028C36C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581DC1E9"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8A4F72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同</w:t>
            </w:r>
            <w:proofErr w:type="gramStart"/>
            <w:r w:rsidRPr="00F614F9">
              <w:rPr>
                <w:rFonts w:ascii="Times New Roman" w:eastAsia="宋体" w:hAnsi="Times New Roman" w:cs="宋体"/>
                <w:sz w:val="18"/>
                <w:szCs w:val="18"/>
              </w:rPr>
              <w:t>一控制</w:t>
            </w:r>
            <w:proofErr w:type="gramEnd"/>
            <w:r w:rsidRPr="00F614F9">
              <w:rPr>
                <w:rFonts w:ascii="Times New Roman" w:eastAsia="宋体" w:hAnsi="Times New Roman" w:cs="宋体"/>
                <w:sz w:val="18"/>
                <w:szCs w:val="18"/>
              </w:rPr>
              <w:t>下企业合并</w:t>
            </w:r>
          </w:p>
        </w:tc>
      </w:tr>
      <w:tr w:rsidR="001D26E7" w:rsidRPr="00F614F9" w14:paraId="78A095F2"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023625F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烟台龙大饲料有限公司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725A0A0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56,000,000.00</w:t>
            </w:r>
          </w:p>
        </w:tc>
        <w:tc>
          <w:tcPr>
            <w:tcW w:w="1031" w:type="dxa"/>
            <w:tcBorders>
              <w:top w:val="single" w:sz="2" w:space="0" w:color="auto"/>
              <w:left w:val="single" w:sz="2" w:space="0" w:color="auto"/>
              <w:bottom w:val="single" w:sz="2" w:space="0" w:color="auto"/>
              <w:right w:val="single" w:sz="2" w:space="0" w:color="auto"/>
            </w:tcBorders>
            <w:vAlign w:val="center"/>
          </w:tcPr>
          <w:p w14:paraId="034098D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6033AA0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山东省莱阳市龙旺庄街道办事处乔家泊村</w:t>
            </w:r>
          </w:p>
        </w:tc>
        <w:tc>
          <w:tcPr>
            <w:tcW w:w="1205" w:type="dxa"/>
            <w:tcBorders>
              <w:top w:val="single" w:sz="2" w:space="0" w:color="auto"/>
              <w:left w:val="single" w:sz="2" w:space="0" w:color="auto"/>
              <w:bottom w:val="single" w:sz="2" w:space="0" w:color="auto"/>
              <w:right w:val="single" w:sz="2" w:space="0" w:color="auto"/>
            </w:tcBorders>
            <w:vAlign w:val="center"/>
          </w:tcPr>
          <w:p w14:paraId="390F6E9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饲料生产</w:t>
            </w:r>
          </w:p>
        </w:tc>
        <w:tc>
          <w:tcPr>
            <w:tcW w:w="1205" w:type="dxa"/>
            <w:tcBorders>
              <w:top w:val="single" w:sz="2" w:space="0" w:color="auto"/>
              <w:left w:val="single" w:sz="2" w:space="0" w:color="auto"/>
              <w:bottom w:val="single" w:sz="2" w:space="0" w:color="auto"/>
              <w:right w:val="single" w:sz="2" w:space="0" w:color="auto"/>
            </w:tcBorders>
            <w:vAlign w:val="center"/>
          </w:tcPr>
          <w:p w14:paraId="2011AA3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60BBA4EB"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9B2BA4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同</w:t>
            </w:r>
            <w:proofErr w:type="gramStart"/>
            <w:r w:rsidRPr="00F614F9">
              <w:rPr>
                <w:rFonts w:ascii="Times New Roman" w:eastAsia="宋体" w:hAnsi="Times New Roman" w:cs="宋体"/>
                <w:sz w:val="18"/>
                <w:szCs w:val="18"/>
              </w:rPr>
              <w:t>一控制</w:t>
            </w:r>
            <w:proofErr w:type="gramEnd"/>
            <w:r w:rsidRPr="00F614F9">
              <w:rPr>
                <w:rFonts w:ascii="Times New Roman" w:eastAsia="宋体" w:hAnsi="Times New Roman" w:cs="宋体"/>
                <w:sz w:val="18"/>
                <w:szCs w:val="18"/>
              </w:rPr>
              <w:t>下企业合并</w:t>
            </w:r>
          </w:p>
        </w:tc>
      </w:tr>
      <w:tr w:rsidR="001D26E7" w:rsidRPr="00F614F9" w14:paraId="49475C8F"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43A55D8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河南龙大牧原肉食品有限公司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3A02AEC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150,000,000.00</w:t>
            </w:r>
          </w:p>
        </w:tc>
        <w:tc>
          <w:tcPr>
            <w:tcW w:w="1031" w:type="dxa"/>
            <w:tcBorders>
              <w:top w:val="single" w:sz="2" w:space="0" w:color="auto"/>
              <w:left w:val="single" w:sz="2" w:space="0" w:color="auto"/>
              <w:bottom w:val="single" w:sz="2" w:space="0" w:color="auto"/>
              <w:right w:val="single" w:sz="2" w:space="0" w:color="auto"/>
            </w:tcBorders>
            <w:vAlign w:val="center"/>
          </w:tcPr>
          <w:p w14:paraId="13F8103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河南省内乡县</w:t>
            </w:r>
          </w:p>
        </w:tc>
        <w:tc>
          <w:tcPr>
            <w:tcW w:w="1205" w:type="dxa"/>
            <w:tcBorders>
              <w:top w:val="single" w:sz="2" w:space="0" w:color="auto"/>
              <w:left w:val="single" w:sz="2" w:space="0" w:color="auto"/>
              <w:bottom w:val="single" w:sz="2" w:space="0" w:color="auto"/>
              <w:right w:val="single" w:sz="2" w:space="0" w:color="auto"/>
            </w:tcBorders>
            <w:vAlign w:val="center"/>
          </w:tcPr>
          <w:p w14:paraId="2E92D47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内乡县灌涨镇前湾村</w:t>
            </w:r>
            <w:r w:rsidRPr="00F614F9">
              <w:rPr>
                <w:rFonts w:ascii="Times New Roman" w:eastAsia="宋体" w:hAnsi="Times New Roman" w:cs="宋体"/>
                <w:sz w:val="18"/>
                <w:szCs w:val="18"/>
              </w:rPr>
              <w:t>312</w:t>
            </w:r>
            <w:r w:rsidRPr="00F614F9">
              <w:rPr>
                <w:rFonts w:ascii="Times New Roman" w:eastAsia="宋体" w:hAnsi="Times New Roman" w:cs="宋体"/>
                <w:sz w:val="18"/>
                <w:szCs w:val="18"/>
              </w:rPr>
              <w:t>国道</w:t>
            </w:r>
            <w:proofErr w:type="gramStart"/>
            <w:r w:rsidRPr="00F614F9">
              <w:rPr>
                <w:rFonts w:ascii="Times New Roman" w:eastAsia="宋体" w:hAnsi="Times New Roman" w:cs="宋体"/>
                <w:sz w:val="18"/>
                <w:szCs w:val="18"/>
              </w:rPr>
              <w:t>与默河交叉口</w:t>
            </w:r>
            <w:proofErr w:type="gramEnd"/>
            <w:r w:rsidRPr="00F614F9">
              <w:rPr>
                <w:rFonts w:ascii="Times New Roman" w:eastAsia="宋体" w:hAnsi="Times New Roman" w:cs="宋体"/>
                <w:sz w:val="18"/>
                <w:szCs w:val="18"/>
              </w:rPr>
              <w:t>西北角</w:t>
            </w:r>
          </w:p>
        </w:tc>
        <w:tc>
          <w:tcPr>
            <w:tcW w:w="1205" w:type="dxa"/>
            <w:tcBorders>
              <w:top w:val="single" w:sz="2" w:space="0" w:color="auto"/>
              <w:left w:val="single" w:sz="2" w:space="0" w:color="auto"/>
              <w:bottom w:val="single" w:sz="2" w:space="0" w:color="auto"/>
              <w:right w:val="single" w:sz="2" w:space="0" w:color="auto"/>
            </w:tcBorders>
            <w:vAlign w:val="center"/>
          </w:tcPr>
          <w:p w14:paraId="51EE965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4909E2F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60.00%</w:t>
            </w:r>
          </w:p>
        </w:tc>
        <w:tc>
          <w:tcPr>
            <w:tcW w:w="1205" w:type="dxa"/>
            <w:tcBorders>
              <w:top w:val="single" w:sz="2" w:space="0" w:color="auto"/>
              <w:left w:val="single" w:sz="2" w:space="0" w:color="auto"/>
              <w:bottom w:val="single" w:sz="2" w:space="0" w:color="auto"/>
              <w:right w:val="single" w:sz="2" w:space="0" w:color="auto"/>
            </w:tcBorders>
            <w:vAlign w:val="center"/>
          </w:tcPr>
          <w:p w14:paraId="1B54FE64"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6B001F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43EFF953"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51B6A3E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聊城龙大肉食品有限公司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66BAB97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30,000,000.00</w:t>
            </w:r>
          </w:p>
        </w:tc>
        <w:tc>
          <w:tcPr>
            <w:tcW w:w="1031" w:type="dxa"/>
            <w:tcBorders>
              <w:top w:val="single" w:sz="2" w:space="0" w:color="auto"/>
              <w:left w:val="single" w:sz="2" w:space="0" w:color="auto"/>
              <w:bottom w:val="single" w:sz="2" w:space="0" w:color="auto"/>
              <w:right w:val="single" w:sz="2" w:space="0" w:color="auto"/>
            </w:tcBorders>
            <w:vAlign w:val="center"/>
          </w:tcPr>
          <w:p w14:paraId="246A27A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山东省聊城市</w:t>
            </w:r>
          </w:p>
        </w:tc>
        <w:tc>
          <w:tcPr>
            <w:tcW w:w="1205" w:type="dxa"/>
            <w:tcBorders>
              <w:top w:val="single" w:sz="2" w:space="0" w:color="auto"/>
              <w:left w:val="single" w:sz="2" w:space="0" w:color="auto"/>
              <w:bottom w:val="single" w:sz="2" w:space="0" w:color="auto"/>
              <w:right w:val="single" w:sz="2" w:space="0" w:color="auto"/>
            </w:tcBorders>
            <w:vAlign w:val="center"/>
          </w:tcPr>
          <w:p w14:paraId="1780239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聊城市东昌府区嘉明工业园嘉明北路</w:t>
            </w:r>
          </w:p>
        </w:tc>
        <w:tc>
          <w:tcPr>
            <w:tcW w:w="1205" w:type="dxa"/>
            <w:tcBorders>
              <w:top w:val="single" w:sz="2" w:space="0" w:color="auto"/>
              <w:left w:val="single" w:sz="2" w:space="0" w:color="auto"/>
              <w:bottom w:val="single" w:sz="2" w:space="0" w:color="auto"/>
              <w:right w:val="single" w:sz="2" w:space="0" w:color="auto"/>
            </w:tcBorders>
            <w:vAlign w:val="center"/>
          </w:tcPr>
          <w:p w14:paraId="29E1026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382556D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0B81963B"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56D0F4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617C14D0"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683CB98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烟台杰科检测服务有限公司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7CA6116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5,000,000.00</w:t>
            </w:r>
          </w:p>
        </w:tc>
        <w:tc>
          <w:tcPr>
            <w:tcW w:w="1031" w:type="dxa"/>
            <w:tcBorders>
              <w:top w:val="single" w:sz="2" w:space="0" w:color="auto"/>
              <w:left w:val="single" w:sz="2" w:space="0" w:color="auto"/>
              <w:bottom w:val="single" w:sz="2" w:space="0" w:color="auto"/>
              <w:right w:val="single" w:sz="2" w:space="0" w:color="auto"/>
            </w:tcBorders>
            <w:vAlign w:val="center"/>
          </w:tcPr>
          <w:p w14:paraId="09F5D64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372A87C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山东省烟台市莱阳市龙门东路</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号</w:t>
            </w:r>
            <w:r w:rsidRPr="00F614F9">
              <w:rPr>
                <w:rFonts w:ascii="Times New Roman" w:eastAsia="宋体" w:hAnsi="Times New Roman" w:cs="宋体"/>
                <w:sz w:val="18"/>
                <w:szCs w:val="18"/>
              </w:rPr>
              <w:t>0027</w:t>
            </w:r>
          </w:p>
        </w:tc>
        <w:tc>
          <w:tcPr>
            <w:tcW w:w="1205" w:type="dxa"/>
            <w:tcBorders>
              <w:top w:val="single" w:sz="2" w:space="0" w:color="auto"/>
              <w:left w:val="single" w:sz="2" w:space="0" w:color="auto"/>
              <w:bottom w:val="single" w:sz="2" w:space="0" w:color="auto"/>
              <w:right w:val="single" w:sz="2" w:space="0" w:color="auto"/>
            </w:tcBorders>
            <w:vAlign w:val="center"/>
          </w:tcPr>
          <w:p w14:paraId="75A7042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食品及添加剂检测</w:t>
            </w:r>
          </w:p>
        </w:tc>
        <w:tc>
          <w:tcPr>
            <w:tcW w:w="1205" w:type="dxa"/>
            <w:tcBorders>
              <w:top w:val="single" w:sz="2" w:space="0" w:color="auto"/>
              <w:left w:val="single" w:sz="2" w:space="0" w:color="auto"/>
              <w:bottom w:val="single" w:sz="2" w:space="0" w:color="auto"/>
              <w:right w:val="single" w:sz="2" w:space="0" w:color="auto"/>
            </w:tcBorders>
            <w:vAlign w:val="center"/>
          </w:tcPr>
          <w:p w14:paraId="235639F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3DFB43DA"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B66CAB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同</w:t>
            </w:r>
            <w:proofErr w:type="gramStart"/>
            <w:r w:rsidRPr="00F614F9">
              <w:rPr>
                <w:rFonts w:ascii="Times New Roman" w:eastAsia="宋体" w:hAnsi="Times New Roman" w:cs="宋体"/>
                <w:sz w:val="18"/>
                <w:szCs w:val="18"/>
              </w:rPr>
              <w:t>一控制</w:t>
            </w:r>
            <w:proofErr w:type="gramEnd"/>
            <w:r w:rsidRPr="00F614F9">
              <w:rPr>
                <w:rFonts w:ascii="Times New Roman" w:eastAsia="宋体" w:hAnsi="Times New Roman" w:cs="宋体"/>
                <w:sz w:val="18"/>
                <w:szCs w:val="18"/>
              </w:rPr>
              <w:t>下企业合并</w:t>
            </w:r>
          </w:p>
        </w:tc>
      </w:tr>
      <w:tr w:rsidR="001D26E7" w:rsidRPr="00F614F9" w14:paraId="44C31935"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70376845"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lastRenderedPageBreak/>
              <w:t>莒</w:t>
            </w:r>
            <w:proofErr w:type="gramEnd"/>
            <w:r w:rsidRPr="00F614F9">
              <w:rPr>
                <w:rFonts w:ascii="Times New Roman" w:eastAsia="宋体" w:hAnsi="Times New Roman" w:cs="宋体"/>
                <w:sz w:val="18"/>
                <w:szCs w:val="18"/>
              </w:rPr>
              <w:t>南龙大肉食品有限公司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18A810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20,000,000.00</w:t>
            </w:r>
          </w:p>
        </w:tc>
        <w:tc>
          <w:tcPr>
            <w:tcW w:w="1031" w:type="dxa"/>
            <w:tcBorders>
              <w:top w:val="single" w:sz="2" w:space="0" w:color="auto"/>
              <w:left w:val="single" w:sz="2" w:space="0" w:color="auto"/>
              <w:bottom w:val="single" w:sz="2" w:space="0" w:color="auto"/>
              <w:right w:val="single" w:sz="2" w:space="0" w:color="auto"/>
            </w:tcBorders>
            <w:vAlign w:val="center"/>
          </w:tcPr>
          <w:p w14:paraId="0299A4D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山东省莒南县</w:t>
            </w:r>
          </w:p>
        </w:tc>
        <w:tc>
          <w:tcPr>
            <w:tcW w:w="1205" w:type="dxa"/>
            <w:tcBorders>
              <w:top w:val="single" w:sz="2" w:space="0" w:color="auto"/>
              <w:left w:val="single" w:sz="2" w:space="0" w:color="auto"/>
              <w:bottom w:val="single" w:sz="2" w:space="0" w:color="auto"/>
              <w:right w:val="single" w:sz="2" w:space="0" w:color="auto"/>
            </w:tcBorders>
            <w:vAlign w:val="center"/>
          </w:tcPr>
          <w:p w14:paraId="5B55F5E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莒南县城南环路东段</w:t>
            </w:r>
          </w:p>
        </w:tc>
        <w:tc>
          <w:tcPr>
            <w:tcW w:w="1205" w:type="dxa"/>
            <w:tcBorders>
              <w:top w:val="single" w:sz="2" w:space="0" w:color="auto"/>
              <w:left w:val="single" w:sz="2" w:space="0" w:color="auto"/>
              <w:bottom w:val="single" w:sz="2" w:space="0" w:color="auto"/>
              <w:right w:val="single" w:sz="2" w:space="0" w:color="auto"/>
            </w:tcBorders>
            <w:vAlign w:val="center"/>
          </w:tcPr>
          <w:p w14:paraId="0BC71C9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70A0F23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697949F9"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D17CA9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6D9BAED6"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0BAADBE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蓬莱富龙肉食品有限公司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34C2D1A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14,000,000.00</w:t>
            </w:r>
          </w:p>
        </w:tc>
        <w:tc>
          <w:tcPr>
            <w:tcW w:w="1031" w:type="dxa"/>
            <w:tcBorders>
              <w:top w:val="single" w:sz="2" w:space="0" w:color="auto"/>
              <w:left w:val="single" w:sz="2" w:space="0" w:color="auto"/>
              <w:bottom w:val="single" w:sz="2" w:space="0" w:color="auto"/>
              <w:right w:val="single" w:sz="2" w:space="0" w:color="auto"/>
            </w:tcBorders>
            <w:vAlign w:val="center"/>
          </w:tcPr>
          <w:p w14:paraId="30F10DD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山东省蓬莱市</w:t>
            </w:r>
          </w:p>
        </w:tc>
        <w:tc>
          <w:tcPr>
            <w:tcW w:w="1205" w:type="dxa"/>
            <w:tcBorders>
              <w:top w:val="single" w:sz="2" w:space="0" w:color="auto"/>
              <w:left w:val="single" w:sz="2" w:space="0" w:color="auto"/>
              <w:bottom w:val="single" w:sz="2" w:space="0" w:color="auto"/>
              <w:right w:val="single" w:sz="2" w:space="0" w:color="auto"/>
            </w:tcBorders>
            <w:vAlign w:val="center"/>
          </w:tcPr>
          <w:p w14:paraId="2AACD0B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山东省蓬莱市</w:t>
            </w:r>
            <w:proofErr w:type="gramStart"/>
            <w:r w:rsidRPr="00F614F9">
              <w:rPr>
                <w:rFonts w:ascii="Times New Roman" w:eastAsia="宋体" w:hAnsi="Times New Roman" w:cs="宋体"/>
                <w:sz w:val="18"/>
                <w:szCs w:val="18"/>
              </w:rPr>
              <w:t>小门家</w:t>
            </w:r>
            <w:proofErr w:type="gramEnd"/>
            <w:r w:rsidRPr="00F614F9">
              <w:rPr>
                <w:rFonts w:ascii="Times New Roman" w:eastAsia="宋体" w:hAnsi="Times New Roman" w:cs="宋体"/>
                <w:sz w:val="18"/>
                <w:szCs w:val="18"/>
              </w:rPr>
              <w:t>镇吕家洼村西</w:t>
            </w:r>
          </w:p>
        </w:tc>
        <w:tc>
          <w:tcPr>
            <w:tcW w:w="1205" w:type="dxa"/>
            <w:tcBorders>
              <w:top w:val="single" w:sz="2" w:space="0" w:color="auto"/>
              <w:left w:val="single" w:sz="2" w:space="0" w:color="auto"/>
              <w:bottom w:val="single" w:sz="2" w:space="0" w:color="auto"/>
              <w:right w:val="single" w:sz="2" w:space="0" w:color="auto"/>
            </w:tcBorders>
            <w:vAlign w:val="center"/>
          </w:tcPr>
          <w:p w14:paraId="42CFCDA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3910687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57.14%</w:t>
            </w:r>
          </w:p>
        </w:tc>
        <w:tc>
          <w:tcPr>
            <w:tcW w:w="1205" w:type="dxa"/>
            <w:tcBorders>
              <w:top w:val="single" w:sz="2" w:space="0" w:color="auto"/>
              <w:left w:val="single" w:sz="2" w:space="0" w:color="auto"/>
              <w:bottom w:val="single" w:sz="2" w:space="0" w:color="auto"/>
              <w:right w:val="single" w:sz="2" w:space="0" w:color="auto"/>
            </w:tcBorders>
            <w:vAlign w:val="center"/>
          </w:tcPr>
          <w:p w14:paraId="458461F1"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2AE23A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125337CD"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088F45C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北京快厨帮科技有限公司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7B749B6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20,000,000.00</w:t>
            </w:r>
          </w:p>
        </w:tc>
        <w:tc>
          <w:tcPr>
            <w:tcW w:w="1031" w:type="dxa"/>
            <w:tcBorders>
              <w:top w:val="single" w:sz="2" w:space="0" w:color="auto"/>
              <w:left w:val="single" w:sz="2" w:space="0" w:color="auto"/>
              <w:bottom w:val="single" w:sz="2" w:space="0" w:color="auto"/>
              <w:right w:val="single" w:sz="2" w:space="0" w:color="auto"/>
            </w:tcBorders>
            <w:vAlign w:val="center"/>
          </w:tcPr>
          <w:p w14:paraId="437B0D3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北京市朝阳区</w:t>
            </w:r>
          </w:p>
        </w:tc>
        <w:tc>
          <w:tcPr>
            <w:tcW w:w="1205" w:type="dxa"/>
            <w:tcBorders>
              <w:top w:val="single" w:sz="2" w:space="0" w:color="auto"/>
              <w:left w:val="single" w:sz="2" w:space="0" w:color="auto"/>
              <w:bottom w:val="single" w:sz="2" w:space="0" w:color="auto"/>
              <w:right w:val="single" w:sz="2" w:space="0" w:color="auto"/>
            </w:tcBorders>
            <w:vAlign w:val="center"/>
          </w:tcPr>
          <w:p w14:paraId="62B703C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北京市朝阳区八里庄北里</w:t>
            </w:r>
            <w:r w:rsidRPr="00F614F9">
              <w:rPr>
                <w:rFonts w:ascii="Times New Roman" w:eastAsia="宋体" w:hAnsi="Times New Roman" w:cs="宋体"/>
                <w:sz w:val="18"/>
                <w:szCs w:val="18"/>
              </w:rPr>
              <w:t>129</w:t>
            </w:r>
            <w:r w:rsidRPr="00F614F9">
              <w:rPr>
                <w:rFonts w:ascii="Times New Roman" w:eastAsia="宋体" w:hAnsi="Times New Roman" w:cs="宋体"/>
                <w:sz w:val="18"/>
                <w:szCs w:val="18"/>
              </w:rPr>
              <w:t>号院</w:t>
            </w:r>
            <w:r w:rsidRPr="00F614F9">
              <w:rPr>
                <w:rFonts w:ascii="Times New Roman" w:eastAsia="宋体" w:hAnsi="Times New Roman" w:cs="宋体"/>
                <w:sz w:val="18"/>
                <w:szCs w:val="18"/>
              </w:rPr>
              <w:t>9</w:t>
            </w:r>
            <w:r w:rsidRPr="00F614F9">
              <w:rPr>
                <w:rFonts w:ascii="Times New Roman" w:eastAsia="宋体" w:hAnsi="Times New Roman" w:cs="宋体"/>
                <w:sz w:val="18"/>
                <w:szCs w:val="18"/>
              </w:rPr>
              <w:t>号楼</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单元</w:t>
            </w:r>
            <w:r w:rsidRPr="00F614F9">
              <w:rPr>
                <w:rFonts w:ascii="Times New Roman" w:eastAsia="宋体" w:hAnsi="Times New Roman" w:cs="宋体"/>
                <w:sz w:val="18"/>
                <w:szCs w:val="18"/>
              </w:rPr>
              <w:t>1402</w:t>
            </w:r>
          </w:p>
        </w:tc>
        <w:tc>
          <w:tcPr>
            <w:tcW w:w="1205" w:type="dxa"/>
            <w:tcBorders>
              <w:top w:val="single" w:sz="2" w:space="0" w:color="auto"/>
              <w:left w:val="single" w:sz="2" w:space="0" w:color="auto"/>
              <w:bottom w:val="single" w:sz="2" w:space="0" w:color="auto"/>
              <w:right w:val="single" w:sz="2" w:space="0" w:color="auto"/>
            </w:tcBorders>
            <w:vAlign w:val="center"/>
          </w:tcPr>
          <w:p w14:paraId="2218820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2140D16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65.00%</w:t>
            </w:r>
          </w:p>
        </w:tc>
        <w:tc>
          <w:tcPr>
            <w:tcW w:w="1205" w:type="dxa"/>
            <w:tcBorders>
              <w:top w:val="single" w:sz="2" w:space="0" w:color="auto"/>
              <w:left w:val="single" w:sz="2" w:space="0" w:color="auto"/>
              <w:bottom w:val="single" w:sz="2" w:space="0" w:color="auto"/>
              <w:right w:val="single" w:sz="2" w:space="0" w:color="auto"/>
            </w:tcBorders>
            <w:vAlign w:val="center"/>
          </w:tcPr>
          <w:p w14:paraId="4EAE6995"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4155B1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2971B549"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1D9075C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山东龙大生猪产品工程技术研究有限公司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4A03705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15,000,000.00</w:t>
            </w:r>
          </w:p>
        </w:tc>
        <w:tc>
          <w:tcPr>
            <w:tcW w:w="1031" w:type="dxa"/>
            <w:tcBorders>
              <w:top w:val="single" w:sz="2" w:space="0" w:color="auto"/>
              <w:left w:val="single" w:sz="2" w:space="0" w:color="auto"/>
              <w:bottom w:val="single" w:sz="2" w:space="0" w:color="auto"/>
              <w:right w:val="single" w:sz="2" w:space="0" w:color="auto"/>
            </w:tcBorders>
            <w:vAlign w:val="center"/>
          </w:tcPr>
          <w:p w14:paraId="00F9AF0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05BC1E7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山东省烟台市莱阳市食品工业园</w:t>
            </w:r>
          </w:p>
        </w:tc>
        <w:tc>
          <w:tcPr>
            <w:tcW w:w="1205" w:type="dxa"/>
            <w:tcBorders>
              <w:top w:val="single" w:sz="2" w:space="0" w:color="auto"/>
              <w:left w:val="single" w:sz="2" w:space="0" w:color="auto"/>
              <w:bottom w:val="single" w:sz="2" w:space="0" w:color="auto"/>
              <w:right w:val="single" w:sz="2" w:space="0" w:color="auto"/>
            </w:tcBorders>
            <w:vAlign w:val="center"/>
          </w:tcPr>
          <w:p w14:paraId="1CEAB32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畜禽领域内的技术开发、技术转让、技术服务</w:t>
            </w:r>
          </w:p>
        </w:tc>
        <w:tc>
          <w:tcPr>
            <w:tcW w:w="1205" w:type="dxa"/>
            <w:tcBorders>
              <w:top w:val="single" w:sz="2" w:space="0" w:color="auto"/>
              <w:left w:val="single" w:sz="2" w:space="0" w:color="auto"/>
              <w:bottom w:val="single" w:sz="2" w:space="0" w:color="auto"/>
              <w:right w:val="single" w:sz="2" w:space="0" w:color="auto"/>
            </w:tcBorders>
            <w:vAlign w:val="center"/>
          </w:tcPr>
          <w:p w14:paraId="72E782F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369732B4"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180E8D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74C9DA45"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0A446CF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莱阳龙瑞食品有限公司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7E140E9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20,000,000.00</w:t>
            </w:r>
          </w:p>
        </w:tc>
        <w:tc>
          <w:tcPr>
            <w:tcW w:w="1031" w:type="dxa"/>
            <w:tcBorders>
              <w:top w:val="single" w:sz="2" w:space="0" w:color="auto"/>
              <w:left w:val="single" w:sz="2" w:space="0" w:color="auto"/>
              <w:bottom w:val="single" w:sz="2" w:space="0" w:color="auto"/>
              <w:right w:val="single" w:sz="2" w:space="0" w:color="auto"/>
            </w:tcBorders>
            <w:vAlign w:val="center"/>
          </w:tcPr>
          <w:p w14:paraId="6280F47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0830A22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山东省烟台市莱阳市龙门东路</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号</w:t>
            </w:r>
            <w:r w:rsidRPr="00F614F9">
              <w:rPr>
                <w:rFonts w:ascii="Times New Roman" w:eastAsia="宋体" w:hAnsi="Times New Roman" w:cs="宋体"/>
                <w:sz w:val="18"/>
                <w:szCs w:val="18"/>
              </w:rPr>
              <w:t>0027</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0028</w:t>
            </w:r>
          </w:p>
        </w:tc>
        <w:tc>
          <w:tcPr>
            <w:tcW w:w="1205" w:type="dxa"/>
            <w:tcBorders>
              <w:top w:val="single" w:sz="2" w:space="0" w:color="auto"/>
              <w:left w:val="single" w:sz="2" w:space="0" w:color="auto"/>
              <w:bottom w:val="single" w:sz="2" w:space="0" w:color="auto"/>
              <w:right w:val="single" w:sz="2" w:space="0" w:color="auto"/>
            </w:tcBorders>
            <w:vAlign w:val="center"/>
          </w:tcPr>
          <w:p w14:paraId="4CC968D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生产、加工各种肉制品、速冻食品</w:t>
            </w:r>
          </w:p>
        </w:tc>
        <w:tc>
          <w:tcPr>
            <w:tcW w:w="1205" w:type="dxa"/>
            <w:tcBorders>
              <w:top w:val="single" w:sz="2" w:space="0" w:color="auto"/>
              <w:left w:val="single" w:sz="2" w:space="0" w:color="auto"/>
              <w:bottom w:val="single" w:sz="2" w:space="0" w:color="auto"/>
              <w:right w:val="single" w:sz="2" w:space="0" w:color="auto"/>
            </w:tcBorders>
            <w:vAlign w:val="center"/>
          </w:tcPr>
          <w:p w14:paraId="65C8D70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64EEF5B9"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E55988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1DE3C127"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7EC777B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泰麟食品（烟台）有限责任公司</w:t>
            </w:r>
          </w:p>
        </w:tc>
        <w:tc>
          <w:tcPr>
            <w:tcW w:w="1379" w:type="dxa"/>
            <w:tcBorders>
              <w:top w:val="single" w:sz="2" w:space="0" w:color="auto"/>
              <w:left w:val="single" w:sz="2" w:space="0" w:color="auto"/>
              <w:bottom w:val="single" w:sz="2" w:space="0" w:color="auto"/>
              <w:right w:val="single" w:sz="2" w:space="0" w:color="auto"/>
            </w:tcBorders>
            <w:vAlign w:val="center"/>
          </w:tcPr>
          <w:p w14:paraId="45494C1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031" w:type="dxa"/>
            <w:tcBorders>
              <w:top w:val="single" w:sz="2" w:space="0" w:color="auto"/>
              <w:left w:val="single" w:sz="2" w:space="0" w:color="auto"/>
              <w:bottom w:val="single" w:sz="2" w:space="0" w:color="auto"/>
              <w:right w:val="single" w:sz="2" w:space="0" w:color="auto"/>
            </w:tcBorders>
            <w:vAlign w:val="center"/>
          </w:tcPr>
          <w:p w14:paraId="27F85A9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7DB7CC4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山东省烟台市莱阳市龙门东路</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号</w:t>
            </w:r>
            <w:r w:rsidRPr="00F614F9">
              <w:rPr>
                <w:rFonts w:ascii="Times New Roman" w:eastAsia="宋体" w:hAnsi="Times New Roman" w:cs="宋体"/>
                <w:sz w:val="18"/>
                <w:szCs w:val="18"/>
              </w:rPr>
              <w:t>0027</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0028</w:t>
            </w:r>
          </w:p>
        </w:tc>
        <w:tc>
          <w:tcPr>
            <w:tcW w:w="1205" w:type="dxa"/>
            <w:tcBorders>
              <w:top w:val="single" w:sz="2" w:space="0" w:color="auto"/>
              <w:left w:val="single" w:sz="2" w:space="0" w:color="auto"/>
              <w:bottom w:val="single" w:sz="2" w:space="0" w:color="auto"/>
              <w:right w:val="single" w:sz="2" w:space="0" w:color="auto"/>
            </w:tcBorders>
            <w:vAlign w:val="center"/>
          </w:tcPr>
          <w:p w14:paraId="0F2400C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食品生产销售</w:t>
            </w:r>
          </w:p>
        </w:tc>
        <w:tc>
          <w:tcPr>
            <w:tcW w:w="1205" w:type="dxa"/>
            <w:tcBorders>
              <w:top w:val="single" w:sz="2" w:space="0" w:color="auto"/>
              <w:left w:val="single" w:sz="2" w:space="0" w:color="auto"/>
              <w:bottom w:val="single" w:sz="2" w:space="0" w:color="auto"/>
              <w:right w:val="single" w:sz="2" w:space="0" w:color="auto"/>
            </w:tcBorders>
            <w:vAlign w:val="center"/>
          </w:tcPr>
          <w:p w14:paraId="733EB56C"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7C2D5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1898182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39ACACDA"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4575A9F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四川龙炸餐饮管理有限公司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4E07514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031" w:type="dxa"/>
            <w:tcBorders>
              <w:top w:val="single" w:sz="2" w:space="0" w:color="auto"/>
              <w:left w:val="single" w:sz="2" w:space="0" w:color="auto"/>
              <w:bottom w:val="single" w:sz="2" w:space="0" w:color="auto"/>
              <w:right w:val="single" w:sz="2" w:space="0" w:color="auto"/>
            </w:tcBorders>
            <w:vAlign w:val="center"/>
          </w:tcPr>
          <w:p w14:paraId="09C6397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四川省成都市</w:t>
            </w:r>
          </w:p>
        </w:tc>
        <w:tc>
          <w:tcPr>
            <w:tcW w:w="1205" w:type="dxa"/>
            <w:tcBorders>
              <w:top w:val="single" w:sz="2" w:space="0" w:color="auto"/>
              <w:left w:val="single" w:sz="2" w:space="0" w:color="auto"/>
              <w:bottom w:val="single" w:sz="2" w:space="0" w:color="auto"/>
              <w:right w:val="single" w:sz="2" w:space="0" w:color="auto"/>
            </w:tcBorders>
            <w:vAlign w:val="center"/>
          </w:tcPr>
          <w:p w14:paraId="1497127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四川天府新区华阳街道华府大道一段</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号</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栋</w:t>
            </w:r>
            <w:r w:rsidRPr="00F614F9">
              <w:rPr>
                <w:rFonts w:ascii="Times New Roman" w:eastAsia="宋体" w:hAnsi="Times New Roman" w:cs="宋体"/>
                <w:sz w:val="18"/>
                <w:szCs w:val="18"/>
              </w:rPr>
              <w:t>35</w:t>
            </w:r>
            <w:r w:rsidRPr="00F614F9">
              <w:rPr>
                <w:rFonts w:ascii="Times New Roman" w:eastAsia="宋体" w:hAnsi="Times New Roman" w:cs="宋体"/>
                <w:sz w:val="18"/>
                <w:szCs w:val="18"/>
              </w:rPr>
              <w:t>层</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号</w:t>
            </w:r>
          </w:p>
        </w:tc>
        <w:tc>
          <w:tcPr>
            <w:tcW w:w="1205" w:type="dxa"/>
            <w:tcBorders>
              <w:top w:val="single" w:sz="2" w:space="0" w:color="auto"/>
              <w:left w:val="single" w:sz="2" w:space="0" w:color="auto"/>
              <w:bottom w:val="single" w:sz="2" w:space="0" w:color="auto"/>
              <w:right w:val="single" w:sz="2" w:space="0" w:color="auto"/>
            </w:tcBorders>
            <w:vAlign w:val="center"/>
          </w:tcPr>
          <w:p w14:paraId="02AC850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餐饮服务</w:t>
            </w:r>
          </w:p>
        </w:tc>
        <w:tc>
          <w:tcPr>
            <w:tcW w:w="1205" w:type="dxa"/>
            <w:tcBorders>
              <w:top w:val="single" w:sz="2" w:space="0" w:color="auto"/>
              <w:left w:val="single" w:sz="2" w:space="0" w:color="auto"/>
              <w:bottom w:val="single" w:sz="2" w:space="0" w:color="auto"/>
              <w:right w:val="single" w:sz="2" w:space="0" w:color="auto"/>
            </w:tcBorders>
            <w:vAlign w:val="center"/>
          </w:tcPr>
          <w:p w14:paraId="2F78F613"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E85132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40.00%</w:t>
            </w:r>
          </w:p>
        </w:tc>
        <w:tc>
          <w:tcPr>
            <w:tcW w:w="1205" w:type="dxa"/>
            <w:tcBorders>
              <w:top w:val="single" w:sz="2" w:space="0" w:color="auto"/>
              <w:left w:val="single" w:sz="2" w:space="0" w:color="auto"/>
              <w:bottom w:val="single" w:sz="2" w:space="0" w:color="auto"/>
              <w:right w:val="single" w:sz="2" w:space="0" w:color="auto"/>
            </w:tcBorders>
            <w:vAlign w:val="center"/>
          </w:tcPr>
          <w:p w14:paraId="623C2D8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5E4D3FB8"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3070023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青岛中和盛杰食品有限公司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541285D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20,000,000.00</w:t>
            </w:r>
          </w:p>
        </w:tc>
        <w:tc>
          <w:tcPr>
            <w:tcW w:w="1031" w:type="dxa"/>
            <w:tcBorders>
              <w:top w:val="single" w:sz="2" w:space="0" w:color="auto"/>
              <w:left w:val="single" w:sz="2" w:space="0" w:color="auto"/>
              <w:bottom w:val="single" w:sz="2" w:space="0" w:color="auto"/>
              <w:right w:val="single" w:sz="2" w:space="0" w:color="auto"/>
            </w:tcBorders>
            <w:vAlign w:val="center"/>
          </w:tcPr>
          <w:p w14:paraId="65A6A03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山东省青岛市</w:t>
            </w:r>
          </w:p>
        </w:tc>
        <w:tc>
          <w:tcPr>
            <w:tcW w:w="1205" w:type="dxa"/>
            <w:tcBorders>
              <w:top w:val="single" w:sz="2" w:space="0" w:color="auto"/>
              <w:left w:val="single" w:sz="2" w:space="0" w:color="auto"/>
              <w:bottom w:val="single" w:sz="2" w:space="0" w:color="auto"/>
              <w:right w:val="single" w:sz="2" w:space="0" w:color="auto"/>
            </w:tcBorders>
            <w:vAlign w:val="center"/>
          </w:tcPr>
          <w:p w14:paraId="445C4C0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山东省青岛市崂山区科苑</w:t>
            </w:r>
            <w:proofErr w:type="gramStart"/>
            <w:r w:rsidRPr="00F614F9">
              <w:rPr>
                <w:rFonts w:ascii="Times New Roman" w:eastAsia="宋体" w:hAnsi="Times New Roman" w:cs="宋体"/>
                <w:sz w:val="18"/>
                <w:szCs w:val="18"/>
              </w:rPr>
              <w:t>纬</w:t>
            </w:r>
            <w:proofErr w:type="gramEnd"/>
            <w:r w:rsidRPr="00F614F9">
              <w:rPr>
                <w:rFonts w:ascii="Times New Roman" w:eastAsia="宋体" w:hAnsi="Times New Roman" w:cs="宋体"/>
                <w:sz w:val="18"/>
                <w:szCs w:val="18"/>
              </w:rPr>
              <w:t>一路</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号</w:t>
            </w:r>
            <w:r w:rsidRPr="00F614F9">
              <w:rPr>
                <w:rFonts w:ascii="Times New Roman" w:eastAsia="宋体" w:hAnsi="Times New Roman" w:cs="宋体"/>
                <w:sz w:val="18"/>
                <w:szCs w:val="18"/>
              </w:rPr>
              <w:t>B</w:t>
            </w:r>
            <w:r w:rsidRPr="00F614F9">
              <w:rPr>
                <w:rFonts w:ascii="Times New Roman" w:eastAsia="宋体" w:hAnsi="Times New Roman" w:cs="宋体"/>
                <w:sz w:val="18"/>
                <w:szCs w:val="18"/>
              </w:rPr>
              <w:t>座</w:t>
            </w:r>
            <w:r w:rsidRPr="00F614F9">
              <w:rPr>
                <w:rFonts w:ascii="Times New Roman" w:eastAsia="宋体" w:hAnsi="Times New Roman" w:cs="宋体"/>
                <w:sz w:val="18"/>
                <w:szCs w:val="18"/>
              </w:rPr>
              <w:t>21</w:t>
            </w:r>
            <w:r w:rsidRPr="00F614F9">
              <w:rPr>
                <w:rFonts w:ascii="Times New Roman" w:eastAsia="宋体" w:hAnsi="Times New Roman" w:cs="宋体"/>
                <w:sz w:val="18"/>
                <w:szCs w:val="18"/>
              </w:rPr>
              <w:t>层</w:t>
            </w:r>
            <w:r w:rsidRPr="00F614F9">
              <w:rPr>
                <w:rFonts w:ascii="Times New Roman" w:eastAsia="宋体" w:hAnsi="Times New Roman" w:cs="宋体"/>
                <w:sz w:val="18"/>
                <w:szCs w:val="18"/>
              </w:rPr>
              <w:t>2103</w:t>
            </w:r>
            <w:r w:rsidRPr="00F614F9">
              <w:rPr>
                <w:rFonts w:ascii="Times New Roman" w:eastAsia="宋体" w:hAnsi="Times New Roman" w:cs="宋体"/>
                <w:sz w:val="18"/>
                <w:szCs w:val="18"/>
              </w:rPr>
              <w:t>房间</w:t>
            </w:r>
          </w:p>
        </w:tc>
        <w:tc>
          <w:tcPr>
            <w:tcW w:w="1205" w:type="dxa"/>
            <w:tcBorders>
              <w:top w:val="single" w:sz="2" w:space="0" w:color="auto"/>
              <w:left w:val="single" w:sz="2" w:space="0" w:color="auto"/>
              <w:bottom w:val="single" w:sz="2" w:space="0" w:color="auto"/>
              <w:right w:val="single" w:sz="2" w:space="0" w:color="auto"/>
            </w:tcBorders>
            <w:vAlign w:val="center"/>
          </w:tcPr>
          <w:p w14:paraId="23DD3BF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7951B4D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51.00%</w:t>
            </w:r>
          </w:p>
        </w:tc>
        <w:tc>
          <w:tcPr>
            <w:tcW w:w="1205" w:type="dxa"/>
            <w:tcBorders>
              <w:top w:val="single" w:sz="2" w:space="0" w:color="auto"/>
              <w:left w:val="single" w:sz="2" w:space="0" w:color="auto"/>
              <w:bottom w:val="single" w:sz="2" w:space="0" w:color="auto"/>
              <w:right w:val="single" w:sz="2" w:space="0" w:color="auto"/>
            </w:tcBorders>
            <w:vAlign w:val="center"/>
          </w:tcPr>
          <w:p w14:paraId="4E937498"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9ECD8F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230FD6A0"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54925F9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青岛新胜</w:t>
            </w:r>
            <w:proofErr w:type="gramStart"/>
            <w:r w:rsidRPr="00F614F9">
              <w:rPr>
                <w:rFonts w:ascii="Times New Roman" w:eastAsia="宋体" w:hAnsi="Times New Roman" w:cs="宋体"/>
                <w:sz w:val="18"/>
                <w:szCs w:val="18"/>
              </w:rPr>
              <w:t>锦食品</w:t>
            </w:r>
            <w:proofErr w:type="gramEnd"/>
            <w:r w:rsidRPr="00F614F9">
              <w:rPr>
                <w:rFonts w:ascii="Times New Roman" w:eastAsia="宋体" w:hAnsi="Times New Roman" w:cs="宋体"/>
                <w:sz w:val="18"/>
                <w:szCs w:val="18"/>
              </w:rPr>
              <w:t>商贸有限公司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0E6922D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w:t>
            </w:r>
          </w:p>
        </w:tc>
        <w:tc>
          <w:tcPr>
            <w:tcW w:w="1031" w:type="dxa"/>
            <w:tcBorders>
              <w:top w:val="single" w:sz="2" w:space="0" w:color="auto"/>
              <w:left w:val="single" w:sz="2" w:space="0" w:color="auto"/>
              <w:bottom w:val="single" w:sz="2" w:space="0" w:color="auto"/>
              <w:right w:val="single" w:sz="2" w:space="0" w:color="auto"/>
            </w:tcBorders>
            <w:vAlign w:val="center"/>
          </w:tcPr>
          <w:p w14:paraId="726A011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山东省青岛市</w:t>
            </w:r>
          </w:p>
        </w:tc>
        <w:tc>
          <w:tcPr>
            <w:tcW w:w="1205" w:type="dxa"/>
            <w:tcBorders>
              <w:top w:val="single" w:sz="2" w:space="0" w:color="auto"/>
              <w:left w:val="single" w:sz="2" w:space="0" w:color="auto"/>
              <w:bottom w:val="single" w:sz="2" w:space="0" w:color="auto"/>
              <w:right w:val="single" w:sz="2" w:space="0" w:color="auto"/>
            </w:tcBorders>
            <w:vAlign w:val="center"/>
          </w:tcPr>
          <w:p w14:paraId="67B8ED0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山东省青岛市崂山区科苑</w:t>
            </w:r>
            <w:proofErr w:type="gramStart"/>
            <w:r w:rsidRPr="00F614F9">
              <w:rPr>
                <w:rFonts w:ascii="Times New Roman" w:eastAsia="宋体" w:hAnsi="Times New Roman" w:cs="宋体"/>
                <w:sz w:val="18"/>
                <w:szCs w:val="18"/>
              </w:rPr>
              <w:t>纬</w:t>
            </w:r>
            <w:proofErr w:type="gramEnd"/>
            <w:r w:rsidRPr="00F614F9">
              <w:rPr>
                <w:rFonts w:ascii="Times New Roman" w:eastAsia="宋体" w:hAnsi="Times New Roman" w:cs="宋体"/>
                <w:sz w:val="18"/>
                <w:szCs w:val="18"/>
              </w:rPr>
              <w:t>一路</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号</w:t>
            </w:r>
            <w:r w:rsidRPr="00F614F9">
              <w:rPr>
                <w:rFonts w:ascii="Times New Roman" w:eastAsia="宋体" w:hAnsi="Times New Roman" w:cs="宋体"/>
                <w:sz w:val="18"/>
                <w:szCs w:val="18"/>
              </w:rPr>
              <w:t>B</w:t>
            </w:r>
            <w:r w:rsidRPr="00F614F9">
              <w:rPr>
                <w:rFonts w:ascii="Times New Roman" w:eastAsia="宋体" w:hAnsi="Times New Roman" w:cs="宋体"/>
                <w:sz w:val="18"/>
                <w:szCs w:val="18"/>
              </w:rPr>
              <w:t>座</w:t>
            </w:r>
            <w:r w:rsidRPr="00F614F9">
              <w:rPr>
                <w:rFonts w:ascii="Times New Roman" w:eastAsia="宋体" w:hAnsi="Times New Roman" w:cs="宋体"/>
                <w:sz w:val="18"/>
                <w:szCs w:val="18"/>
              </w:rPr>
              <w:t>21</w:t>
            </w:r>
            <w:r w:rsidRPr="00F614F9">
              <w:rPr>
                <w:rFonts w:ascii="Times New Roman" w:eastAsia="宋体" w:hAnsi="Times New Roman" w:cs="宋体"/>
                <w:sz w:val="18"/>
                <w:szCs w:val="18"/>
              </w:rPr>
              <w:t>层</w:t>
            </w:r>
            <w:r w:rsidRPr="00F614F9">
              <w:rPr>
                <w:rFonts w:ascii="Times New Roman" w:eastAsia="宋体" w:hAnsi="Times New Roman" w:cs="宋体"/>
                <w:sz w:val="18"/>
                <w:szCs w:val="18"/>
              </w:rPr>
              <w:t>2103</w:t>
            </w:r>
            <w:r w:rsidRPr="00F614F9">
              <w:rPr>
                <w:rFonts w:ascii="Times New Roman" w:eastAsia="宋体" w:hAnsi="Times New Roman" w:cs="宋体"/>
                <w:sz w:val="18"/>
                <w:szCs w:val="18"/>
              </w:rPr>
              <w:t>房间</w:t>
            </w:r>
            <w:r w:rsidRPr="00F614F9">
              <w:rPr>
                <w:rFonts w:ascii="Times New Roman" w:eastAsia="宋体" w:hAnsi="Times New Roman" w:cs="宋体"/>
                <w:sz w:val="18"/>
                <w:szCs w:val="18"/>
              </w:rPr>
              <w:t>-E</w:t>
            </w:r>
          </w:p>
        </w:tc>
        <w:tc>
          <w:tcPr>
            <w:tcW w:w="1205" w:type="dxa"/>
            <w:tcBorders>
              <w:top w:val="single" w:sz="2" w:space="0" w:color="auto"/>
              <w:left w:val="single" w:sz="2" w:space="0" w:color="auto"/>
              <w:bottom w:val="single" w:sz="2" w:space="0" w:color="auto"/>
              <w:right w:val="single" w:sz="2" w:space="0" w:color="auto"/>
            </w:tcBorders>
            <w:vAlign w:val="center"/>
          </w:tcPr>
          <w:p w14:paraId="3C691FC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27F5A62F"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5F5211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51.00%</w:t>
            </w:r>
          </w:p>
        </w:tc>
        <w:tc>
          <w:tcPr>
            <w:tcW w:w="1205" w:type="dxa"/>
            <w:tcBorders>
              <w:top w:val="single" w:sz="2" w:space="0" w:color="auto"/>
              <w:left w:val="single" w:sz="2" w:space="0" w:color="auto"/>
              <w:bottom w:val="single" w:sz="2" w:space="0" w:color="auto"/>
              <w:right w:val="single" w:sz="2" w:space="0" w:color="auto"/>
            </w:tcBorders>
            <w:vAlign w:val="center"/>
          </w:tcPr>
          <w:p w14:paraId="7802EB7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4D248D3D"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31A979F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乳山中和盛杰食品有限公司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4DB9ABC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031" w:type="dxa"/>
            <w:tcBorders>
              <w:top w:val="single" w:sz="2" w:space="0" w:color="auto"/>
              <w:left w:val="single" w:sz="2" w:space="0" w:color="auto"/>
              <w:bottom w:val="single" w:sz="2" w:space="0" w:color="auto"/>
              <w:right w:val="single" w:sz="2" w:space="0" w:color="auto"/>
            </w:tcBorders>
            <w:vAlign w:val="center"/>
          </w:tcPr>
          <w:p w14:paraId="670025C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山东省乳山市</w:t>
            </w:r>
          </w:p>
        </w:tc>
        <w:tc>
          <w:tcPr>
            <w:tcW w:w="1205" w:type="dxa"/>
            <w:tcBorders>
              <w:top w:val="single" w:sz="2" w:space="0" w:color="auto"/>
              <w:left w:val="single" w:sz="2" w:space="0" w:color="auto"/>
              <w:bottom w:val="single" w:sz="2" w:space="0" w:color="auto"/>
              <w:right w:val="single" w:sz="2" w:space="0" w:color="auto"/>
            </w:tcBorders>
            <w:vAlign w:val="center"/>
          </w:tcPr>
          <w:p w14:paraId="0BB6CC8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山东省威海市乳山市徐家镇</w:t>
            </w:r>
            <w:proofErr w:type="gramStart"/>
            <w:r w:rsidRPr="00F614F9">
              <w:rPr>
                <w:rFonts w:ascii="Times New Roman" w:eastAsia="宋体" w:hAnsi="Times New Roman" w:cs="宋体"/>
                <w:sz w:val="18"/>
                <w:szCs w:val="18"/>
              </w:rPr>
              <w:t>中鲁街</w:t>
            </w:r>
            <w:r w:rsidRPr="00F614F9">
              <w:rPr>
                <w:rFonts w:ascii="Times New Roman" w:eastAsia="宋体" w:hAnsi="Times New Roman" w:cs="宋体"/>
                <w:sz w:val="18"/>
                <w:szCs w:val="18"/>
              </w:rPr>
              <w:t>36</w:t>
            </w:r>
            <w:r w:rsidRPr="00F614F9">
              <w:rPr>
                <w:rFonts w:ascii="Times New Roman" w:eastAsia="宋体" w:hAnsi="Times New Roman" w:cs="宋体"/>
                <w:sz w:val="18"/>
                <w:szCs w:val="18"/>
              </w:rPr>
              <w:t>号</w:t>
            </w:r>
            <w:proofErr w:type="gramEnd"/>
          </w:p>
        </w:tc>
        <w:tc>
          <w:tcPr>
            <w:tcW w:w="1205" w:type="dxa"/>
            <w:tcBorders>
              <w:top w:val="single" w:sz="2" w:space="0" w:color="auto"/>
              <w:left w:val="single" w:sz="2" w:space="0" w:color="auto"/>
              <w:bottom w:val="single" w:sz="2" w:space="0" w:color="auto"/>
              <w:right w:val="single" w:sz="2" w:space="0" w:color="auto"/>
            </w:tcBorders>
            <w:vAlign w:val="center"/>
          </w:tcPr>
          <w:p w14:paraId="7ED1A44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4B97D89C"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B5DC81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51.00%</w:t>
            </w:r>
          </w:p>
        </w:tc>
        <w:tc>
          <w:tcPr>
            <w:tcW w:w="1205" w:type="dxa"/>
            <w:tcBorders>
              <w:top w:val="single" w:sz="2" w:space="0" w:color="auto"/>
              <w:left w:val="single" w:sz="2" w:space="0" w:color="auto"/>
              <w:bottom w:val="single" w:sz="2" w:space="0" w:color="auto"/>
              <w:right w:val="single" w:sz="2" w:space="0" w:color="auto"/>
            </w:tcBorders>
            <w:vAlign w:val="center"/>
          </w:tcPr>
          <w:p w14:paraId="77D1F80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3EDAA4BB"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0E4B4AA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潍坊振</w:t>
            </w:r>
            <w:proofErr w:type="gramStart"/>
            <w:r w:rsidRPr="00F614F9">
              <w:rPr>
                <w:rFonts w:ascii="Times New Roman" w:eastAsia="宋体" w:hAnsi="Times New Roman" w:cs="宋体"/>
                <w:sz w:val="18"/>
                <w:szCs w:val="18"/>
              </w:rPr>
              <w:t>祥</w:t>
            </w:r>
            <w:proofErr w:type="gramEnd"/>
            <w:r w:rsidRPr="00F614F9">
              <w:rPr>
                <w:rFonts w:ascii="Times New Roman" w:eastAsia="宋体" w:hAnsi="Times New Roman" w:cs="宋体"/>
                <w:sz w:val="18"/>
                <w:szCs w:val="18"/>
              </w:rPr>
              <w:t>食品有限公司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797AEAC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70,000,000.00</w:t>
            </w:r>
          </w:p>
        </w:tc>
        <w:tc>
          <w:tcPr>
            <w:tcW w:w="1031" w:type="dxa"/>
            <w:tcBorders>
              <w:top w:val="single" w:sz="2" w:space="0" w:color="auto"/>
              <w:left w:val="single" w:sz="2" w:space="0" w:color="auto"/>
              <w:bottom w:val="single" w:sz="2" w:space="0" w:color="auto"/>
              <w:right w:val="single" w:sz="2" w:space="0" w:color="auto"/>
            </w:tcBorders>
            <w:vAlign w:val="center"/>
          </w:tcPr>
          <w:p w14:paraId="7B8E1B3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山东省潍坊市</w:t>
            </w:r>
          </w:p>
        </w:tc>
        <w:tc>
          <w:tcPr>
            <w:tcW w:w="1205" w:type="dxa"/>
            <w:tcBorders>
              <w:top w:val="single" w:sz="2" w:space="0" w:color="auto"/>
              <w:left w:val="single" w:sz="2" w:space="0" w:color="auto"/>
              <w:bottom w:val="single" w:sz="2" w:space="0" w:color="auto"/>
              <w:right w:val="single" w:sz="2" w:space="0" w:color="auto"/>
            </w:tcBorders>
            <w:vAlign w:val="center"/>
          </w:tcPr>
          <w:p w14:paraId="15B763C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山东省潍坊市安丘市景芝镇驻地</w:t>
            </w:r>
          </w:p>
        </w:tc>
        <w:tc>
          <w:tcPr>
            <w:tcW w:w="1205" w:type="dxa"/>
            <w:tcBorders>
              <w:top w:val="single" w:sz="2" w:space="0" w:color="auto"/>
              <w:left w:val="single" w:sz="2" w:space="0" w:color="auto"/>
              <w:bottom w:val="single" w:sz="2" w:space="0" w:color="auto"/>
              <w:right w:val="single" w:sz="2" w:space="0" w:color="auto"/>
            </w:tcBorders>
            <w:vAlign w:val="center"/>
          </w:tcPr>
          <w:p w14:paraId="377C805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3E53A34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70.00%</w:t>
            </w:r>
          </w:p>
        </w:tc>
        <w:tc>
          <w:tcPr>
            <w:tcW w:w="1205" w:type="dxa"/>
            <w:tcBorders>
              <w:top w:val="single" w:sz="2" w:space="0" w:color="auto"/>
              <w:left w:val="single" w:sz="2" w:space="0" w:color="auto"/>
              <w:bottom w:val="single" w:sz="2" w:space="0" w:color="auto"/>
              <w:right w:val="single" w:sz="2" w:space="0" w:color="auto"/>
            </w:tcBorders>
            <w:vAlign w:val="center"/>
          </w:tcPr>
          <w:p w14:paraId="29AAC9CF"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80CD1D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非同</w:t>
            </w:r>
            <w:proofErr w:type="gramStart"/>
            <w:r w:rsidRPr="00F614F9">
              <w:rPr>
                <w:rFonts w:ascii="Times New Roman" w:eastAsia="宋体" w:hAnsi="Times New Roman" w:cs="宋体"/>
                <w:sz w:val="18"/>
                <w:szCs w:val="18"/>
              </w:rPr>
              <w:t>一控制</w:t>
            </w:r>
            <w:proofErr w:type="gramEnd"/>
            <w:r w:rsidRPr="00F614F9">
              <w:rPr>
                <w:rFonts w:ascii="Times New Roman" w:eastAsia="宋体" w:hAnsi="Times New Roman" w:cs="宋体"/>
                <w:sz w:val="18"/>
                <w:szCs w:val="18"/>
              </w:rPr>
              <w:t>下企业合并</w:t>
            </w:r>
          </w:p>
        </w:tc>
      </w:tr>
      <w:tr w:rsidR="001D26E7" w:rsidRPr="00F614F9" w14:paraId="4C94D472"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64EE774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云南福照食品有限公司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2B635E8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46,530,612.00</w:t>
            </w:r>
          </w:p>
        </w:tc>
        <w:tc>
          <w:tcPr>
            <w:tcW w:w="1031" w:type="dxa"/>
            <w:tcBorders>
              <w:top w:val="single" w:sz="2" w:space="0" w:color="auto"/>
              <w:left w:val="single" w:sz="2" w:space="0" w:color="auto"/>
              <w:bottom w:val="single" w:sz="2" w:space="0" w:color="auto"/>
              <w:right w:val="single" w:sz="2" w:space="0" w:color="auto"/>
            </w:tcBorders>
            <w:vAlign w:val="center"/>
          </w:tcPr>
          <w:p w14:paraId="1E2E123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云南省曲靖市</w:t>
            </w:r>
          </w:p>
        </w:tc>
        <w:tc>
          <w:tcPr>
            <w:tcW w:w="1205" w:type="dxa"/>
            <w:tcBorders>
              <w:top w:val="single" w:sz="2" w:space="0" w:color="auto"/>
              <w:left w:val="single" w:sz="2" w:space="0" w:color="auto"/>
              <w:bottom w:val="single" w:sz="2" w:space="0" w:color="auto"/>
              <w:right w:val="single" w:sz="2" w:space="0" w:color="auto"/>
            </w:tcBorders>
            <w:vAlign w:val="center"/>
          </w:tcPr>
          <w:p w14:paraId="687CE7F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云南省曲靖市宣威市西宁街道花椒水库东侧</w:t>
            </w:r>
          </w:p>
        </w:tc>
        <w:tc>
          <w:tcPr>
            <w:tcW w:w="1205" w:type="dxa"/>
            <w:tcBorders>
              <w:top w:val="single" w:sz="2" w:space="0" w:color="auto"/>
              <w:left w:val="single" w:sz="2" w:space="0" w:color="auto"/>
              <w:bottom w:val="single" w:sz="2" w:space="0" w:color="auto"/>
              <w:right w:val="single" w:sz="2" w:space="0" w:color="auto"/>
            </w:tcBorders>
            <w:vAlign w:val="center"/>
          </w:tcPr>
          <w:p w14:paraId="1ADD07B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火腿加工</w:t>
            </w:r>
          </w:p>
        </w:tc>
        <w:tc>
          <w:tcPr>
            <w:tcW w:w="1205" w:type="dxa"/>
            <w:tcBorders>
              <w:top w:val="single" w:sz="2" w:space="0" w:color="auto"/>
              <w:left w:val="single" w:sz="2" w:space="0" w:color="auto"/>
              <w:bottom w:val="single" w:sz="2" w:space="0" w:color="auto"/>
              <w:right w:val="single" w:sz="2" w:space="0" w:color="auto"/>
            </w:tcBorders>
            <w:vAlign w:val="center"/>
          </w:tcPr>
          <w:p w14:paraId="2C7CD3E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51.00%</w:t>
            </w:r>
          </w:p>
        </w:tc>
        <w:tc>
          <w:tcPr>
            <w:tcW w:w="1205" w:type="dxa"/>
            <w:tcBorders>
              <w:top w:val="single" w:sz="2" w:space="0" w:color="auto"/>
              <w:left w:val="single" w:sz="2" w:space="0" w:color="auto"/>
              <w:bottom w:val="single" w:sz="2" w:space="0" w:color="auto"/>
              <w:right w:val="single" w:sz="2" w:space="0" w:color="auto"/>
            </w:tcBorders>
            <w:vAlign w:val="center"/>
          </w:tcPr>
          <w:p w14:paraId="4BDA7DD7"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81A860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0CDF3336"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04A6F6B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香港龙大发展有限公司</w:t>
            </w:r>
            <w:r w:rsidR="00EE433A">
              <w:rPr>
                <w:rFonts w:ascii="Times New Roman" w:eastAsia="宋体" w:hAnsi="Times New Roman" w:cs="宋体" w:hint="eastAsia"/>
                <w:sz w:val="18"/>
                <w:szCs w:val="18"/>
              </w:rPr>
              <w:t>（注册资本</w:t>
            </w:r>
            <w:r w:rsidR="00EE433A">
              <w:rPr>
                <w:rFonts w:ascii="Times New Roman" w:eastAsia="宋体" w:hAnsi="Times New Roman" w:cs="宋体" w:hint="eastAsia"/>
                <w:sz w:val="18"/>
                <w:szCs w:val="18"/>
              </w:rPr>
              <w:t>200</w:t>
            </w:r>
            <w:r w:rsidR="00EE433A">
              <w:rPr>
                <w:rFonts w:ascii="Times New Roman" w:eastAsia="宋体" w:hAnsi="Times New Roman" w:cs="宋体" w:hint="eastAsia"/>
                <w:sz w:val="18"/>
                <w:szCs w:val="18"/>
              </w:rPr>
              <w:t>万港币）</w:t>
            </w:r>
          </w:p>
        </w:tc>
        <w:tc>
          <w:tcPr>
            <w:tcW w:w="1379" w:type="dxa"/>
            <w:tcBorders>
              <w:top w:val="single" w:sz="2" w:space="0" w:color="auto"/>
              <w:left w:val="single" w:sz="2" w:space="0" w:color="auto"/>
              <w:bottom w:val="single" w:sz="2" w:space="0" w:color="auto"/>
              <w:right w:val="single" w:sz="2" w:space="0" w:color="auto"/>
            </w:tcBorders>
            <w:vAlign w:val="center"/>
          </w:tcPr>
          <w:p w14:paraId="1453105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031" w:type="dxa"/>
            <w:tcBorders>
              <w:top w:val="single" w:sz="2" w:space="0" w:color="auto"/>
              <w:left w:val="single" w:sz="2" w:space="0" w:color="auto"/>
              <w:bottom w:val="single" w:sz="2" w:space="0" w:color="auto"/>
              <w:right w:val="single" w:sz="2" w:space="0" w:color="auto"/>
            </w:tcBorders>
            <w:vAlign w:val="center"/>
          </w:tcPr>
          <w:p w14:paraId="51A68EE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香港</w:t>
            </w:r>
          </w:p>
        </w:tc>
        <w:tc>
          <w:tcPr>
            <w:tcW w:w="1205" w:type="dxa"/>
            <w:tcBorders>
              <w:top w:val="single" w:sz="2" w:space="0" w:color="auto"/>
              <w:left w:val="single" w:sz="2" w:space="0" w:color="auto"/>
              <w:bottom w:val="single" w:sz="2" w:space="0" w:color="auto"/>
              <w:right w:val="single" w:sz="2" w:space="0" w:color="auto"/>
            </w:tcBorders>
            <w:vAlign w:val="center"/>
          </w:tcPr>
          <w:p w14:paraId="7DC42D3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RM4,16/FHOKINGCOMMCTR,2-16</w:t>
            </w:r>
            <w:proofErr w:type="gramStart"/>
            <w:r w:rsidRPr="00F614F9">
              <w:rPr>
                <w:rFonts w:ascii="Times New Roman" w:eastAsia="宋体" w:hAnsi="Times New Roman" w:cs="宋体"/>
                <w:sz w:val="18"/>
                <w:szCs w:val="18"/>
              </w:rPr>
              <w:t>FAYUENST,MONGKOKKOWLOO</w:t>
            </w:r>
            <w:r w:rsidRPr="00F614F9">
              <w:rPr>
                <w:rFonts w:ascii="Times New Roman" w:eastAsia="宋体" w:hAnsi="Times New Roman" w:cs="宋体"/>
                <w:sz w:val="18"/>
                <w:szCs w:val="18"/>
              </w:rPr>
              <w:lastRenderedPageBreak/>
              <w:t>N</w:t>
            </w:r>
            <w:proofErr w:type="gramEnd"/>
            <w:r w:rsidRPr="00F614F9">
              <w:rPr>
                <w:rFonts w:ascii="Times New Roman" w:eastAsia="宋体" w:hAnsi="Times New Roman" w:cs="宋体"/>
                <w:sz w:val="18"/>
                <w:szCs w:val="18"/>
              </w:rPr>
              <w:t>,HONGKONG</w:t>
            </w:r>
          </w:p>
        </w:tc>
        <w:tc>
          <w:tcPr>
            <w:tcW w:w="1205" w:type="dxa"/>
            <w:tcBorders>
              <w:top w:val="single" w:sz="2" w:space="0" w:color="auto"/>
              <w:left w:val="single" w:sz="2" w:space="0" w:color="auto"/>
              <w:bottom w:val="single" w:sz="2" w:space="0" w:color="auto"/>
              <w:right w:val="single" w:sz="2" w:space="0" w:color="auto"/>
            </w:tcBorders>
            <w:vAlign w:val="center"/>
          </w:tcPr>
          <w:p w14:paraId="6A06C0B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国际贸易、咨询</w:t>
            </w:r>
          </w:p>
        </w:tc>
        <w:tc>
          <w:tcPr>
            <w:tcW w:w="1205" w:type="dxa"/>
            <w:tcBorders>
              <w:top w:val="single" w:sz="2" w:space="0" w:color="auto"/>
              <w:left w:val="single" w:sz="2" w:space="0" w:color="auto"/>
              <w:bottom w:val="single" w:sz="2" w:space="0" w:color="auto"/>
              <w:right w:val="single" w:sz="2" w:space="0" w:color="auto"/>
            </w:tcBorders>
            <w:vAlign w:val="center"/>
          </w:tcPr>
          <w:p w14:paraId="201CE9F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10480092"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54AAD1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0FC3CDE7"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69BC48A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山东龙大美食贸易有限公司（原烟台龙骧进出口有限公司）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773C04A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20,000,000.00</w:t>
            </w:r>
          </w:p>
        </w:tc>
        <w:tc>
          <w:tcPr>
            <w:tcW w:w="1031" w:type="dxa"/>
            <w:tcBorders>
              <w:top w:val="single" w:sz="2" w:space="0" w:color="auto"/>
              <w:left w:val="single" w:sz="2" w:space="0" w:color="auto"/>
              <w:bottom w:val="single" w:sz="2" w:space="0" w:color="auto"/>
              <w:right w:val="single" w:sz="2" w:space="0" w:color="auto"/>
            </w:tcBorders>
            <w:vAlign w:val="center"/>
          </w:tcPr>
          <w:p w14:paraId="548C9B7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31361C9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山东省烟台市莱阳市龙旺庄街道办事处龙门东路</w:t>
            </w:r>
            <w:r w:rsidRPr="00F614F9">
              <w:rPr>
                <w:rFonts w:ascii="Times New Roman" w:eastAsia="宋体" w:hAnsi="Times New Roman" w:cs="宋体"/>
                <w:sz w:val="18"/>
                <w:szCs w:val="18"/>
              </w:rPr>
              <w:t>99</w:t>
            </w:r>
            <w:r w:rsidRPr="00F614F9">
              <w:rPr>
                <w:rFonts w:ascii="Times New Roman" w:eastAsia="宋体" w:hAnsi="Times New Roman" w:cs="宋体"/>
                <w:sz w:val="18"/>
                <w:szCs w:val="18"/>
              </w:rPr>
              <w:t>号</w:t>
            </w:r>
          </w:p>
        </w:tc>
        <w:tc>
          <w:tcPr>
            <w:tcW w:w="1205" w:type="dxa"/>
            <w:tcBorders>
              <w:top w:val="single" w:sz="2" w:space="0" w:color="auto"/>
              <w:left w:val="single" w:sz="2" w:space="0" w:color="auto"/>
              <w:bottom w:val="single" w:sz="2" w:space="0" w:color="auto"/>
              <w:right w:val="single" w:sz="2" w:space="0" w:color="auto"/>
            </w:tcBorders>
            <w:vAlign w:val="center"/>
          </w:tcPr>
          <w:p w14:paraId="03F3DBA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3D3F10E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37784955"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CA20C6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3BC5640E"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65BEC6A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黑龙江龙大养殖有限公司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62D79CD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150,000,000.00</w:t>
            </w:r>
          </w:p>
        </w:tc>
        <w:tc>
          <w:tcPr>
            <w:tcW w:w="1031" w:type="dxa"/>
            <w:tcBorders>
              <w:top w:val="single" w:sz="2" w:space="0" w:color="auto"/>
              <w:left w:val="single" w:sz="2" w:space="0" w:color="auto"/>
              <w:bottom w:val="single" w:sz="2" w:space="0" w:color="auto"/>
              <w:right w:val="single" w:sz="2" w:space="0" w:color="auto"/>
            </w:tcBorders>
            <w:vAlign w:val="center"/>
          </w:tcPr>
          <w:p w14:paraId="04A858A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黑龙江省绥化市</w:t>
            </w:r>
          </w:p>
        </w:tc>
        <w:tc>
          <w:tcPr>
            <w:tcW w:w="1205" w:type="dxa"/>
            <w:tcBorders>
              <w:top w:val="single" w:sz="2" w:space="0" w:color="auto"/>
              <w:left w:val="single" w:sz="2" w:space="0" w:color="auto"/>
              <w:bottom w:val="single" w:sz="2" w:space="0" w:color="auto"/>
              <w:right w:val="single" w:sz="2" w:space="0" w:color="auto"/>
            </w:tcBorders>
            <w:vAlign w:val="center"/>
          </w:tcPr>
          <w:p w14:paraId="495D6D6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黑龙江省绥化市安达市朝阳街</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委</w:t>
            </w:r>
            <w:r w:rsidRPr="00F614F9">
              <w:rPr>
                <w:rFonts w:ascii="Times New Roman" w:eastAsia="宋体" w:hAnsi="Times New Roman" w:cs="宋体"/>
                <w:sz w:val="18"/>
                <w:szCs w:val="18"/>
              </w:rPr>
              <w:t>8-538</w:t>
            </w:r>
            <w:r w:rsidRPr="00F614F9">
              <w:rPr>
                <w:rFonts w:ascii="Times New Roman" w:eastAsia="宋体" w:hAnsi="Times New Roman" w:cs="宋体"/>
                <w:sz w:val="18"/>
                <w:szCs w:val="18"/>
              </w:rPr>
              <w:t>幢融府上城</w:t>
            </w:r>
            <w:r w:rsidRPr="00F614F9">
              <w:rPr>
                <w:rFonts w:ascii="Times New Roman" w:eastAsia="宋体" w:hAnsi="Times New Roman" w:cs="宋体"/>
                <w:sz w:val="18"/>
                <w:szCs w:val="18"/>
              </w:rPr>
              <w:t>13#2</w:t>
            </w:r>
            <w:r w:rsidRPr="00F614F9">
              <w:rPr>
                <w:rFonts w:ascii="Times New Roman" w:eastAsia="宋体" w:hAnsi="Times New Roman" w:cs="宋体"/>
                <w:sz w:val="18"/>
                <w:szCs w:val="18"/>
              </w:rPr>
              <w:t>号</w:t>
            </w:r>
          </w:p>
        </w:tc>
        <w:tc>
          <w:tcPr>
            <w:tcW w:w="1205" w:type="dxa"/>
            <w:tcBorders>
              <w:top w:val="single" w:sz="2" w:space="0" w:color="auto"/>
              <w:left w:val="single" w:sz="2" w:space="0" w:color="auto"/>
              <w:bottom w:val="single" w:sz="2" w:space="0" w:color="auto"/>
              <w:right w:val="single" w:sz="2" w:space="0" w:color="auto"/>
            </w:tcBorders>
            <w:vAlign w:val="center"/>
          </w:tcPr>
          <w:p w14:paraId="203C1DB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畜禽</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养殖</w:t>
            </w:r>
          </w:p>
        </w:tc>
        <w:tc>
          <w:tcPr>
            <w:tcW w:w="1205" w:type="dxa"/>
            <w:tcBorders>
              <w:top w:val="single" w:sz="2" w:space="0" w:color="auto"/>
              <w:left w:val="single" w:sz="2" w:space="0" w:color="auto"/>
              <w:bottom w:val="single" w:sz="2" w:space="0" w:color="auto"/>
              <w:right w:val="single" w:sz="2" w:space="0" w:color="auto"/>
            </w:tcBorders>
            <w:vAlign w:val="center"/>
          </w:tcPr>
          <w:p w14:paraId="3D4C6F3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38525463"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97C2C8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0F9C5ABC"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1E9C303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安丘龙大养殖有限公司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68F2CAF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150,000,000.00</w:t>
            </w:r>
          </w:p>
        </w:tc>
        <w:tc>
          <w:tcPr>
            <w:tcW w:w="1031" w:type="dxa"/>
            <w:tcBorders>
              <w:top w:val="single" w:sz="2" w:space="0" w:color="auto"/>
              <w:left w:val="single" w:sz="2" w:space="0" w:color="auto"/>
              <w:bottom w:val="single" w:sz="2" w:space="0" w:color="auto"/>
              <w:right w:val="single" w:sz="2" w:space="0" w:color="auto"/>
            </w:tcBorders>
            <w:vAlign w:val="center"/>
          </w:tcPr>
          <w:p w14:paraId="4560E11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山东省安丘市</w:t>
            </w:r>
          </w:p>
        </w:tc>
        <w:tc>
          <w:tcPr>
            <w:tcW w:w="1205" w:type="dxa"/>
            <w:tcBorders>
              <w:top w:val="single" w:sz="2" w:space="0" w:color="auto"/>
              <w:left w:val="single" w:sz="2" w:space="0" w:color="auto"/>
              <w:bottom w:val="single" w:sz="2" w:space="0" w:color="auto"/>
              <w:right w:val="single" w:sz="2" w:space="0" w:color="auto"/>
            </w:tcBorders>
            <w:vAlign w:val="center"/>
          </w:tcPr>
          <w:p w14:paraId="30A7D8C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山东省潍坊市安丘市石</w:t>
            </w:r>
            <w:proofErr w:type="gramStart"/>
            <w:r w:rsidRPr="00F614F9">
              <w:rPr>
                <w:rFonts w:ascii="Times New Roman" w:eastAsia="宋体" w:hAnsi="Times New Roman" w:cs="宋体"/>
                <w:sz w:val="18"/>
                <w:szCs w:val="18"/>
              </w:rPr>
              <w:t>埠子镇晏</w:t>
            </w:r>
            <w:proofErr w:type="gramEnd"/>
            <w:r w:rsidRPr="00F614F9">
              <w:rPr>
                <w:rFonts w:ascii="Times New Roman" w:eastAsia="宋体" w:hAnsi="Times New Roman" w:cs="宋体"/>
                <w:sz w:val="18"/>
                <w:szCs w:val="18"/>
              </w:rPr>
              <w:t>峪村北</w:t>
            </w:r>
          </w:p>
        </w:tc>
        <w:tc>
          <w:tcPr>
            <w:tcW w:w="1205" w:type="dxa"/>
            <w:tcBorders>
              <w:top w:val="single" w:sz="2" w:space="0" w:color="auto"/>
              <w:left w:val="single" w:sz="2" w:space="0" w:color="auto"/>
              <w:bottom w:val="single" w:sz="2" w:space="0" w:color="auto"/>
              <w:right w:val="single" w:sz="2" w:space="0" w:color="auto"/>
            </w:tcBorders>
            <w:vAlign w:val="center"/>
          </w:tcPr>
          <w:p w14:paraId="3234A86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畜禽</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养殖</w:t>
            </w:r>
          </w:p>
        </w:tc>
        <w:tc>
          <w:tcPr>
            <w:tcW w:w="1205" w:type="dxa"/>
            <w:tcBorders>
              <w:top w:val="single" w:sz="2" w:space="0" w:color="auto"/>
              <w:left w:val="single" w:sz="2" w:space="0" w:color="auto"/>
              <w:bottom w:val="single" w:sz="2" w:space="0" w:color="auto"/>
              <w:right w:val="single" w:sz="2" w:space="0" w:color="auto"/>
            </w:tcBorders>
            <w:vAlign w:val="center"/>
          </w:tcPr>
          <w:p w14:paraId="292C79C4"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A48169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2A97762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455C7E55"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7C51AA5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莱阳龙大养殖有限公司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6401002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50,000,000.00</w:t>
            </w:r>
          </w:p>
        </w:tc>
        <w:tc>
          <w:tcPr>
            <w:tcW w:w="1031" w:type="dxa"/>
            <w:tcBorders>
              <w:top w:val="single" w:sz="2" w:space="0" w:color="auto"/>
              <w:left w:val="single" w:sz="2" w:space="0" w:color="auto"/>
              <w:bottom w:val="single" w:sz="2" w:space="0" w:color="auto"/>
              <w:right w:val="single" w:sz="2" w:space="0" w:color="auto"/>
            </w:tcBorders>
            <w:vAlign w:val="center"/>
          </w:tcPr>
          <w:p w14:paraId="1570DBA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25A646B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山东省烟台市莱阳市大</w:t>
            </w:r>
            <w:proofErr w:type="gramStart"/>
            <w:r w:rsidRPr="00F614F9">
              <w:rPr>
                <w:rFonts w:ascii="Times New Roman" w:eastAsia="宋体" w:hAnsi="Times New Roman" w:cs="宋体"/>
                <w:sz w:val="18"/>
                <w:szCs w:val="18"/>
              </w:rPr>
              <w:t>夼</w:t>
            </w:r>
            <w:proofErr w:type="gramEnd"/>
            <w:r w:rsidRPr="00F614F9">
              <w:rPr>
                <w:rFonts w:ascii="Times New Roman" w:eastAsia="宋体" w:hAnsi="Times New Roman" w:cs="宋体"/>
                <w:sz w:val="18"/>
                <w:szCs w:val="18"/>
              </w:rPr>
              <w:t>镇北苟格庄村</w:t>
            </w:r>
          </w:p>
        </w:tc>
        <w:tc>
          <w:tcPr>
            <w:tcW w:w="1205" w:type="dxa"/>
            <w:tcBorders>
              <w:top w:val="single" w:sz="2" w:space="0" w:color="auto"/>
              <w:left w:val="single" w:sz="2" w:space="0" w:color="auto"/>
              <w:bottom w:val="single" w:sz="2" w:space="0" w:color="auto"/>
              <w:right w:val="single" w:sz="2" w:space="0" w:color="auto"/>
            </w:tcBorders>
            <w:vAlign w:val="center"/>
          </w:tcPr>
          <w:p w14:paraId="76F3C02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畜禽</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养殖</w:t>
            </w:r>
          </w:p>
        </w:tc>
        <w:tc>
          <w:tcPr>
            <w:tcW w:w="1205" w:type="dxa"/>
            <w:tcBorders>
              <w:top w:val="single" w:sz="2" w:space="0" w:color="auto"/>
              <w:left w:val="single" w:sz="2" w:space="0" w:color="auto"/>
              <w:bottom w:val="single" w:sz="2" w:space="0" w:color="auto"/>
              <w:right w:val="single" w:sz="2" w:space="0" w:color="auto"/>
            </w:tcBorders>
            <w:vAlign w:val="center"/>
          </w:tcPr>
          <w:p w14:paraId="001FAB08"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9F105F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0E7F513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7FAFCC8C"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08674F4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莱州龙大养殖有限公司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7E5A47A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30,000,000.00</w:t>
            </w:r>
          </w:p>
        </w:tc>
        <w:tc>
          <w:tcPr>
            <w:tcW w:w="1031" w:type="dxa"/>
            <w:tcBorders>
              <w:top w:val="single" w:sz="2" w:space="0" w:color="auto"/>
              <w:left w:val="single" w:sz="2" w:space="0" w:color="auto"/>
              <w:bottom w:val="single" w:sz="2" w:space="0" w:color="auto"/>
              <w:right w:val="single" w:sz="2" w:space="0" w:color="auto"/>
            </w:tcBorders>
            <w:vAlign w:val="center"/>
          </w:tcPr>
          <w:p w14:paraId="687C26E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山东省莱州市</w:t>
            </w:r>
          </w:p>
        </w:tc>
        <w:tc>
          <w:tcPr>
            <w:tcW w:w="1205" w:type="dxa"/>
            <w:tcBorders>
              <w:top w:val="single" w:sz="2" w:space="0" w:color="auto"/>
              <w:left w:val="single" w:sz="2" w:space="0" w:color="auto"/>
              <w:bottom w:val="single" w:sz="2" w:space="0" w:color="auto"/>
              <w:right w:val="single" w:sz="2" w:space="0" w:color="auto"/>
            </w:tcBorders>
            <w:vAlign w:val="center"/>
          </w:tcPr>
          <w:p w14:paraId="7DEDB70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山东省烟台市莱州市郭家店镇马台石村</w:t>
            </w:r>
          </w:p>
        </w:tc>
        <w:tc>
          <w:tcPr>
            <w:tcW w:w="1205" w:type="dxa"/>
            <w:tcBorders>
              <w:top w:val="single" w:sz="2" w:space="0" w:color="auto"/>
              <w:left w:val="single" w:sz="2" w:space="0" w:color="auto"/>
              <w:bottom w:val="single" w:sz="2" w:space="0" w:color="auto"/>
              <w:right w:val="single" w:sz="2" w:space="0" w:color="auto"/>
            </w:tcBorders>
            <w:vAlign w:val="center"/>
          </w:tcPr>
          <w:p w14:paraId="2394319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畜禽</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养殖</w:t>
            </w:r>
          </w:p>
        </w:tc>
        <w:tc>
          <w:tcPr>
            <w:tcW w:w="1205" w:type="dxa"/>
            <w:tcBorders>
              <w:top w:val="single" w:sz="2" w:space="0" w:color="auto"/>
              <w:left w:val="single" w:sz="2" w:space="0" w:color="auto"/>
              <w:bottom w:val="single" w:sz="2" w:space="0" w:color="auto"/>
              <w:right w:val="single" w:sz="2" w:space="0" w:color="auto"/>
            </w:tcBorders>
            <w:vAlign w:val="center"/>
          </w:tcPr>
          <w:p w14:paraId="073FF708"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BF49AB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31E029C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52874B92"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1647107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乳山龙大养殖有限公司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3F4F9DF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200,000,000.00</w:t>
            </w:r>
          </w:p>
        </w:tc>
        <w:tc>
          <w:tcPr>
            <w:tcW w:w="1031" w:type="dxa"/>
            <w:tcBorders>
              <w:top w:val="single" w:sz="2" w:space="0" w:color="auto"/>
              <w:left w:val="single" w:sz="2" w:space="0" w:color="auto"/>
              <w:bottom w:val="single" w:sz="2" w:space="0" w:color="auto"/>
              <w:right w:val="single" w:sz="2" w:space="0" w:color="auto"/>
            </w:tcBorders>
            <w:vAlign w:val="center"/>
          </w:tcPr>
          <w:p w14:paraId="6C6AF1E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山东省乳山市</w:t>
            </w:r>
          </w:p>
        </w:tc>
        <w:tc>
          <w:tcPr>
            <w:tcW w:w="1205" w:type="dxa"/>
            <w:tcBorders>
              <w:top w:val="single" w:sz="2" w:space="0" w:color="auto"/>
              <w:left w:val="single" w:sz="2" w:space="0" w:color="auto"/>
              <w:bottom w:val="single" w:sz="2" w:space="0" w:color="auto"/>
              <w:right w:val="single" w:sz="2" w:space="0" w:color="auto"/>
            </w:tcBorders>
            <w:vAlign w:val="center"/>
          </w:tcPr>
          <w:p w14:paraId="5DD006F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山东省威海市乳山市下初镇下初村</w:t>
            </w:r>
            <w:proofErr w:type="gramStart"/>
            <w:r w:rsidRPr="00F614F9">
              <w:rPr>
                <w:rFonts w:ascii="Times New Roman" w:eastAsia="宋体" w:hAnsi="Times New Roman" w:cs="宋体"/>
                <w:sz w:val="18"/>
                <w:szCs w:val="18"/>
              </w:rPr>
              <w:t>南国道</w:t>
            </w:r>
            <w:proofErr w:type="gramEnd"/>
            <w:r w:rsidRPr="00F614F9">
              <w:rPr>
                <w:rFonts w:ascii="Times New Roman" w:eastAsia="宋体" w:hAnsi="Times New Roman" w:cs="宋体"/>
                <w:sz w:val="18"/>
                <w:szCs w:val="18"/>
              </w:rPr>
              <w:t>北</w:t>
            </w:r>
          </w:p>
        </w:tc>
        <w:tc>
          <w:tcPr>
            <w:tcW w:w="1205" w:type="dxa"/>
            <w:tcBorders>
              <w:top w:val="single" w:sz="2" w:space="0" w:color="auto"/>
              <w:left w:val="single" w:sz="2" w:space="0" w:color="auto"/>
              <w:bottom w:val="single" w:sz="2" w:space="0" w:color="auto"/>
              <w:right w:val="single" w:sz="2" w:space="0" w:color="auto"/>
            </w:tcBorders>
            <w:vAlign w:val="center"/>
          </w:tcPr>
          <w:p w14:paraId="10A7DA9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畜禽</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养殖</w:t>
            </w:r>
          </w:p>
        </w:tc>
        <w:tc>
          <w:tcPr>
            <w:tcW w:w="1205" w:type="dxa"/>
            <w:tcBorders>
              <w:top w:val="single" w:sz="2" w:space="0" w:color="auto"/>
              <w:left w:val="single" w:sz="2" w:space="0" w:color="auto"/>
              <w:bottom w:val="single" w:sz="2" w:space="0" w:color="auto"/>
              <w:right w:val="single" w:sz="2" w:space="0" w:color="auto"/>
            </w:tcBorders>
            <w:vAlign w:val="center"/>
          </w:tcPr>
          <w:p w14:paraId="1278C64B"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E5BE80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66E0A0D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2AF369CD"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2B6AF65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青岛龙大管理咨询服务有限公司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4179E47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031" w:type="dxa"/>
            <w:tcBorders>
              <w:top w:val="single" w:sz="2" w:space="0" w:color="auto"/>
              <w:left w:val="single" w:sz="2" w:space="0" w:color="auto"/>
              <w:bottom w:val="single" w:sz="2" w:space="0" w:color="auto"/>
              <w:right w:val="single" w:sz="2" w:space="0" w:color="auto"/>
            </w:tcBorders>
            <w:vAlign w:val="center"/>
          </w:tcPr>
          <w:p w14:paraId="7C3F6AA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山东省青岛市</w:t>
            </w:r>
          </w:p>
        </w:tc>
        <w:tc>
          <w:tcPr>
            <w:tcW w:w="1205" w:type="dxa"/>
            <w:tcBorders>
              <w:top w:val="single" w:sz="2" w:space="0" w:color="auto"/>
              <w:left w:val="single" w:sz="2" w:space="0" w:color="auto"/>
              <w:bottom w:val="single" w:sz="2" w:space="0" w:color="auto"/>
              <w:right w:val="single" w:sz="2" w:space="0" w:color="auto"/>
            </w:tcBorders>
            <w:vAlign w:val="center"/>
          </w:tcPr>
          <w:p w14:paraId="27EC2B7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山东省青岛市崂山区</w:t>
            </w:r>
            <w:proofErr w:type="gramStart"/>
            <w:r w:rsidRPr="00F614F9">
              <w:rPr>
                <w:rFonts w:ascii="Times New Roman" w:eastAsia="宋体" w:hAnsi="Times New Roman" w:cs="宋体"/>
                <w:sz w:val="18"/>
                <w:szCs w:val="18"/>
              </w:rPr>
              <w:t>株洲路</w:t>
            </w:r>
            <w:proofErr w:type="gramEnd"/>
            <w:r w:rsidRPr="00F614F9">
              <w:rPr>
                <w:rFonts w:ascii="Times New Roman" w:eastAsia="宋体" w:hAnsi="Times New Roman" w:cs="宋体"/>
                <w:sz w:val="18"/>
                <w:szCs w:val="18"/>
              </w:rPr>
              <w:t>20</w:t>
            </w:r>
            <w:r w:rsidRPr="00F614F9">
              <w:rPr>
                <w:rFonts w:ascii="Times New Roman" w:eastAsia="宋体" w:hAnsi="Times New Roman" w:cs="宋体"/>
                <w:sz w:val="18"/>
                <w:szCs w:val="18"/>
              </w:rPr>
              <w:t>号海</w:t>
            </w:r>
            <w:proofErr w:type="gramStart"/>
            <w:r w:rsidRPr="00F614F9">
              <w:rPr>
                <w:rFonts w:ascii="Times New Roman" w:eastAsia="宋体" w:hAnsi="Times New Roman" w:cs="宋体"/>
                <w:sz w:val="18"/>
                <w:szCs w:val="18"/>
              </w:rPr>
              <w:t>信创智谷</w:t>
            </w:r>
            <w:proofErr w:type="gramEnd"/>
            <w:r w:rsidRPr="00F614F9">
              <w:rPr>
                <w:rFonts w:ascii="Times New Roman" w:eastAsia="宋体" w:hAnsi="Times New Roman" w:cs="宋体"/>
                <w:sz w:val="18"/>
                <w:szCs w:val="18"/>
              </w:rPr>
              <w:t>3</w:t>
            </w:r>
            <w:r w:rsidRPr="00F614F9">
              <w:rPr>
                <w:rFonts w:ascii="Times New Roman" w:eastAsia="宋体" w:hAnsi="Times New Roman" w:cs="宋体"/>
                <w:sz w:val="18"/>
                <w:szCs w:val="18"/>
              </w:rPr>
              <w:t>号楼</w:t>
            </w:r>
            <w:r w:rsidRPr="00F614F9">
              <w:rPr>
                <w:rFonts w:ascii="Times New Roman" w:eastAsia="宋体" w:hAnsi="Times New Roman" w:cs="宋体"/>
                <w:sz w:val="18"/>
                <w:szCs w:val="18"/>
              </w:rPr>
              <w:t>A</w:t>
            </w:r>
            <w:r w:rsidRPr="00F614F9">
              <w:rPr>
                <w:rFonts w:ascii="Times New Roman" w:eastAsia="宋体" w:hAnsi="Times New Roman" w:cs="宋体"/>
                <w:sz w:val="18"/>
                <w:szCs w:val="18"/>
              </w:rPr>
              <w:t>座</w:t>
            </w:r>
            <w:r w:rsidRPr="00F614F9">
              <w:rPr>
                <w:rFonts w:ascii="Times New Roman" w:eastAsia="宋体" w:hAnsi="Times New Roman" w:cs="宋体"/>
                <w:sz w:val="18"/>
                <w:szCs w:val="18"/>
              </w:rPr>
              <w:t>2502A</w:t>
            </w:r>
            <w:r w:rsidRPr="00F614F9">
              <w:rPr>
                <w:rFonts w:ascii="Times New Roman" w:eastAsia="宋体" w:hAnsi="Times New Roman" w:cs="宋体"/>
                <w:sz w:val="18"/>
                <w:szCs w:val="18"/>
              </w:rPr>
              <w:t>室</w:t>
            </w:r>
          </w:p>
        </w:tc>
        <w:tc>
          <w:tcPr>
            <w:tcW w:w="1205" w:type="dxa"/>
            <w:tcBorders>
              <w:top w:val="single" w:sz="2" w:space="0" w:color="auto"/>
              <w:left w:val="single" w:sz="2" w:space="0" w:color="auto"/>
              <w:bottom w:val="single" w:sz="2" w:space="0" w:color="auto"/>
              <w:right w:val="single" w:sz="2" w:space="0" w:color="auto"/>
            </w:tcBorders>
            <w:vAlign w:val="center"/>
          </w:tcPr>
          <w:p w14:paraId="2A4C4C1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管理咨询</w:t>
            </w:r>
          </w:p>
        </w:tc>
        <w:tc>
          <w:tcPr>
            <w:tcW w:w="1205" w:type="dxa"/>
            <w:tcBorders>
              <w:top w:val="single" w:sz="2" w:space="0" w:color="auto"/>
              <w:left w:val="single" w:sz="2" w:space="0" w:color="auto"/>
              <w:bottom w:val="single" w:sz="2" w:space="0" w:color="auto"/>
              <w:right w:val="single" w:sz="2" w:space="0" w:color="auto"/>
            </w:tcBorders>
            <w:vAlign w:val="center"/>
          </w:tcPr>
          <w:p w14:paraId="4C111D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47A861D9"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1BEACA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463D54C7"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572EA81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江苏龙大沁侬食品有限公司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33F3C3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200,000,000.00</w:t>
            </w:r>
          </w:p>
        </w:tc>
        <w:tc>
          <w:tcPr>
            <w:tcW w:w="1031" w:type="dxa"/>
            <w:tcBorders>
              <w:top w:val="single" w:sz="2" w:space="0" w:color="auto"/>
              <w:left w:val="single" w:sz="2" w:space="0" w:color="auto"/>
              <w:bottom w:val="single" w:sz="2" w:space="0" w:color="auto"/>
              <w:right w:val="single" w:sz="2" w:space="0" w:color="auto"/>
            </w:tcBorders>
            <w:vAlign w:val="center"/>
          </w:tcPr>
          <w:p w14:paraId="29B292E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连云港市</w:t>
            </w:r>
          </w:p>
        </w:tc>
        <w:tc>
          <w:tcPr>
            <w:tcW w:w="1205" w:type="dxa"/>
            <w:tcBorders>
              <w:top w:val="single" w:sz="2" w:space="0" w:color="auto"/>
              <w:left w:val="single" w:sz="2" w:space="0" w:color="auto"/>
              <w:bottom w:val="single" w:sz="2" w:space="0" w:color="auto"/>
              <w:right w:val="single" w:sz="2" w:space="0" w:color="auto"/>
            </w:tcBorders>
            <w:vAlign w:val="center"/>
          </w:tcPr>
          <w:p w14:paraId="42B9B70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连云港市灌云县经济开发区镜</w:t>
            </w:r>
            <w:proofErr w:type="gramStart"/>
            <w:r w:rsidRPr="00F614F9">
              <w:rPr>
                <w:rFonts w:ascii="Times New Roman" w:eastAsia="宋体" w:hAnsi="Times New Roman" w:cs="宋体"/>
                <w:sz w:val="18"/>
                <w:szCs w:val="18"/>
              </w:rPr>
              <w:t>花缘路</w:t>
            </w:r>
            <w:proofErr w:type="gramEnd"/>
            <w:r w:rsidRPr="00F614F9">
              <w:rPr>
                <w:rFonts w:ascii="Times New Roman" w:eastAsia="宋体" w:hAnsi="Times New Roman" w:cs="宋体"/>
                <w:sz w:val="18"/>
                <w:szCs w:val="18"/>
              </w:rPr>
              <w:t>62</w:t>
            </w:r>
            <w:r w:rsidRPr="00F614F9">
              <w:rPr>
                <w:rFonts w:ascii="Times New Roman" w:eastAsia="宋体" w:hAnsi="Times New Roman" w:cs="宋体"/>
                <w:sz w:val="18"/>
                <w:szCs w:val="18"/>
              </w:rPr>
              <w:t>号</w:t>
            </w:r>
          </w:p>
        </w:tc>
        <w:tc>
          <w:tcPr>
            <w:tcW w:w="1205" w:type="dxa"/>
            <w:tcBorders>
              <w:top w:val="single" w:sz="2" w:space="0" w:color="auto"/>
              <w:left w:val="single" w:sz="2" w:space="0" w:color="auto"/>
              <w:bottom w:val="single" w:sz="2" w:space="0" w:color="auto"/>
              <w:right w:val="single" w:sz="2" w:space="0" w:color="auto"/>
            </w:tcBorders>
            <w:vAlign w:val="center"/>
          </w:tcPr>
          <w:p w14:paraId="69AE5F1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生产、销售食品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61835C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076F8FB5"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DE8C79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76EADC25"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39EA323B"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通辽金泉食品</w:t>
            </w:r>
            <w:proofErr w:type="gramEnd"/>
            <w:r w:rsidRPr="00F614F9">
              <w:rPr>
                <w:rFonts w:ascii="Times New Roman" w:eastAsia="宋体" w:hAnsi="Times New Roman" w:cs="宋体"/>
                <w:sz w:val="18"/>
                <w:szCs w:val="18"/>
              </w:rPr>
              <w:t>有限责任公司</w:t>
            </w:r>
          </w:p>
        </w:tc>
        <w:tc>
          <w:tcPr>
            <w:tcW w:w="1379" w:type="dxa"/>
            <w:tcBorders>
              <w:top w:val="single" w:sz="2" w:space="0" w:color="auto"/>
              <w:left w:val="single" w:sz="2" w:space="0" w:color="auto"/>
              <w:bottom w:val="single" w:sz="2" w:space="0" w:color="auto"/>
              <w:right w:val="single" w:sz="2" w:space="0" w:color="auto"/>
            </w:tcBorders>
            <w:vAlign w:val="center"/>
          </w:tcPr>
          <w:p w14:paraId="6895D66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34,200,000.00</w:t>
            </w:r>
          </w:p>
        </w:tc>
        <w:tc>
          <w:tcPr>
            <w:tcW w:w="1031" w:type="dxa"/>
            <w:tcBorders>
              <w:top w:val="single" w:sz="2" w:space="0" w:color="auto"/>
              <w:left w:val="single" w:sz="2" w:space="0" w:color="auto"/>
              <w:bottom w:val="single" w:sz="2" w:space="0" w:color="auto"/>
              <w:right w:val="single" w:sz="2" w:space="0" w:color="auto"/>
            </w:tcBorders>
            <w:vAlign w:val="center"/>
          </w:tcPr>
          <w:p w14:paraId="574F068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内蒙古</w:t>
            </w:r>
          </w:p>
        </w:tc>
        <w:tc>
          <w:tcPr>
            <w:tcW w:w="1205" w:type="dxa"/>
            <w:tcBorders>
              <w:top w:val="single" w:sz="2" w:space="0" w:color="auto"/>
              <w:left w:val="single" w:sz="2" w:space="0" w:color="auto"/>
              <w:bottom w:val="single" w:sz="2" w:space="0" w:color="auto"/>
              <w:right w:val="single" w:sz="2" w:space="0" w:color="auto"/>
            </w:tcBorders>
            <w:vAlign w:val="center"/>
          </w:tcPr>
          <w:p w14:paraId="0DB981F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内蒙古自治区通辽市奈</w:t>
            </w:r>
            <w:proofErr w:type="gramStart"/>
            <w:r w:rsidRPr="00F614F9">
              <w:rPr>
                <w:rFonts w:ascii="Times New Roman" w:eastAsia="宋体" w:hAnsi="Times New Roman" w:cs="宋体"/>
                <w:sz w:val="18"/>
                <w:szCs w:val="18"/>
              </w:rPr>
              <w:t>曼</w:t>
            </w:r>
            <w:proofErr w:type="gramEnd"/>
            <w:r w:rsidRPr="00F614F9">
              <w:rPr>
                <w:rFonts w:ascii="Times New Roman" w:eastAsia="宋体" w:hAnsi="Times New Roman" w:cs="宋体"/>
                <w:sz w:val="18"/>
                <w:szCs w:val="18"/>
              </w:rPr>
              <w:t>旗大镇双合村</w:t>
            </w:r>
          </w:p>
        </w:tc>
        <w:tc>
          <w:tcPr>
            <w:tcW w:w="1205" w:type="dxa"/>
            <w:tcBorders>
              <w:top w:val="single" w:sz="2" w:space="0" w:color="auto"/>
              <w:left w:val="single" w:sz="2" w:space="0" w:color="auto"/>
              <w:bottom w:val="single" w:sz="2" w:space="0" w:color="auto"/>
              <w:right w:val="single" w:sz="2" w:space="0" w:color="auto"/>
            </w:tcBorders>
            <w:vAlign w:val="center"/>
          </w:tcPr>
          <w:p w14:paraId="20BAD6C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3ACECDD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2ABC5FE4"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7B7880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非同</w:t>
            </w:r>
            <w:proofErr w:type="gramStart"/>
            <w:r w:rsidRPr="00F614F9">
              <w:rPr>
                <w:rFonts w:ascii="Times New Roman" w:eastAsia="宋体" w:hAnsi="Times New Roman" w:cs="宋体"/>
                <w:sz w:val="18"/>
                <w:szCs w:val="18"/>
              </w:rPr>
              <w:t>一控制</w:t>
            </w:r>
            <w:proofErr w:type="gramEnd"/>
            <w:r w:rsidRPr="00F614F9">
              <w:rPr>
                <w:rFonts w:ascii="Times New Roman" w:eastAsia="宋体" w:hAnsi="Times New Roman" w:cs="宋体"/>
                <w:sz w:val="18"/>
                <w:szCs w:val="18"/>
              </w:rPr>
              <w:t>下企业合并</w:t>
            </w:r>
          </w:p>
        </w:tc>
      </w:tr>
      <w:tr w:rsidR="001D26E7" w:rsidRPr="00F614F9" w14:paraId="2FCA5449"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2B0C629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湖北龙大肉食品有限公司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152F0B1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20,000,000.00</w:t>
            </w:r>
          </w:p>
        </w:tc>
        <w:tc>
          <w:tcPr>
            <w:tcW w:w="1031" w:type="dxa"/>
            <w:tcBorders>
              <w:top w:val="single" w:sz="2" w:space="0" w:color="auto"/>
              <w:left w:val="single" w:sz="2" w:space="0" w:color="auto"/>
              <w:bottom w:val="single" w:sz="2" w:space="0" w:color="auto"/>
              <w:right w:val="single" w:sz="2" w:space="0" w:color="auto"/>
            </w:tcBorders>
            <w:vAlign w:val="center"/>
          </w:tcPr>
          <w:p w14:paraId="48C9D2E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湖北省黄冈市</w:t>
            </w:r>
          </w:p>
        </w:tc>
        <w:tc>
          <w:tcPr>
            <w:tcW w:w="1205" w:type="dxa"/>
            <w:tcBorders>
              <w:top w:val="single" w:sz="2" w:space="0" w:color="auto"/>
              <w:left w:val="single" w:sz="2" w:space="0" w:color="auto"/>
              <w:bottom w:val="single" w:sz="2" w:space="0" w:color="auto"/>
              <w:right w:val="single" w:sz="2" w:space="0" w:color="auto"/>
            </w:tcBorders>
            <w:vAlign w:val="center"/>
          </w:tcPr>
          <w:p w14:paraId="01AC44A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湖北省黄冈市武穴市石佛寺镇</w:t>
            </w:r>
            <w:proofErr w:type="gramStart"/>
            <w:r w:rsidRPr="00F614F9">
              <w:rPr>
                <w:rFonts w:ascii="Times New Roman" w:eastAsia="宋体" w:hAnsi="Times New Roman" w:cs="宋体"/>
                <w:sz w:val="18"/>
                <w:szCs w:val="18"/>
              </w:rPr>
              <w:t>农产品加工园武湖</w:t>
            </w:r>
            <w:proofErr w:type="gramEnd"/>
            <w:r w:rsidRPr="00F614F9">
              <w:rPr>
                <w:rFonts w:ascii="Times New Roman" w:eastAsia="宋体" w:hAnsi="Times New Roman" w:cs="宋体"/>
                <w:sz w:val="18"/>
                <w:szCs w:val="18"/>
              </w:rPr>
              <w:t>大道</w:t>
            </w:r>
            <w:proofErr w:type="gramStart"/>
            <w:r w:rsidRPr="00F614F9">
              <w:rPr>
                <w:rFonts w:ascii="Times New Roman" w:eastAsia="宋体" w:hAnsi="Times New Roman" w:cs="宋体"/>
                <w:sz w:val="18"/>
                <w:szCs w:val="18"/>
              </w:rPr>
              <w:t>69</w:t>
            </w:r>
            <w:r w:rsidRPr="00F614F9">
              <w:rPr>
                <w:rFonts w:ascii="Times New Roman" w:eastAsia="宋体" w:hAnsi="Times New Roman" w:cs="宋体"/>
                <w:sz w:val="18"/>
                <w:szCs w:val="18"/>
              </w:rPr>
              <w:t>号襄大园区</w:t>
            </w:r>
            <w:proofErr w:type="gramEnd"/>
            <w:r w:rsidRPr="00F614F9">
              <w:rPr>
                <w:rFonts w:ascii="Times New Roman" w:eastAsia="宋体" w:hAnsi="Times New Roman" w:cs="宋体"/>
                <w:sz w:val="18"/>
                <w:szCs w:val="18"/>
              </w:rPr>
              <w:t>办公区域</w:t>
            </w:r>
          </w:p>
        </w:tc>
        <w:tc>
          <w:tcPr>
            <w:tcW w:w="1205" w:type="dxa"/>
            <w:tcBorders>
              <w:top w:val="single" w:sz="2" w:space="0" w:color="auto"/>
              <w:left w:val="single" w:sz="2" w:space="0" w:color="auto"/>
              <w:bottom w:val="single" w:sz="2" w:space="0" w:color="auto"/>
              <w:right w:val="single" w:sz="2" w:space="0" w:color="auto"/>
            </w:tcBorders>
            <w:vAlign w:val="center"/>
          </w:tcPr>
          <w:p w14:paraId="48D1991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2BEC22C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1CFF78C6"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FC9122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17AA3648"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0010408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成都龙大肉食品有限公司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0A87290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40,000,000.00</w:t>
            </w:r>
          </w:p>
        </w:tc>
        <w:tc>
          <w:tcPr>
            <w:tcW w:w="1031" w:type="dxa"/>
            <w:tcBorders>
              <w:top w:val="single" w:sz="2" w:space="0" w:color="auto"/>
              <w:left w:val="single" w:sz="2" w:space="0" w:color="auto"/>
              <w:bottom w:val="single" w:sz="2" w:space="0" w:color="auto"/>
              <w:right w:val="single" w:sz="2" w:space="0" w:color="auto"/>
            </w:tcBorders>
            <w:vAlign w:val="center"/>
          </w:tcPr>
          <w:p w14:paraId="7E3D795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四川省成都市</w:t>
            </w:r>
          </w:p>
        </w:tc>
        <w:tc>
          <w:tcPr>
            <w:tcW w:w="1205" w:type="dxa"/>
            <w:tcBorders>
              <w:top w:val="single" w:sz="2" w:space="0" w:color="auto"/>
              <w:left w:val="single" w:sz="2" w:space="0" w:color="auto"/>
              <w:bottom w:val="single" w:sz="2" w:space="0" w:color="auto"/>
              <w:right w:val="single" w:sz="2" w:space="0" w:color="auto"/>
            </w:tcBorders>
            <w:vAlign w:val="center"/>
          </w:tcPr>
          <w:p w14:paraId="1764BB8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四川省成都市</w:t>
            </w:r>
            <w:proofErr w:type="gramStart"/>
            <w:r w:rsidRPr="00F614F9">
              <w:rPr>
                <w:rFonts w:ascii="Times New Roman" w:eastAsia="宋体" w:hAnsi="Times New Roman" w:cs="宋体"/>
                <w:sz w:val="18"/>
                <w:szCs w:val="18"/>
              </w:rPr>
              <w:t>蒲江县寿安街道</w:t>
            </w:r>
            <w:proofErr w:type="gramEnd"/>
            <w:r w:rsidRPr="00F614F9">
              <w:rPr>
                <w:rFonts w:ascii="Times New Roman" w:eastAsia="宋体" w:hAnsi="Times New Roman" w:cs="宋体"/>
                <w:sz w:val="18"/>
                <w:szCs w:val="18"/>
              </w:rPr>
              <w:t>迎宾大道</w:t>
            </w:r>
            <w:r w:rsidRPr="00F614F9">
              <w:rPr>
                <w:rFonts w:ascii="Times New Roman" w:eastAsia="宋体" w:hAnsi="Times New Roman" w:cs="宋体"/>
                <w:sz w:val="18"/>
                <w:szCs w:val="18"/>
              </w:rPr>
              <w:t>774</w:t>
            </w:r>
            <w:r w:rsidRPr="00F614F9">
              <w:rPr>
                <w:rFonts w:ascii="Times New Roman" w:eastAsia="宋体" w:hAnsi="Times New Roman" w:cs="宋体"/>
                <w:sz w:val="18"/>
                <w:szCs w:val="18"/>
              </w:rPr>
              <w:t>号</w:t>
            </w:r>
          </w:p>
        </w:tc>
        <w:tc>
          <w:tcPr>
            <w:tcW w:w="1205" w:type="dxa"/>
            <w:tcBorders>
              <w:top w:val="single" w:sz="2" w:space="0" w:color="auto"/>
              <w:left w:val="single" w:sz="2" w:space="0" w:color="auto"/>
              <w:bottom w:val="single" w:sz="2" w:space="0" w:color="auto"/>
              <w:right w:val="single" w:sz="2" w:space="0" w:color="auto"/>
            </w:tcBorders>
            <w:vAlign w:val="center"/>
          </w:tcPr>
          <w:p w14:paraId="0E7B891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3447A0D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3AF1E4EB"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CE7E78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785D7FE0"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77F134F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黑龙江龙大肉食品有限</w:t>
            </w:r>
            <w:r w:rsidRPr="00F614F9">
              <w:rPr>
                <w:rFonts w:ascii="Times New Roman" w:eastAsia="宋体" w:hAnsi="Times New Roman" w:cs="宋体"/>
                <w:sz w:val="18"/>
                <w:szCs w:val="18"/>
              </w:rPr>
              <w:lastRenderedPageBreak/>
              <w:t>公司</w:t>
            </w:r>
          </w:p>
        </w:tc>
        <w:tc>
          <w:tcPr>
            <w:tcW w:w="1379" w:type="dxa"/>
            <w:tcBorders>
              <w:top w:val="single" w:sz="2" w:space="0" w:color="auto"/>
              <w:left w:val="single" w:sz="2" w:space="0" w:color="auto"/>
              <w:bottom w:val="single" w:sz="2" w:space="0" w:color="auto"/>
              <w:right w:val="single" w:sz="2" w:space="0" w:color="auto"/>
            </w:tcBorders>
            <w:vAlign w:val="center"/>
          </w:tcPr>
          <w:p w14:paraId="7B897B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lastRenderedPageBreak/>
              <w:t>100,000,000.00</w:t>
            </w:r>
          </w:p>
        </w:tc>
        <w:tc>
          <w:tcPr>
            <w:tcW w:w="1031" w:type="dxa"/>
            <w:tcBorders>
              <w:top w:val="single" w:sz="2" w:space="0" w:color="auto"/>
              <w:left w:val="single" w:sz="2" w:space="0" w:color="auto"/>
              <w:bottom w:val="single" w:sz="2" w:space="0" w:color="auto"/>
              <w:right w:val="single" w:sz="2" w:space="0" w:color="auto"/>
            </w:tcBorders>
            <w:vAlign w:val="center"/>
          </w:tcPr>
          <w:p w14:paraId="645FA81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黑龙江省绥化市</w:t>
            </w:r>
          </w:p>
        </w:tc>
        <w:tc>
          <w:tcPr>
            <w:tcW w:w="1205" w:type="dxa"/>
            <w:tcBorders>
              <w:top w:val="single" w:sz="2" w:space="0" w:color="auto"/>
              <w:left w:val="single" w:sz="2" w:space="0" w:color="auto"/>
              <w:bottom w:val="single" w:sz="2" w:space="0" w:color="auto"/>
              <w:right w:val="single" w:sz="2" w:space="0" w:color="auto"/>
            </w:tcBorders>
            <w:vAlign w:val="center"/>
          </w:tcPr>
          <w:p w14:paraId="44C13A6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黑龙江省绥化市安达市</w:t>
            </w:r>
            <w:r w:rsidRPr="00F614F9">
              <w:rPr>
                <w:rFonts w:ascii="Times New Roman" w:eastAsia="宋体" w:hAnsi="Times New Roman" w:cs="宋体"/>
                <w:sz w:val="18"/>
                <w:szCs w:val="18"/>
              </w:rPr>
              <w:lastRenderedPageBreak/>
              <w:t>高新化工材料产业园区</w:t>
            </w:r>
            <w:r w:rsidRPr="00F614F9">
              <w:rPr>
                <w:rFonts w:ascii="Times New Roman" w:eastAsia="宋体" w:hAnsi="Times New Roman" w:cs="宋体"/>
                <w:sz w:val="18"/>
                <w:szCs w:val="18"/>
              </w:rPr>
              <w:t>A-12</w:t>
            </w:r>
            <w:r w:rsidRPr="00F614F9">
              <w:rPr>
                <w:rFonts w:ascii="Times New Roman" w:eastAsia="宋体" w:hAnsi="Times New Roman" w:cs="宋体"/>
                <w:sz w:val="18"/>
                <w:szCs w:val="18"/>
              </w:rPr>
              <w:t>地块</w:t>
            </w:r>
          </w:p>
        </w:tc>
        <w:tc>
          <w:tcPr>
            <w:tcW w:w="1205" w:type="dxa"/>
            <w:tcBorders>
              <w:top w:val="single" w:sz="2" w:space="0" w:color="auto"/>
              <w:left w:val="single" w:sz="2" w:space="0" w:color="auto"/>
              <w:bottom w:val="single" w:sz="2" w:space="0" w:color="auto"/>
              <w:right w:val="single" w:sz="2" w:space="0" w:color="auto"/>
            </w:tcBorders>
            <w:vAlign w:val="center"/>
          </w:tcPr>
          <w:p w14:paraId="43E9468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6744423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40AE5F7A"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C91971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4C32E663"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35FFBBC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四川龙鲜活供应链管理有限公司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2ED3571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031" w:type="dxa"/>
            <w:tcBorders>
              <w:top w:val="single" w:sz="2" w:space="0" w:color="auto"/>
              <w:left w:val="single" w:sz="2" w:space="0" w:color="auto"/>
              <w:bottom w:val="single" w:sz="2" w:space="0" w:color="auto"/>
              <w:right w:val="single" w:sz="2" w:space="0" w:color="auto"/>
            </w:tcBorders>
            <w:vAlign w:val="center"/>
          </w:tcPr>
          <w:p w14:paraId="7CC12E7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四川省成都市</w:t>
            </w:r>
          </w:p>
        </w:tc>
        <w:tc>
          <w:tcPr>
            <w:tcW w:w="1205" w:type="dxa"/>
            <w:tcBorders>
              <w:top w:val="single" w:sz="2" w:space="0" w:color="auto"/>
              <w:left w:val="single" w:sz="2" w:space="0" w:color="auto"/>
              <w:bottom w:val="single" w:sz="2" w:space="0" w:color="auto"/>
              <w:right w:val="single" w:sz="2" w:space="0" w:color="auto"/>
            </w:tcBorders>
            <w:vAlign w:val="center"/>
          </w:tcPr>
          <w:p w14:paraId="1A1FDFD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四川省成都市天府新区华阳街道华府大道一段</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号</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栋</w:t>
            </w:r>
            <w:r w:rsidRPr="00F614F9">
              <w:rPr>
                <w:rFonts w:ascii="Times New Roman" w:eastAsia="宋体" w:hAnsi="Times New Roman" w:cs="宋体"/>
                <w:sz w:val="18"/>
                <w:szCs w:val="18"/>
              </w:rPr>
              <w:t>35</w:t>
            </w:r>
            <w:r w:rsidRPr="00F614F9">
              <w:rPr>
                <w:rFonts w:ascii="Times New Roman" w:eastAsia="宋体" w:hAnsi="Times New Roman" w:cs="宋体"/>
                <w:sz w:val="18"/>
                <w:szCs w:val="18"/>
              </w:rPr>
              <w:t>层</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号</w:t>
            </w:r>
          </w:p>
        </w:tc>
        <w:tc>
          <w:tcPr>
            <w:tcW w:w="1205" w:type="dxa"/>
            <w:tcBorders>
              <w:top w:val="single" w:sz="2" w:space="0" w:color="auto"/>
              <w:left w:val="single" w:sz="2" w:space="0" w:color="auto"/>
              <w:bottom w:val="single" w:sz="2" w:space="0" w:color="auto"/>
              <w:right w:val="single" w:sz="2" w:space="0" w:color="auto"/>
            </w:tcBorders>
            <w:vAlign w:val="center"/>
          </w:tcPr>
          <w:p w14:paraId="53DB5B3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供应链管理服务</w:t>
            </w:r>
          </w:p>
        </w:tc>
        <w:tc>
          <w:tcPr>
            <w:tcW w:w="1205" w:type="dxa"/>
            <w:tcBorders>
              <w:top w:val="single" w:sz="2" w:space="0" w:color="auto"/>
              <w:left w:val="single" w:sz="2" w:space="0" w:color="auto"/>
              <w:bottom w:val="single" w:sz="2" w:space="0" w:color="auto"/>
              <w:right w:val="single" w:sz="2" w:space="0" w:color="auto"/>
            </w:tcBorders>
            <w:vAlign w:val="center"/>
          </w:tcPr>
          <w:p w14:paraId="2147A048"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3DCA65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52E5928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6F405AA4"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57BD374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巴中龙大肉食品有限公司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10FEC4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100,000,000.00</w:t>
            </w:r>
          </w:p>
        </w:tc>
        <w:tc>
          <w:tcPr>
            <w:tcW w:w="1031" w:type="dxa"/>
            <w:tcBorders>
              <w:top w:val="single" w:sz="2" w:space="0" w:color="auto"/>
              <w:left w:val="single" w:sz="2" w:space="0" w:color="auto"/>
              <w:bottom w:val="single" w:sz="2" w:space="0" w:color="auto"/>
              <w:right w:val="single" w:sz="2" w:space="0" w:color="auto"/>
            </w:tcBorders>
            <w:vAlign w:val="center"/>
          </w:tcPr>
          <w:p w14:paraId="18CF2D2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四川省巴中市</w:t>
            </w:r>
          </w:p>
        </w:tc>
        <w:tc>
          <w:tcPr>
            <w:tcW w:w="1205" w:type="dxa"/>
            <w:tcBorders>
              <w:top w:val="single" w:sz="2" w:space="0" w:color="auto"/>
              <w:left w:val="single" w:sz="2" w:space="0" w:color="auto"/>
              <w:bottom w:val="single" w:sz="2" w:space="0" w:color="auto"/>
              <w:right w:val="single" w:sz="2" w:space="0" w:color="auto"/>
            </w:tcBorders>
            <w:vAlign w:val="center"/>
          </w:tcPr>
          <w:p w14:paraId="5F031EF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四川省巴中市恩阳区柳林镇新居综合体项目</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号地块</w:t>
            </w:r>
            <w:r w:rsidRPr="00F614F9">
              <w:rPr>
                <w:rFonts w:ascii="Times New Roman" w:eastAsia="宋体" w:hAnsi="Times New Roman" w:cs="宋体"/>
                <w:sz w:val="18"/>
                <w:szCs w:val="18"/>
              </w:rPr>
              <w:t>13</w:t>
            </w:r>
            <w:r w:rsidRPr="00F614F9">
              <w:rPr>
                <w:rFonts w:ascii="Times New Roman" w:eastAsia="宋体" w:hAnsi="Times New Roman" w:cs="宋体"/>
                <w:sz w:val="18"/>
                <w:szCs w:val="18"/>
              </w:rPr>
              <w:t>号楼</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单元</w:t>
            </w:r>
            <w:r w:rsidRPr="00F614F9">
              <w:rPr>
                <w:rFonts w:ascii="Times New Roman" w:eastAsia="宋体" w:hAnsi="Times New Roman" w:cs="宋体"/>
                <w:sz w:val="18"/>
                <w:szCs w:val="18"/>
              </w:rPr>
              <w:t>302</w:t>
            </w:r>
          </w:p>
        </w:tc>
        <w:tc>
          <w:tcPr>
            <w:tcW w:w="1205" w:type="dxa"/>
            <w:tcBorders>
              <w:top w:val="single" w:sz="2" w:space="0" w:color="auto"/>
              <w:left w:val="single" w:sz="2" w:space="0" w:color="auto"/>
              <w:bottom w:val="single" w:sz="2" w:space="0" w:color="auto"/>
              <w:right w:val="single" w:sz="2" w:space="0" w:color="auto"/>
            </w:tcBorders>
            <w:vAlign w:val="center"/>
          </w:tcPr>
          <w:p w14:paraId="15C874C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生产、销售食品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4634B7D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6F7E23EC"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5350CF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1961A31A"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12E234C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海南龙大美食有限责任公司</w:t>
            </w:r>
          </w:p>
        </w:tc>
        <w:tc>
          <w:tcPr>
            <w:tcW w:w="1379" w:type="dxa"/>
            <w:tcBorders>
              <w:top w:val="single" w:sz="2" w:space="0" w:color="auto"/>
              <w:left w:val="single" w:sz="2" w:space="0" w:color="auto"/>
              <w:bottom w:val="single" w:sz="2" w:space="0" w:color="auto"/>
              <w:right w:val="single" w:sz="2" w:space="0" w:color="auto"/>
            </w:tcBorders>
            <w:vAlign w:val="center"/>
          </w:tcPr>
          <w:p w14:paraId="0B0F58B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100,000,000.00</w:t>
            </w:r>
          </w:p>
        </w:tc>
        <w:tc>
          <w:tcPr>
            <w:tcW w:w="1031" w:type="dxa"/>
            <w:tcBorders>
              <w:top w:val="single" w:sz="2" w:space="0" w:color="auto"/>
              <w:left w:val="single" w:sz="2" w:space="0" w:color="auto"/>
              <w:bottom w:val="single" w:sz="2" w:space="0" w:color="auto"/>
              <w:right w:val="single" w:sz="2" w:space="0" w:color="auto"/>
            </w:tcBorders>
            <w:vAlign w:val="center"/>
          </w:tcPr>
          <w:p w14:paraId="66CA19B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海南省洋浦经济开发区</w:t>
            </w:r>
          </w:p>
        </w:tc>
        <w:tc>
          <w:tcPr>
            <w:tcW w:w="1205" w:type="dxa"/>
            <w:tcBorders>
              <w:top w:val="single" w:sz="2" w:space="0" w:color="auto"/>
              <w:left w:val="single" w:sz="2" w:space="0" w:color="auto"/>
              <w:bottom w:val="single" w:sz="2" w:space="0" w:color="auto"/>
              <w:right w:val="single" w:sz="2" w:space="0" w:color="auto"/>
            </w:tcBorders>
            <w:vAlign w:val="center"/>
          </w:tcPr>
          <w:p w14:paraId="7249BA7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海南省洋浦经济开发区</w:t>
            </w:r>
            <w:proofErr w:type="gramStart"/>
            <w:r w:rsidRPr="00F614F9">
              <w:rPr>
                <w:rFonts w:ascii="Times New Roman" w:eastAsia="宋体" w:hAnsi="Times New Roman" w:cs="宋体"/>
                <w:sz w:val="18"/>
                <w:szCs w:val="18"/>
              </w:rPr>
              <w:t>新英湾区</w:t>
            </w:r>
            <w:proofErr w:type="gramEnd"/>
            <w:r w:rsidRPr="00F614F9">
              <w:rPr>
                <w:rFonts w:ascii="Times New Roman" w:eastAsia="宋体" w:hAnsi="Times New Roman" w:cs="宋体"/>
                <w:sz w:val="18"/>
                <w:szCs w:val="18"/>
              </w:rPr>
              <w:t>保税港区</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号办公楼</w:t>
            </w:r>
            <w:r w:rsidRPr="00F614F9">
              <w:rPr>
                <w:rFonts w:ascii="Times New Roman" w:eastAsia="宋体" w:hAnsi="Times New Roman" w:cs="宋体"/>
                <w:sz w:val="18"/>
                <w:szCs w:val="18"/>
              </w:rPr>
              <w:t>D608</w:t>
            </w:r>
            <w:r w:rsidRPr="00F614F9">
              <w:rPr>
                <w:rFonts w:ascii="Times New Roman" w:eastAsia="宋体" w:hAnsi="Times New Roman" w:cs="宋体"/>
                <w:sz w:val="18"/>
                <w:szCs w:val="18"/>
              </w:rPr>
              <w:t>室</w:t>
            </w:r>
          </w:p>
        </w:tc>
        <w:tc>
          <w:tcPr>
            <w:tcW w:w="1205" w:type="dxa"/>
            <w:tcBorders>
              <w:top w:val="single" w:sz="2" w:space="0" w:color="auto"/>
              <w:left w:val="single" w:sz="2" w:space="0" w:color="auto"/>
              <w:bottom w:val="single" w:sz="2" w:space="0" w:color="auto"/>
              <w:right w:val="single" w:sz="2" w:space="0" w:color="auto"/>
            </w:tcBorders>
            <w:vAlign w:val="center"/>
          </w:tcPr>
          <w:p w14:paraId="1183C63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生产、销售食品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07581B6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5A1FF5B7"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722494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554C6BA1"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51BAD76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w:t>
            </w:r>
            <w:proofErr w:type="gramStart"/>
            <w:r w:rsidRPr="00F614F9">
              <w:rPr>
                <w:rFonts w:ascii="Times New Roman" w:eastAsia="宋体" w:hAnsi="Times New Roman" w:cs="宋体"/>
                <w:sz w:val="18"/>
                <w:szCs w:val="18"/>
              </w:rPr>
              <w:t>龙鲜生供应</w:t>
            </w:r>
            <w:proofErr w:type="gramEnd"/>
            <w:r w:rsidRPr="00F614F9">
              <w:rPr>
                <w:rFonts w:ascii="Times New Roman" w:eastAsia="宋体" w:hAnsi="Times New Roman" w:cs="宋体"/>
                <w:sz w:val="18"/>
                <w:szCs w:val="18"/>
              </w:rPr>
              <w:t>链管理有限公司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07E6D57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031" w:type="dxa"/>
            <w:tcBorders>
              <w:top w:val="single" w:sz="2" w:space="0" w:color="auto"/>
              <w:left w:val="single" w:sz="2" w:space="0" w:color="auto"/>
              <w:bottom w:val="single" w:sz="2" w:space="0" w:color="auto"/>
              <w:right w:val="single" w:sz="2" w:space="0" w:color="auto"/>
            </w:tcBorders>
            <w:vAlign w:val="center"/>
          </w:tcPr>
          <w:p w14:paraId="3D98663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山东省青岛市</w:t>
            </w:r>
          </w:p>
        </w:tc>
        <w:tc>
          <w:tcPr>
            <w:tcW w:w="1205" w:type="dxa"/>
            <w:tcBorders>
              <w:top w:val="single" w:sz="2" w:space="0" w:color="auto"/>
              <w:left w:val="single" w:sz="2" w:space="0" w:color="auto"/>
              <w:bottom w:val="single" w:sz="2" w:space="0" w:color="auto"/>
              <w:right w:val="single" w:sz="2" w:space="0" w:color="auto"/>
            </w:tcBorders>
            <w:vAlign w:val="center"/>
          </w:tcPr>
          <w:p w14:paraId="1A96FF7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山东省青岛市崂山区</w:t>
            </w:r>
            <w:proofErr w:type="gramStart"/>
            <w:r w:rsidRPr="00F614F9">
              <w:rPr>
                <w:rFonts w:ascii="Times New Roman" w:eastAsia="宋体" w:hAnsi="Times New Roman" w:cs="宋体"/>
                <w:sz w:val="18"/>
                <w:szCs w:val="18"/>
              </w:rPr>
              <w:t>株洲路</w:t>
            </w:r>
            <w:proofErr w:type="gramEnd"/>
            <w:r w:rsidRPr="00F614F9">
              <w:rPr>
                <w:rFonts w:ascii="Times New Roman" w:eastAsia="宋体" w:hAnsi="Times New Roman" w:cs="宋体"/>
                <w:sz w:val="18"/>
                <w:szCs w:val="18"/>
              </w:rPr>
              <w:t>20</w:t>
            </w:r>
            <w:r w:rsidRPr="00F614F9">
              <w:rPr>
                <w:rFonts w:ascii="Times New Roman" w:eastAsia="宋体" w:hAnsi="Times New Roman" w:cs="宋体"/>
                <w:sz w:val="18"/>
                <w:szCs w:val="18"/>
              </w:rPr>
              <w:t>号海</w:t>
            </w:r>
            <w:proofErr w:type="gramStart"/>
            <w:r w:rsidRPr="00F614F9">
              <w:rPr>
                <w:rFonts w:ascii="Times New Roman" w:eastAsia="宋体" w:hAnsi="Times New Roman" w:cs="宋体"/>
                <w:sz w:val="18"/>
                <w:szCs w:val="18"/>
              </w:rPr>
              <w:t>信创智谷</w:t>
            </w:r>
            <w:proofErr w:type="gramEnd"/>
            <w:r w:rsidRPr="00F614F9">
              <w:rPr>
                <w:rFonts w:ascii="Times New Roman" w:eastAsia="宋体" w:hAnsi="Times New Roman" w:cs="宋体"/>
                <w:sz w:val="18"/>
                <w:szCs w:val="18"/>
              </w:rPr>
              <w:t>3</w:t>
            </w:r>
            <w:r w:rsidRPr="00F614F9">
              <w:rPr>
                <w:rFonts w:ascii="Times New Roman" w:eastAsia="宋体" w:hAnsi="Times New Roman" w:cs="宋体"/>
                <w:sz w:val="18"/>
                <w:szCs w:val="18"/>
              </w:rPr>
              <w:t>号楼</w:t>
            </w:r>
            <w:r w:rsidRPr="00F614F9">
              <w:rPr>
                <w:rFonts w:ascii="Times New Roman" w:eastAsia="宋体" w:hAnsi="Times New Roman" w:cs="宋体"/>
                <w:sz w:val="18"/>
                <w:szCs w:val="18"/>
              </w:rPr>
              <w:t>A</w:t>
            </w:r>
            <w:r w:rsidRPr="00F614F9">
              <w:rPr>
                <w:rFonts w:ascii="Times New Roman" w:eastAsia="宋体" w:hAnsi="Times New Roman" w:cs="宋体"/>
                <w:sz w:val="18"/>
                <w:szCs w:val="18"/>
              </w:rPr>
              <w:t>座第</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层</w:t>
            </w:r>
            <w:r w:rsidRPr="00F614F9">
              <w:rPr>
                <w:rFonts w:ascii="Times New Roman" w:eastAsia="宋体" w:hAnsi="Times New Roman" w:cs="宋体"/>
                <w:sz w:val="18"/>
                <w:szCs w:val="18"/>
              </w:rPr>
              <w:t>2502</w:t>
            </w:r>
          </w:p>
        </w:tc>
        <w:tc>
          <w:tcPr>
            <w:tcW w:w="1205" w:type="dxa"/>
            <w:tcBorders>
              <w:top w:val="single" w:sz="2" w:space="0" w:color="auto"/>
              <w:left w:val="single" w:sz="2" w:space="0" w:color="auto"/>
              <w:bottom w:val="single" w:sz="2" w:space="0" w:color="auto"/>
              <w:right w:val="single" w:sz="2" w:space="0" w:color="auto"/>
            </w:tcBorders>
            <w:vAlign w:val="center"/>
          </w:tcPr>
          <w:p w14:paraId="2DD4234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供应链管理服务</w:t>
            </w:r>
          </w:p>
        </w:tc>
        <w:tc>
          <w:tcPr>
            <w:tcW w:w="1205" w:type="dxa"/>
            <w:tcBorders>
              <w:top w:val="single" w:sz="2" w:space="0" w:color="auto"/>
              <w:left w:val="single" w:sz="2" w:space="0" w:color="auto"/>
              <w:bottom w:val="single" w:sz="2" w:space="0" w:color="auto"/>
              <w:right w:val="single" w:sz="2" w:space="0" w:color="auto"/>
            </w:tcBorders>
            <w:vAlign w:val="center"/>
          </w:tcPr>
          <w:p w14:paraId="3E59E52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19B825BE"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88C9C1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3161D994"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6FC9DA7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青岛龙大鲜</w:t>
            </w:r>
            <w:proofErr w:type="gramStart"/>
            <w:r w:rsidRPr="00F614F9">
              <w:rPr>
                <w:rFonts w:ascii="Times New Roman" w:eastAsia="宋体" w:hAnsi="Times New Roman" w:cs="宋体"/>
                <w:sz w:val="18"/>
                <w:szCs w:val="18"/>
              </w:rPr>
              <w:t>生供应</w:t>
            </w:r>
            <w:proofErr w:type="gramEnd"/>
            <w:r w:rsidRPr="00F614F9">
              <w:rPr>
                <w:rFonts w:ascii="Times New Roman" w:eastAsia="宋体" w:hAnsi="Times New Roman" w:cs="宋体"/>
                <w:sz w:val="18"/>
                <w:szCs w:val="18"/>
              </w:rPr>
              <w:t>链有限公司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2DCE5B4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031" w:type="dxa"/>
            <w:tcBorders>
              <w:top w:val="single" w:sz="2" w:space="0" w:color="auto"/>
              <w:left w:val="single" w:sz="2" w:space="0" w:color="auto"/>
              <w:bottom w:val="single" w:sz="2" w:space="0" w:color="auto"/>
              <w:right w:val="single" w:sz="2" w:space="0" w:color="auto"/>
            </w:tcBorders>
            <w:vAlign w:val="center"/>
          </w:tcPr>
          <w:p w14:paraId="608F684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山东省青岛市</w:t>
            </w:r>
          </w:p>
        </w:tc>
        <w:tc>
          <w:tcPr>
            <w:tcW w:w="1205" w:type="dxa"/>
            <w:tcBorders>
              <w:top w:val="single" w:sz="2" w:space="0" w:color="auto"/>
              <w:left w:val="single" w:sz="2" w:space="0" w:color="auto"/>
              <w:bottom w:val="single" w:sz="2" w:space="0" w:color="auto"/>
              <w:right w:val="single" w:sz="2" w:space="0" w:color="auto"/>
            </w:tcBorders>
            <w:vAlign w:val="center"/>
          </w:tcPr>
          <w:p w14:paraId="789FAD2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山东省青岛市李沧区金水路</w:t>
            </w:r>
            <w:r w:rsidRPr="00F614F9">
              <w:rPr>
                <w:rFonts w:ascii="Times New Roman" w:eastAsia="宋体" w:hAnsi="Times New Roman" w:cs="宋体"/>
                <w:sz w:val="18"/>
                <w:szCs w:val="18"/>
              </w:rPr>
              <w:t>670</w:t>
            </w:r>
            <w:r w:rsidRPr="00F614F9">
              <w:rPr>
                <w:rFonts w:ascii="Times New Roman" w:eastAsia="宋体" w:hAnsi="Times New Roman" w:cs="宋体"/>
                <w:sz w:val="18"/>
                <w:szCs w:val="18"/>
              </w:rPr>
              <w:t>号</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号楼</w:t>
            </w:r>
            <w:r w:rsidRPr="00F614F9">
              <w:rPr>
                <w:rFonts w:ascii="Times New Roman" w:eastAsia="宋体" w:hAnsi="Times New Roman" w:cs="宋体"/>
                <w:sz w:val="18"/>
                <w:szCs w:val="18"/>
              </w:rPr>
              <w:t>901</w:t>
            </w:r>
            <w:r w:rsidRPr="00F614F9">
              <w:rPr>
                <w:rFonts w:ascii="Times New Roman" w:eastAsia="宋体" w:hAnsi="Times New Roman" w:cs="宋体"/>
                <w:sz w:val="18"/>
                <w:szCs w:val="18"/>
              </w:rPr>
              <w:t>户</w:t>
            </w:r>
          </w:p>
        </w:tc>
        <w:tc>
          <w:tcPr>
            <w:tcW w:w="1205" w:type="dxa"/>
            <w:tcBorders>
              <w:top w:val="single" w:sz="2" w:space="0" w:color="auto"/>
              <w:left w:val="single" w:sz="2" w:space="0" w:color="auto"/>
              <w:bottom w:val="single" w:sz="2" w:space="0" w:color="auto"/>
              <w:right w:val="single" w:sz="2" w:space="0" w:color="auto"/>
            </w:tcBorders>
            <w:vAlign w:val="center"/>
          </w:tcPr>
          <w:p w14:paraId="20C290B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633613A5"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C9C7B0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60.00%</w:t>
            </w:r>
          </w:p>
        </w:tc>
        <w:tc>
          <w:tcPr>
            <w:tcW w:w="1205" w:type="dxa"/>
            <w:tcBorders>
              <w:top w:val="single" w:sz="2" w:space="0" w:color="auto"/>
              <w:left w:val="single" w:sz="2" w:space="0" w:color="auto"/>
              <w:bottom w:val="single" w:sz="2" w:space="0" w:color="auto"/>
              <w:right w:val="single" w:sz="2" w:space="0" w:color="auto"/>
            </w:tcBorders>
            <w:vAlign w:val="center"/>
          </w:tcPr>
          <w:p w14:paraId="0A27BBF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6D319E35"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11E4D21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成都龙大科技有限公司（原名成都</w:t>
            </w:r>
            <w:proofErr w:type="gramStart"/>
            <w:r w:rsidRPr="00F614F9">
              <w:rPr>
                <w:rFonts w:ascii="Times New Roman" w:eastAsia="宋体" w:hAnsi="Times New Roman" w:cs="宋体"/>
                <w:sz w:val="18"/>
                <w:szCs w:val="18"/>
              </w:rPr>
              <w:t>逸享潮代供应</w:t>
            </w:r>
            <w:proofErr w:type="gramEnd"/>
            <w:r w:rsidRPr="00F614F9">
              <w:rPr>
                <w:rFonts w:ascii="Times New Roman" w:eastAsia="宋体" w:hAnsi="Times New Roman" w:cs="宋体"/>
                <w:sz w:val="18"/>
                <w:szCs w:val="18"/>
              </w:rPr>
              <w:t>链管理有限公司）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125D8A1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100,000,000.00</w:t>
            </w:r>
          </w:p>
        </w:tc>
        <w:tc>
          <w:tcPr>
            <w:tcW w:w="1031" w:type="dxa"/>
            <w:tcBorders>
              <w:top w:val="single" w:sz="2" w:space="0" w:color="auto"/>
              <w:left w:val="single" w:sz="2" w:space="0" w:color="auto"/>
              <w:bottom w:val="single" w:sz="2" w:space="0" w:color="auto"/>
              <w:right w:val="single" w:sz="2" w:space="0" w:color="auto"/>
            </w:tcBorders>
            <w:vAlign w:val="center"/>
          </w:tcPr>
          <w:p w14:paraId="298748E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四川省成都市</w:t>
            </w:r>
          </w:p>
        </w:tc>
        <w:tc>
          <w:tcPr>
            <w:tcW w:w="1205" w:type="dxa"/>
            <w:tcBorders>
              <w:top w:val="single" w:sz="2" w:space="0" w:color="auto"/>
              <w:left w:val="single" w:sz="2" w:space="0" w:color="auto"/>
              <w:bottom w:val="single" w:sz="2" w:space="0" w:color="auto"/>
              <w:right w:val="single" w:sz="2" w:space="0" w:color="auto"/>
            </w:tcBorders>
            <w:vAlign w:val="center"/>
          </w:tcPr>
          <w:p w14:paraId="4603C63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四川省成都市天府新区华阳街道华府大道</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段</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号</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栋</w:t>
            </w:r>
            <w:r w:rsidRPr="00F614F9">
              <w:rPr>
                <w:rFonts w:ascii="Times New Roman" w:eastAsia="宋体" w:hAnsi="Times New Roman" w:cs="宋体"/>
                <w:sz w:val="18"/>
                <w:szCs w:val="18"/>
              </w:rPr>
              <w:t>35</w:t>
            </w:r>
            <w:r w:rsidRPr="00F614F9">
              <w:rPr>
                <w:rFonts w:ascii="Times New Roman" w:eastAsia="宋体" w:hAnsi="Times New Roman" w:cs="宋体"/>
                <w:sz w:val="18"/>
                <w:szCs w:val="18"/>
              </w:rPr>
              <w:t>层</w:t>
            </w:r>
            <w:r w:rsidRPr="00F614F9">
              <w:rPr>
                <w:rFonts w:ascii="Times New Roman" w:eastAsia="宋体" w:hAnsi="Times New Roman" w:cs="宋体"/>
                <w:sz w:val="18"/>
                <w:szCs w:val="18"/>
              </w:rPr>
              <w:t>4</w:t>
            </w:r>
            <w:r w:rsidRPr="00F614F9">
              <w:rPr>
                <w:rFonts w:ascii="Times New Roman" w:eastAsia="宋体" w:hAnsi="Times New Roman" w:cs="宋体"/>
                <w:sz w:val="18"/>
                <w:szCs w:val="18"/>
              </w:rPr>
              <w:t>号</w:t>
            </w:r>
          </w:p>
        </w:tc>
        <w:tc>
          <w:tcPr>
            <w:tcW w:w="1205" w:type="dxa"/>
            <w:tcBorders>
              <w:top w:val="single" w:sz="2" w:space="0" w:color="auto"/>
              <w:left w:val="single" w:sz="2" w:space="0" w:color="auto"/>
              <w:bottom w:val="single" w:sz="2" w:space="0" w:color="auto"/>
              <w:right w:val="single" w:sz="2" w:space="0" w:color="auto"/>
            </w:tcBorders>
            <w:vAlign w:val="center"/>
          </w:tcPr>
          <w:p w14:paraId="19D8FE9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供应链管理服务</w:t>
            </w:r>
          </w:p>
        </w:tc>
        <w:tc>
          <w:tcPr>
            <w:tcW w:w="1205" w:type="dxa"/>
            <w:tcBorders>
              <w:top w:val="single" w:sz="2" w:space="0" w:color="auto"/>
              <w:left w:val="single" w:sz="2" w:space="0" w:color="auto"/>
              <w:bottom w:val="single" w:sz="2" w:space="0" w:color="auto"/>
              <w:right w:val="single" w:sz="2" w:space="0" w:color="auto"/>
            </w:tcBorders>
            <w:vAlign w:val="center"/>
          </w:tcPr>
          <w:p w14:paraId="34AB6D9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2F986DC2"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5B789E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66A17975"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238F41C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北京晓食探科技有限公司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49DC3A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100,000,000.00</w:t>
            </w:r>
          </w:p>
        </w:tc>
        <w:tc>
          <w:tcPr>
            <w:tcW w:w="1031" w:type="dxa"/>
            <w:tcBorders>
              <w:top w:val="single" w:sz="2" w:space="0" w:color="auto"/>
              <w:left w:val="single" w:sz="2" w:space="0" w:color="auto"/>
              <w:bottom w:val="single" w:sz="2" w:space="0" w:color="auto"/>
              <w:right w:val="single" w:sz="2" w:space="0" w:color="auto"/>
            </w:tcBorders>
            <w:vAlign w:val="center"/>
          </w:tcPr>
          <w:p w14:paraId="20C4CE1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北京市朝阳区</w:t>
            </w:r>
          </w:p>
        </w:tc>
        <w:tc>
          <w:tcPr>
            <w:tcW w:w="1205" w:type="dxa"/>
            <w:tcBorders>
              <w:top w:val="single" w:sz="2" w:space="0" w:color="auto"/>
              <w:left w:val="single" w:sz="2" w:space="0" w:color="auto"/>
              <w:bottom w:val="single" w:sz="2" w:space="0" w:color="auto"/>
              <w:right w:val="single" w:sz="2" w:space="0" w:color="auto"/>
            </w:tcBorders>
            <w:vAlign w:val="center"/>
          </w:tcPr>
          <w:p w14:paraId="3922A21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北京市</w:t>
            </w:r>
            <w:proofErr w:type="gramStart"/>
            <w:r w:rsidRPr="00F614F9">
              <w:rPr>
                <w:rFonts w:ascii="Times New Roman" w:eastAsia="宋体" w:hAnsi="Times New Roman" w:cs="宋体"/>
                <w:sz w:val="18"/>
                <w:szCs w:val="18"/>
              </w:rPr>
              <w:t>朝阳区望京东园</w:t>
            </w:r>
            <w:proofErr w:type="gramEnd"/>
            <w:r w:rsidRPr="00F614F9">
              <w:rPr>
                <w:rFonts w:ascii="Times New Roman" w:eastAsia="宋体" w:hAnsi="Times New Roman" w:cs="宋体"/>
                <w:sz w:val="18"/>
                <w:szCs w:val="18"/>
              </w:rPr>
              <w:t>四区</w:t>
            </w:r>
            <w:r w:rsidRPr="00F614F9">
              <w:rPr>
                <w:rFonts w:ascii="Times New Roman" w:eastAsia="宋体" w:hAnsi="Times New Roman" w:cs="宋体"/>
                <w:sz w:val="18"/>
                <w:szCs w:val="18"/>
              </w:rPr>
              <w:t>13</w:t>
            </w:r>
            <w:r w:rsidRPr="00F614F9">
              <w:rPr>
                <w:rFonts w:ascii="Times New Roman" w:eastAsia="宋体" w:hAnsi="Times New Roman" w:cs="宋体"/>
                <w:sz w:val="18"/>
                <w:szCs w:val="18"/>
              </w:rPr>
              <w:t>号楼</w:t>
            </w:r>
            <w:r w:rsidRPr="00F614F9">
              <w:rPr>
                <w:rFonts w:ascii="Times New Roman" w:eastAsia="宋体" w:hAnsi="Times New Roman" w:cs="宋体"/>
                <w:sz w:val="18"/>
                <w:szCs w:val="18"/>
              </w:rPr>
              <w:t>-4</w:t>
            </w:r>
            <w:r w:rsidRPr="00F614F9">
              <w:rPr>
                <w:rFonts w:ascii="Times New Roman" w:eastAsia="宋体" w:hAnsi="Times New Roman" w:cs="宋体"/>
                <w:sz w:val="18"/>
                <w:szCs w:val="18"/>
              </w:rPr>
              <w:t>至</w:t>
            </w:r>
            <w:r w:rsidRPr="00F614F9">
              <w:rPr>
                <w:rFonts w:ascii="Times New Roman" w:eastAsia="宋体" w:hAnsi="Times New Roman" w:cs="宋体"/>
                <w:sz w:val="18"/>
                <w:szCs w:val="18"/>
              </w:rPr>
              <w:t>33</w:t>
            </w:r>
            <w:r w:rsidRPr="00F614F9">
              <w:rPr>
                <w:rFonts w:ascii="Times New Roman" w:eastAsia="宋体" w:hAnsi="Times New Roman" w:cs="宋体"/>
                <w:sz w:val="18"/>
                <w:szCs w:val="18"/>
              </w:rPr>
              <w:t>层</w:t>
            </w:r>
            <w:r w:rsidRPr="00F614F9">
              <w:rPr>
                <w:rFonts w:ascii="Times New Roman" w:eastAsia="宋体" w:hAnsi="Times New Roman" w:cs="宋体"/>
                <w:sz w:val="18"/>
                <w:szCs w:val="18"/>
              </w:rPr>
              <w:t>101</w:t>
            </w:r>
            <w:r w:rsidRPr="00F614F9">
              <w:rPr>
                <w:rFonts w:ascii="Times New Roman" w:eastAsia="宋体" w:hAnsi="Times New Roman" w:cs="宋体"/>
                <w:sz w:val="18"/>
                <w:szCs w:val="18"/>
              </w:rPr>
              <w:t>内</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层</w:t>
            </w:r>
            <w:r w:rsidRPr="00F614F9">
              <w:rPr>
                <w:rFonts w:ascii="Times New Roman" w:eastAsia="宋体" w:hAnsi="Times New Roman" w:cs="宋体"/>
                <w:sz w:val="18"/>
                <w:szCs w:val="18"/>
              </w:rPr>
              <w:t>17B1019</w:t>
            </w:r>
            <w:r w:rsidRPr="00F614F9">
              <w:rPr>
                <w:rFonts w:ascii="Times New Roman" w:eastAsia="宋体" w:hAnsi="Times New Roman" w:cs="宋体"/>
                <w:sz w:val="18"/>
                <w:szCs w:val="18"/>
              </w:rPr>
              <w:t>室</w:t>
            </w:r>
          </w:p>
        </w:tc>
        <w:tc>
          <w:tcPr>
            <w:tcW w:w="1205" w:type="dxa"/>
            <w:tcBorders>
              <w:top w:val="single" w:sz="2" w:space="0" w:color="auto"/>
              <w:left w:val="single" w:sz="2" w:space="0" w:color="auto"/>
              <w:bottom w:val="single" w:sz="2" w:space="0" w:color="auto"/>
              <w:right w:val="single" w:sz="2" w:space="0" w:color="auto"/>
            </w:tcBorders>
            <w:vAlign w:val="center"/>
          </w:tcPr>
          <w:p w14:paraId="00B046F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技术服务、技术开发</w:t>
            </w:r>
          </w:p>
        </w:tc>
        <w:tc>
          <w:tcPr>
            <w:tcW w:w="1205" w:type="dxa"/>
            <w:tcBorders>
              <w:top w:val="single" w:sz="2" w:space="0" w:color="auto"/>
              <w:left w:val="single" w:sz="2" w:space="0" w:color="auto"/>
              <w:bottom w:val="single" w:sz="2" w:space="0" w:color="auto"/>
              <w:right w:val="single" w:sz="2" w:space="0" w:color="auto"/>
            </w:tcBorders>
            <w:vAlign w:val="center"/>
          </w:tcPr>
          <w:p w14:paraId="059FFF1A"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60A3BD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31A6CA0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04EF0813"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5BBD749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潍坊振</w:t>
            </w:r>
            <w:proofErr w:type="gramStart"/>
            <w:r w:rsidRPr="00F614F9">
              <w:rPr>
                <w:rFonts w:ascii="Times New Roman" w:eastAsia="宋体" w:hAnsi="Times New Roman" w:cs="宋体"/>
                <w:sz w:val="18"/>
                <w:szCs w:val="18"/>
              </w:rPr>
              <w:t>祥</w:t>
            </w:r>
            <w:proofErr w:type="gramEnd"/>
            <w:r w:rsidRPr="00F614F9">
              <w:rPr>
                <w:rFonts w:ascii="Times New Roman" w:eastAsia="宋体" w:hAnsi="Times New Roman" w:cs="宋体"/>
                <w:sz w:val="18"/>
                <w:szCs w:val="18"/>
              </w:rPr>
              <w:t>食品销售有限公司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0E2DAA3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w:t>
            </w:r>
          </w:p>
        </w:tc>
        <w:tc>
          <w:tcPr>
            <w:tcW w:w="1031" w:type="dxa"/>
            <w:tcBorders>
              <w:top w:val="single" w:sz="2" w:space="0" w:color="auto"/>
              <w:left w:val="single" w:sz="2" w:space="0" w:color="auto"/>
              <w:bottom w:val="single" w:sz="2" w:space="0" w:color="auto"/>
              <w:right w:val="single" w:sz="2" w:space="0" w:color="auto"/>
            </w:tcBorders>
            <w:vAlign w:val="center"/>
          </w:tcPr>
          <w:p w14:paraId="08E76A5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山东省潍坊市</w:t>
            </w:r>
          </w:p>
        </w:tc>
        <w:tc>
          <w:tcPr>
            <w:tcW w:w="1205" w:type="dxa"/>
            <w:tcBorders>
              <w:top w:val="single" w:sz="2" w:space="0" w:color="auto"/>
              <w:left w:val="single" w:sz="2" w:space="0" w:color="auto"/>
              <w:bottom w:val="single" w:sz="2" w:space="0" w:color="auto"/>
              <w:right w:val="single" w:sz="2" w:space="0" w:color="auto"/>
            </w:tcBorders>
            <w:vAlign w:val="center"/>
          </w:tcPr>
          <w:p w14:paraId="30E6DF6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山东省潍坊市安丘市景芝镇淮安路</w:t>
            </w:r>
            <w:r w:rsidRPr="00F614F9">
              <w:rPr>
                <w:rFonts w:ascii="Times New Roman" w:eastAsia="宋体" w:hAnsi="Times New Roman" w:cs="宋体"/>
                <w:sz w:val="18"/>
                <w:szCs w:val="18"/>
              </w:rPr>
              <w:t>239</w:t>
            </w:r>
            <w:r w:rsidRPr="00F614F9">
              <w:rPr>
                <w:rFonts w:ascii="Times New Roman" w:eastAsia="宋体" w:hAnsi="Times New Roman" w:cs="宋体"/>
                <w:sz w:val="18"/>
                <w:szCs w:val="18"/>
              </w:rPr>
              <w:t>号振</w:t>
            </w:r>
            <w:proofErr w:type="gramStart"/>
            <w:r w:rsidRPr="00F614F9">
              <w:rPr>
                <w:rFonts w:ascii="Times New Roman" w:eastAsia="宋体" w:hAnsi="Times New Roman" w:cs="宋体"/>
                <w:sz w:val="18"/>
                <w:szCs w:val="18"/>
              </w:rPr>
              <w:t>祥</w:t>
            </w:r>
            <w:proofErr w:type="gramEnd"/>
            <w:r w:rsidRPr="00F614F9">
              <w:rPr>
                <w:rFonts w:ascii="Times New Roman" w:eastAsia="宋体" w:hAnsi="Times New Roman" w:cs="宋体"/>
                <w:sz w:val="18"/>
                <w:szCs w:val="18"/>
              </w:rPr>
              <w:t>食品</w:t>
            </w:r>
            <w:proofErr w:type="gramStart"/>
            <w:r w:rsidRPr="00F614F9">
              <w:rPr>
                <w:rFonts w:ascii="Times New Roman" w:eastAsia="宋体" w:hAnsi="Times New Roman" w:cs="宋体"/>
                <w:sz w:val="18"/>
                <w:szCs w:val="18"/>
              </w:rPr>
              <w:t>大门北</w:t>
            </w:r>
            <w:proofErr w:type="gramEnd"/>
            <w:r w:rsidRPr="00F614F9">
              <w:rPr>
                <w:rFonts w:ascii="Times New Roman" w:eastAsia="宋体" w:hAnsi="Times New Roman" w:cs="宋体"/>
                <w:sz w:val="18"/>
                <w:szCs w:val="18"/>
              </w:rPr>
              <w:t>30</w:t>
            </w:r>
            <w:r w:rsidRPr="00F614F9">
              <w:rPr>
                <w:rFonts w:ascii="Times New Roman" w:eastAsia="宋体" w:hAnsi="Times New Roman" w:cs="宋体"/>
                <w:sz w:val="18"/>
                <w:szCs w:val="18"/>
              </w:rPr>
              <w:t>米</w:t>
            </w:r>
          </w:p>
        </w:tc>
        <w:tc>
          <w:tcPr>
            <w:tcW w:w="1205" w:type="dxa"/>
            <w:tcBorders>
              <w:top w:val="single" w:sz="2" w:space="0" w:color="auto"/>
              <w:left w:val="single" w:sz="2" w:space="0" w:color="auto"/>
              <w:bottom w:val="single" w:sz="2" w:space="0" w:color="auto"/>
              <w:right w:val="single" w:sz="2" w:space="0" w:color="auto"/>
            </w:tcBorders>
            <w:vAlign w:val="center"/>
          </w:tcPr>
          <w:p w14:paraId="24151F7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59645EFC"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A9CCC1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70.00%</w:t>
            </w:r>
          </w:p>
        </w:tc>
        <w:tc>
          <w:tcPr>
            <w:tcW w:w="1205" w:type="dxa"/>
            <w:tcBorders>
              <w:top w:val="single" w:sz="2" w:space="0" w:color="auto"/>
              <w:left w:val="single" w:sz="2" w:space="0" w:color="auto"/>
              <w:bottom w:val="single" w:sz="2" w:space="0" w:color="auto"/>
              <w:right w:val="single" w:sz="2" w:space="0" w:color="auto"/>
            </w:tcBorders>
            <w:vAlign w:val="center"/>
          </w:tcPr>
          <w:p w14:paraId="6C4DEFA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2C4A7C12"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61157BD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龙大美食</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北京</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食品科技有限公司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103DF1F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5,000,000.00</w:t>
            </w:r>
          </w:p>
        </w:tc>
        <w:tc>
          <w:tcPr>
            <w:tcW w:w="1031" w:type="dxa"/>
            <w:tcBorders>
              <w:top w:val="single" w:sz="2" w:space="0" w:color="auto"/>
              <w:left w:val="single" w:sz="2" w:space="0" w:color="auto"/>
              <w:bottom w:val="single" w:sz="2" w:space="0" w:color="auto"/>
              <w:right w:val="single" w:sz="2" w:space="0" w:color="auto"/>
            </w:tcBorders>
            <w:vAlign w:val="center"/>
          </w:tcPr>
          <w:p w14:paraId="3378E71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北京市经济技术开发区</w:t>
            </w:r>
          </w:p>
        </w:tc>
        <w:tc>
          <w:tcPr>
            <w:tcW w:w="1205" w:type="dxa"/>
            <w:tcBorders>
              <w:top w:val="single" w:sz="2" w:space="0" w:color="auto"/>
              <w:left w:val="single" w:sz="2" w:space="0" w:color="auto"/>
              <w:bottom w:val="single" w:sz="2" w:space="0" w:color="auto"/>
              <w:right w:val="single" w:sz="2" w:space="0" w:color="auto"/>
            </w:tcBorders>
            <w:vAlign w:val="center"/>
          </w:tcPr>
          <w:p w14:paraId="40469DC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北京市北京经济技术开发区文化园西路</w:t>
            </w:r>
            <w:r w:rsidRPr="00F614F9">
              <w:rPr>
                <w:rFonts w:ascii="Times New Roman" w:eastAsia="宋体" w:hAnsi="Times New Roman" w:cs="宋体"/>
                <w:sz w:val="18"/>
                <w:szCs w:val="18"/>
              </w:rPr>
              <w:t>8</w:t>
            </w:r>
            <w:r w:rsidRPr="00F614F9">
              <w:rPr>
                <w:rFonts w:ascii="Times New Roman" w:eastAsia="宋体" w:hAnsi="Times New Roman" w:cs="宋体"/>
                <w:sz w:val="18"/>
                <w:szCs w:val="18"/>
              </w:rPr>
              <w:t>号院</w:t>
            </w:r>
            <w:r w:rsidRPr="00F614F9">
              <w:rPr>
                <w:rFonts w:ascii="Times New Roman" w:eastAsia="宋体" w:hAnsi="Times New Roman" w:cs="宋体"/>
                <w:sz w:val="18"/>
                <w:szCs w:val="18"/>
              </w:rPr>
              <w:t>41</w:t>
            </w:r>
            <w:r w:rsidRPr="00F614F9">
              <w:rPr>
                <w:rFonts w:ascii="Times New Roman" w:eastAsia="宋体" w:hAnsi="Times New Roman" w:cs="宋体"/>
                <w:sz w:val="18"/>
                <w:szCs w:val="18"/>
              </w:rPr>
              <w:t>号楼</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层</w:t>
            </w:r>
            <w:r w:rsidRPr="00F614F9">
              <w:rPr>
                <w:rFonts w:ascii="Times New Roman" w:eastAsia="宋体" w:hAnsi="Times New Roman" w:cs="宋体"/>
                <w:sz w:val="18"/>
                <w:szCs w:val="18"/>
              </w:rPr>
              <w:t>102</w:t>
            </w:r>
          </w:p>
        </w:tc>
        <w:tc>
          <w:tcPr>
            <w:tcW w:w="1205" w:type="dxa"/>
            <w:tcBorders>
              <w:top w:val="single" w:sz="2" w:space="0" w:color="auto"/>
              <w:left w:val="single" w:sz="2" w:space="0" w:color="auto"/>
              <w:bottom w:val="single" w:sz="2" w:space="0" w:color="auto"/>
              <w:right w:val="single" w:sz="2" w:space="0" w:color="auto"/>
            </w:tcBorders>
            <w:vAlign w:val="center"/>
          </w:tcPr>
          <w:p w14:paraId="701F79C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食品销售</w:t>
            </w:r>
          </w:p>
        </w:tc>
        <w:tc>
          <w:tcPr>
            <w:tcW w:w="1205" w:type="dxa"/>
            <w:tcBorders>
              <w:top w:val="single" w:sz="2" w:space="0" w:color="auto"/>
              <w:left w:val="single" w:sz="2" w:space="0" w:color="auto"/>
              <w:bottom w:val="single" w:sz="2" w:space="0" w:color="auto"/>
              <w:right w:val="single" w:sz="2" w:space="0" w:color="auto"/>
            </w:tcBorders>
            <w:vAlign w:val="center"/>
          </w:tcPr>
          <w:p w14:paraId="02901174"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BFA455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7B41F46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1B41A5D6"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4086983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龙大美食</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上海</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食品科技有限公司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068AD32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5,000,000.00</w:t>
            </w:r>
          </w:p>
        </w:tc>
        <w:tc>
          <w:tcPr>
            <w:tcW w:w="1031" w:type="dxa"/>
            <w:tcBorders>
              <w:top w:val="single" w:sz="2" w:space="0" w:color="auto"/>
              <w:left w:val="single" w:sz="2" w:space="0" w:color="auto"/>
              <w:bottom w:val="single" w:sz="2" w:space="0" w:color="auto"/>
              <w:right w:val="single" w:sz="2" w:space="0" w:color="auto"/>
            </w:tcBorders>
            <w:vAlign w:val="center"/>
          </w:tcPr>
          <w:p w14:paraId="16D3FA4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上海市青浦区</w:t>
            </w:r>
          </w:p>
        </w:tc>
        <w:tc>
          <w:tcPr>
            <w:tcW w:w="1205" w:type="dxa"/>
            <w:tcBorders>
              <w:top w:val="single" w:sz="2" w:space="0" w:color="auto"/>
              <w:left w:val="single" w:sz="2" w:space="0" w:color="auto"/>
              <w:bottom w:val="single" w:sz="2" w:space="0" w:color="auto"/>
              <w:right w:val="single" w:sz="2" w:space="0" w:color="auto"/>
            </w:tcBorders>
            <w:vAlign w:val="center"/>
          </w:tcPr>
          <w:p w14:paraId="5D345D1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上海市青浦区华</w:t>
            </w:r>
            <w:proofErr w:type="gramStart"/>
            <w:r w:rsidRPr="00F614F9">
              <w:rPr>
                <w:rFonts w:ascii="Times New Roman" w:eastAsia="宋体" w:hAnsi="Times New Roman" w:cs="宋体"/>
                <w:sz w:val="18"/>
                <w:szCs w:val="18"/>
              </w:rPr>
              <w:t>新镇新府中路</w:t>
            </w:r>
            <w:proofErr w:type="gramEnd"/>
            <w:r w:rsidRPr="00F614F9">
              <w:rPr>
                <w:rFonts w:ascii="Times New Roman" w:eastAsia="宋体" w:hAnsi="Times New Roman" w:cs="宋体"/>
                <w:sz w:val="18"/>
                <w:szCs w:val="18"/>
              </w:rPr>
              <w:t>1100</w:t>
            </w:r>
            <w:r w:rsidRPr="00F614F9">
              <w:rPr>
                <w:rFonts w:ascii="Times New Roman" w:eastAsia="宋体" w:hAnsi="Times New Roman" w:cs="宋体"/>
                <w:sz w:val="18"/>
                <w:szCs w:val="18"/>
              </w:rPr>
              <w:t>号</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幢</w:t>
            </w:r>
            <w:r w:rsidRPr="00F614F9">
              <w:rPr>
                <w:rFonts w:ascii="Times New Roman" w:eastAsia="宋体" w:hAnsi="Times New Roman" w:cs="宋体"/>
                <w:sz w:val="18"/>
                <w:szCs w:val="18"/>
              </w:rPr>
              <w:t>W003</w:t>
            </w:r>
            <w:r w:rsidRPr="00F614F9">
              <w:rPr>
                <w:rFonts w:ascii="Times New Roman" w:eastAsia="宋体" w:hAnsi="Times New Roman" w:cs="宋体"/>
                <w:sz w:val="18"/>
                <w:szCs w:val="18"/>
              </w:rPr>
              <w:t>号</w:t>
            </w:r>
          </w:p>
        </w:tc>
        <w:tc>
          <w:tcPr>
            <w:tcW w:w="1205" w:type="dxa"/>
            <w:tcBorders>
              <w:top w:val="single" w:sz="2" w:space="0" w:color="auto"/>
              <w:left w:val="single" w:sz="2" w:space="0" w:color="auto"/>
              <w:bottom w:val="single" w:sz="2" w:space="0" w:color="auto"/>
              <w:right w:val="single" w:sz="2" w:space="0" w:color="auto"/>
            </w:tcBorders>
            <w:vAlign w:val="center"/>
          </w:tcPr>
          <w:p w14:paraId="3CE40E2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食品销售</w:t>
            </w:r>
          </w:p>
        </w:tc>
        <w:tc>
          <w:tcPr>
            <w:tcW w:w="1205" w:type="dxa"/>
            <w:tcBorders>
              <w:top w:val="single" w:sz="2" w:space="0" w:color="auto"/>
              <w:left w:val="single" w:sz="2" w:space="0" w:color="auto"/>
              <w:bottom w:val="single" w:sz="2" w:space="0" w:color="auto"/>
              <w:right w:val="single" w:sz="2" w:space="0" w:color="auto"/>
            </w:tcBorders>
            <w:vAlign w:val="center"/>
          </w:tcPr>
          <w:p w14:paraId="13FFBCFF"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502396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5161428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r w:rsidR="001D26E7" w:rsidRPr="00F614F9" w14:paraId="73ADF680" w14:textId="77777777" w:rsidTr="00886EF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4083BB1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龙大美食</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广东</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食品科技有限公司</w:t>
            </w:r>
          </w:p>
        </w:tc>
        <w:tc>
          <w:tcPr>
            <w:tcW w:w="1379" w:type="dxa"/>
            <w:tcBorders>
              <w:top w:val="single" w:sz="2" w:space="0" w:color="auto"/>
              <w:left w:val="single" w:sz="2" w:space="0" w:color="auto"/>
              <w:bottom w:val="single" w:sz="2" w:space="0" w:color="auto"/>
              <w:right w:val="single" w:sz="2" w:space="0" w:color="auto"/>
            </w:tcBorders>
            <w:vAlign w:val="center"/>
          </w:tcPr>
          <w:p w14:paraId="18AD2B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5,000,000.00</w:t>
            </w:r>
          </w:p>
        </w:tc>
        <w:tc>
          <w:tcPr>
            <w:tcW w:w="1031" w:type="dxa"/>
            <w:tcBorders>
              <w:top w:val="single" w:sz="2" w:space="0" w:color="auto"/>
              <w:left w:val="single" w:sz="2" w:space="0" w:color="auto"/>
              <w:bottom w:val="single" w:sz="2" w:space="0" w:color="auto"/>
              <w:right w:val="single" w:sz="2" w:space="0" w:color="auto"/>
            </w:tcBorders>
            <w:vAlign w:val="center"/>
          </w:tcPr>
          <w:p w14:paraId="466ED9B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广东省东莞市</w:t>
            </w:r>
          </w:p>
        </w:tc>
        <w:tc>
          <w:tcPr>
            <w:tcW w:w="1205" w:type="dxa"/>
            <w:tcBorders>
              <w:top w:val="single" w:sz="2" w:space="0" w:color="auto"/>
              <w:left w:val="single" w:sz="2" w:space="0" w:color="auto"/>
              <w:bottom w:val="single" w:sz="2" w:space="0" w:color="auto"/>
              <w:right w:val="single" w:sz="2" w:space="0" w:color="auto"/>
            </w:tcBorders>
            <w:vAlign w:val="center"/>
          </w:tcPr>
          <w:p w14:paraId="25A3E7E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广东省东莞市大朗镇竹山竹园二路二街</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号</w:t>
            </w:r>
            <w:r w:rsidRPr="00F614F9">
              <w:rPr>
                <w:rFonts w:ascii="Times New Roman" w:eastAsia="宋体" w:hAnsi="Times New Roman" w:cs="宋体"/>
                <w:sz w:val="18"/>
                <w:szCs w:val="18"/>
              </w:rPr>
              <w:t>105</w:t>
            </w:r>
            <w:r w:rsidRPr="00F614F9">
              <w:rPr>
                <w:rFonts w:ascii="Times New Roman" w:eastAsia="宋体" w:hAnsi="Times New Roman" w:cs="宋体"/>
                <w:sz w:val="18"/>
                <w:szCs w:val="18"/>
              </w:rPr>
              <w:t>室</w:t>
            </w:r>
          </w:p>
        </w:tc>
        <w:tc>
          <w:tcPr>
            <w:tcW w:w="1205" w:type="dxa"/>
            <w:tcBorders>
              <w:top w:val="single" w:sz="2" w:space="0" w:color="auto"/>
              <w:left w:val="single" w:sz="2" w:space="0" w:color="auto"/>
              <w:bottom w:val="single" w:sz="2" w:space="0" w:color="auto"/>
              <w:right w:val="single" w:sz="2" w:space="0" w:color="auto"/>
            </w:tcBorders>
            <w:vAlign w:val="center"/>
          </w:tcPr>
          <w:p w14:paraId="1C03496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食品销售</w:t>
            </w:r>
          </w:p>
        </w:tc>
        <w:tc>
          <w:tcPr>
            <w:tcW w:w="1205" w:type="dxa"/>
            <w:tcBorders>
              <w:top w:val="single" w:sz="2" w:space="0" w:color="auto"/>
              <w:left w:val="single" w:sz="2" w:space="0" w:color="auto"/>
              <w:bottom w:val="single" w:sz="2" w:space="0" w:color="auto"/>
              <w:right w:val="single" w:sz="2" w:space="0" w:color="auto"/>
            </w:tcBorders>
            <w:vAlign w:val="center"/>
          </w:tcPr>
          <w:p w14:paraId="4523C3C4"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81A1DC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6CF4500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设立</w:t>
            </w:r>
          </w:p>
        </w:tc>
      </w:tr>
    </w:tbl>
    <w:p w14:paraId="73D678E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在子公司的持股比例不同于表决权比例的说明：</w:t>
      </w:r>
    </w:p>
    <w:p w14:paraId="05E9C949" w14:textId="77777777" w:rsidR="00872599" w:rsidRPr="00F614F9" w:rsidRDefault="00000000">
      <w:pPr>
        <w:pStyle w:val="a3"/>
        <w:divId w:val="212927125"/>
        <w:rPr>
          <w:rFonts w:ascii="Times New Roman" w:hAnsi="Times New Roman"/>
          <w:sz w:val="18"/>
          <w:szCs w:val="18"/>
        </w:rPr>
      </w:pPr>
      <w:r w:rsidRPr="00F614F9">
        <w:rPr>
          <w:rFonts w:ascii="Times New Roman" w:hAnsi="Times New Roman" w:hint="eastAsia"/>
          <w:sz w:val="18"/>
          <w:szCs w:val="18"/>
        </w:rPr>
        <w:t>无</w:t>
      </w:r>
    </w:p>
    <w:p w14:paraId="74DB970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持有半数或以下表决权但仍控制被投资单位、以及持有半数以上表决权但不控制被投资单位的依据：</w:t>
      </w:r>
    </w:p>
    <w:p w14:paraId="273D2F59" w14:textId="77777777" w:rsidR="00872599" w:rsidRPr="00F614F9" w:rsidRDefault="00000000">
      <w:pPr>
        <w:pStyle w:val="a3"/>
        <w:divId w:val="38819350"/>
        <w:rPr>
          <w:rFonts w:ascii="Times New Roman" w:hAnsi="Times New Roman"/>
          <w:sz w:val="18"/>
          <w:szCs w:val="18"/>
        </w:rPr>
      </w:pPr>
      <w:r w:rsidRPr="00F614F9">
        <w:rPr>
          <w:rFonts w:ascii="Times New Roman" w:hAnsi="Times New Roman" w:hint="eastAsia"/>
          <w:sz w:val="18"/>
          <w:szCs w:val="18"/>
        </w:rPr>
        <w:t>无</w:t>
      </w:r>
    </w:p>
    <w:p w14:paraId="714E3A7A"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对于纳入合并范围的重要的结构化主体，控制的依据：</w:t>
      </w:r>
    </w:p>
    <w:p w14:paraId="61264FA8" w14:textId="77777777" w:rsidR="00872599" w:rsidRPr="00F614F9" w:rsidRDefault="00000000">
      <w:pPr>
        <w:pStyle w:val="a3"/>
        <w:divId w:val="2084451455"/>
        <w:rPr>
          <w:rFonts w:ascii="Times New Roman" w:hAnsi="Times New Roman"/>
          <w:sz w:val="18"/>
          <w:szCs w:val="18"/>
        </w:rPr>
      </w:pPr>
      <w:r w:rsidRPr="00F614F9">
        <w:rPr>
          <w:rFonts w:ascii="Times New Roman" w:hAnsi="Times New Roman" w:hint="eastAsia"/>
          <w:sz w:val="18"/>
          <w:szCs w:val="18"/>
        </w:rPr>
        <w:t>无</w:t>
      </w:r>
    </w:p>
    <w:p w14:paraId="15CACB4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确定公司是代理人还是委托人的依据：</w:t>
      </w:r>
    </w:p>
    <w:p w14:paraId="1FE453AF" w14:textId="77777777" w:rsidR="00872599" w:rsidRPr="00F614F9" w:rsidRDefault="00000000">
      <w:pPr>
        <w:pStyle w:val="a3"/>
        <w:divId w:val="309942225"/>
        <w:rPr>
          <w:rFonts w:ascii="Times New Roman" w:hAnsi="Times New Roman"/>
          <w:sz w:val="18"/>
          <w:szCs w:val="18"/>
        </w:rPr>
      </w:pPr>
      <w:r w:rsidRPr="00F614F9">
        <w:rPr>
          <w:rFonts w:ascii="Times New Roman" w:hAnsi="Times New Roman" w:hint="eastAsia"/>
          <w:sz w:val="18"/>
          <w:szCs w:val="18"/>
        </w:rPr>
        <w:t>无</w:t>
      </w:r>
    </w:p>
    <w:p w14:paraId="156B169A"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484EC3FF" w14:textId="77777777" w:rsidR="00872599" w:rsidRPr="00F614F9" w:rsidRDefault="00000000">
      <w:pPr>
        <w:pStyle w:val="a3"/>
        <w:divId w:val="1629817306"/>
        <w:rPr>
          <w:rFonts w:ascii="Times New Roman" w:hAnsi="Times New Roman"/>
          <w:sz w:val="18"/>
          <w:szCs w:val="18"/>
        </w:rPr>
      </w:pPr>
      <w:r w:rsidRPr="00F614F9">
        <w:rPr>
          <w:rFonts w:ascii="Times New Roman" w:hAnsi="Times New Roman" w:hint="eastAsia"/>
          <w:sz w:val="18"/>
          <w:szCs w:val="18"/>
        </w:rPr>
        <w:t>无</w:t>
      </w:r>
    </w:p>
    <w:p w14:paraId="10C1F45E"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530" w:name="_Toc989376"/>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2</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重要的非全资子公司</w:t>
      </w:r>
      <w:bookmarkEnd w:id="530"/>
    </w:p>
    <w:p w14:paraId="7BC86EBF"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1D26E7" w:rsidRPr="00F614F9" w14:paraId="4C6FD68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34D82D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子公司名称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FA1F3E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少数股东持股比例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317F2A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本期归属于少数股东的损益</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8C436C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本期向少数股东宣告分派的股利</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A752DE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期末少数股东权益余额</w:t>
            </w:r>
          </w:p>
        </w:tc>
      </w:tr>
      <w:tr w:rsidR="001D26E7" w:rsidRPr="00F614F9" w14:paraId="198FF712"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986F04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河南龙大牧原肉食品有限公司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8BCED2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40.00%</w:t>
            </w:r>
          </w:p>
        </w:tc>
        <w:tc>
          <w:tcPr>
            <w:tcW w:w="1928" w:type="dxa"/>
            <w:tcBorders>
              <w:top w:val="single" w:sz="2" w:space="0" w:color="auto"/>
              <w:left w:val="single" w:sz="2" w:space="0" w:color="auto"/>
              <w:bottom w:val="single" w:sz="2" w:space="0" w:color="auto"/>
              <w:right w:val="single" w:sz="2" w:space="0" w:color="auto"/>
            </w:tcBorders>
            <w:vAlign w:val="center"/>
          </w:tcPr>
          <w:p w14:paraId="12E383E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-10,848,356.60</w:t>
            </w:r>
          </w:p>
        </w:tc>
        <w:tc>
          <w:tcPr>
            <w:tcW w:w="1928" w:type="dxa"/>
            <w:tcBorders>
              <w:top w:val="single" w:sz="2" w:space="0" w:color="auto"/>
              <w:left w:val="single" w:sz="2" w:space="0" w:color="auto"/>
              <w:bottom w:val="single" w:sz="2" w:space="0" w:color="auto"/>
              <w:right w:val="single" w:sz="2" w:space="0" w:color="auto"/>
            </w:tcBorders>
            <w:vAlign w:val="center"/>
          </w:tcPr>
          <w:p w14:paraId="3D491E39"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919459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119,967,017.75</w:t>
            </w:r>
          </w:p>
        </w:tc>
      </w:tr>
      <w:tr w:rsidR="001D26E7" w:rsidRPr="00F614F9" w14:paraId="2EF9E9F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306240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蓬莱富龙肉食品有限公司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DA062F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42.86%</w:t>
            </w:r>
          </w:p>
        </w:tc>
        <w:tc>
          <w:tcPr>
            <w:tcW w:w="1928" w:type="dxa"/>
            <w:tcBorders>
              <w:top w:val="single" w:sz="2" w:space="0" w:color="auto"/>
              <w:left w:val="single" w:sz="2" w:space="0" w:color="auto"/>
              <w:bottom w:val="single" w:sz="2" w:space="0" w:color="auto"/>
              <w:right w:val="single" w:sz="2" w:space="0" w:color="auto"/>
            </w:tcBorders>
            <w:vAlign w:val="center"/>
          </w:tcPr>
          <w:p w14:paraId="6D00F8A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1,325,465.69</w:t>
            </w:r>
          </w:p>
        </w:tc>
        <w:tc>
          <w:tcPr>
            <w:tcW w:w="1928" w:type="dxa"/>
            <w:tcBorders>
              <w:top w:val="single" w:sz="2" w:space="0" w:color="auto"/>
              <w:left w:val="single" w:sz="2" w:space="0" w:color="auto"/>
              <w:bottom w:val="single" w:sz="2" w:space="0" w:color="auto"/>
              <w:right w:val="single" w:sz="2" w:space="0" w:color="auto"/>
            </w:tcBorders>
            <w:vAlign w:val="center"/>
          </w:tcPr>
          <w:p w14:paraId="594F88C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1,680,000.00</w:t>
            </w:r>
          </w:p>
        </w:tc>
        <w:tc>
          <w:tcPr>
            <w:tcW w:w="1928" w:type="dxa"/>
            <w:tcBorders>
              <w:top w:val="single" w:sz="2" w:space="0" w:color="auto"/>
              <w:left w:val="single" w:sz="2" w:space="0" w:color="auto"/>
              <w:bottom w:val="single" w:sz="2" w:space="0" w:color="auto"/>
              <w:right w:val="single" w:sz="2" w:space="0" w:color="auto"/>
            </w:tcBorders>
            <w:vAlign w:val="center"/>
          </w:tcPr>
          <w:p w14:paraId="5B3F85B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19,467,679.46</w:t>
            </w:r>
          </w:p>
        </w:tc>
      </w:tr>
      <w:tr w:rsidR="001D26E7" w:rsidRPr="00F614F9" w14:paraId="5127599E"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49187D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青岛中和盛杰食品有限公司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1E1423A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49.00%</w:t>
            </w:r>
          </w:p>
        </w:tc>
        <w:tc>
          <w:tcPr>
            <w:tcW w:w="1928" w:type="dxa"/>
            <w:tcBorders>
              <w:top w:val="single" w:sz="2" w:space="0" w:color="auto"/>
              <w:left w:val="single" w:sz="2" w:space="0" w:color="auto"/>
              <w:bottom w:val="single" w:sz="2" w:space="0" w:color="auto"/>
              <w:right w:val="single" w:sz="2" w:space="0" w:color="auto"/>
            </w:tcBorders>
            <w:vAlign w:val="center"/>
          </w:tcPr>
          <w:p w14:paraId="05A8CFD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95,082,976.24</w:t>
            </w:r>
          </w:p>
        </w:tc>
        <w:tc>
          <w:tcPr>
            <w:tcW w:w="1928" w:type="dxa"/>
            <w:tcBorders>
              <w:top w:val="single" w:sz="2" w:space="0" w:color="auto"/>
              <w:left w:val="single" w:sz="2" w:space="0" w:color="auto"/>
              <w:bottom w:val="single" w:sz="2" w:space="0" w:color="auto"/>
              <w:right w:val="single" w:sz="2" w:space="0" w:color="auto"/>
            </w:tcBorders>
            <w:vAlign w:val="center"/>
          </w:tcPr>
          <w:p w14:paraId="383AC6A5"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1E389B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-2,858,847.33</w:t>
            </w:r>
          </w:p>
        </w:tc>
      </w:tr>
      <w:tr w:rsidR="001D26E7" w:rsidRPr="00F614F9" w14:paraId="7DBCC510"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DA5F35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潍坊振</w:t>
            </w:r>
            <w:proofErr w:type="gramStart"/>
            <w:r w:rsidRPr="00F614F9">
              <w:rPr>
                <w:rFonts w:ascii="Times New Roman" w:eastAsia="宋体" w:hAnsi="Times New Roman" w:cs="宋体"/>
                <w:sz w:val="18"/>
                <w:szCs w:val="18"/>
              </w:rPr>
              <w:t>祥</w:t>
            </w:r>
            <w:proofErr w:type="gramEnd"/>
            <w:r w:rsidRPr="00F614F9">
              <w:rPr>
                <w:rFonts w:ascii="Times New Roman" w:eastAsia="宋体" w:hAnsi="Times New Roman" w:cs="宋体"/>
                <w:sz w:val="18"/>
                <w:szCs w:val="18"/>
              </w:rPr>
              <w:t>食品有限公司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12743A0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30.00%</w:t>
            </w:r>
          </w:p>
        </w:tc>
        <w:tc>
          <w:tcPr>
            <w:tcW w:w="1928" w:type="dxa"/>
            <w:tcBorders>
              <w:top w:val="single" w:sz="2" w:space="0" w:color="auto"/>
              <w:left w:val="single" w:sz="2" w:space="0" w:color="auto"/>
              <w:bottom w:val="single" w:sz="2" w:space="0" w:color="auto"/>
              <w:right w:val="single" w:sz="2" w:space="0" w:color="auto"/>
            </w:tcBorders>
            <w:vAlign w:val="center"/>
          </w:tcPr>
          <w:p w14:paraId="0FE1E83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-16,024,568.75</w:t>
            </w:r>
          </w:p>
        </w:tc>
        <w:tc>
          <w:tcPr>
            <w:tcW w:w="1928" w:type="dxa"/>
            <w:tcBorders>
              <w:top w:val="single" w:sz="2" w:space="0" w:color="auto"/>
              <w:left w:val="single" w:sz="2" w:space="0" w:color="auto"/>
              <w:bottom w:val="single" w:sz="2" w:space="0" w:color="auto"/>
              <w:right w:val="single" w:sz="2" w:space="0" w:color="auto"/>
            </w:tcBorders>
            <w:vAlign w:val="center"/>
          </w:tcPr>
          <w:p w14:paraId="68976EFC"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48998E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36,339,621.03</w:t>
            </w:r>
          </w:p>
        </w:tc>
      </w:tr>
      <w:tr w:rsidR="001D26E7" w:rsidRPr="00F614F9" w14:paraId="435DA535"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DE0F88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云南福照食品有限公司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AAAA3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49.00%</w:t>
            </w:r>
          </w:p>
        </w:tc>
        <w:tc>
          <w:tcPr>
            <w:tcW w:w="1928" w:type="dxa"/>
            <w:tcBorders>
              <w:top w:val="single" w:sz="2" w:space="0" w:color="auto"/>
              <w:left w:val="single" w:sz="2" w:space="0" w:color="auto"/>
              <w:bottom w:val="single" w:sz="2" w:space="0" w:color="auto"/>
              <w:right w:val="single" w:sz="2" w:space="0" w:color="auto"/>
            </w:tcBorders>
            <w:vAlign w:val="center"/>
          </w:tcPr>
          <w:p w14:paraId="0F5398B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-10,362,484.98</w:t>
            </w:r>
          </w:p>
        </w:tc>
        <w:tc>
          <w:tcPr>
            <w:tcW w:w="1928" w:type="dxa"/>
            <w:tcBorders>
              <w:top w:val="single" w:sz="2" w:space="0" w:color="auto"/>
              <w:left w:val="single" w:sz="2" w:space="0" w:color="auto"/>
              <w:bottom w:val="single" w:sz="2" w:space="0" w:color="auto"/>
              <w:right w:val="single" w:sz="2" w:space="0" w:color="auto"/>
            </w:tcBorders>
            <w:vAlign w:val="center"/>
          </w:tcPr>
          <w:p w14:paraId="1515DCA1"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2BDB88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-3,664,789.16</w:t>
            </w:r>
          </w:p>
        </w:tc>
      </w:tr>
    </w:tbl>
    <w:p w14:paraId="7A97ADA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子公司少数股东的持股比例不同于表决权比例的说明：</w:t>
      </w:r>
    </w:p>
    <w:p w14:paraId="27ED065B" w14:textId="77777777" w:rsidR="00872599" w:rsidRPr="00F614F9" w:rsidRDefault="00000000">
      <w:pPr>
        <w:pStyle w:val="a3"/>
        <w:divId w:val="2010668033"/>
        <w:rPr>
          <w:rFonts w:ascii="Times New Roman" w:hAnsi="Times New Roman"/>
          <w:sz w:val="18"/>
          <w:szCs w:val="18"/>
        </w:rPr>
      </w:pPr>
      <w:r w:rsidRPr="00F614F9">
        <w:rPr>
          <w:rFonts w:ascii="Times New Roman" w:hAnsi="Times New Roman" w:hint="eastAsia"/>
          <w:sz w:val="18"/>
          <w:szCs w:val="18"/>
        </w:rPr>
        <w:t>不适用</w:t>
      </w:r>
    </w:p>
    <w:p w14:paraId="4B19971E"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2FC72D5F" w14:textId="77777777" w:rsidR="00886EFE" w:rsidRPr="00F614F9" w:rsidRDefault="00000000" w:rsidP="00886EFE">
      <w:pPr>
        <w:pStyle w:val="a3"/>
        <w:divId w:val="1628311377"/>
        <w:rPr>
          <w:rFonts w:ascii="Times New Roman" w:hAnsi="Times New Roman"/>
          <w:sz w:val="18"/>
          <w:szCs w:val="18"/>
        </w:rPr>
        <w:sectPr w:rsidR="00886EFE" w:rsidRPr="00F614F9" w:rsidSect="00732DE1">
          <w:pgSz w:w="11905" w:h="16840"/>
          <w:pgMar w:top="1440" w:right="1134" w:bottom="1440" w:left="1134" w:header="850" w:footer="992" w:gutter="0"/>
          <w:cols w:space="720"/>
          <w:docGrid w:type="linesAndChars" w:linePitch="312"/>
        </w:sectPr>
      </w:pPr>
      <w:r w:rsidRPr="00F614F9">
        <w:rPr>
          <w:rFonts w:ascii="Times New Roman" w:hAnsi="Times New Roman" w:hint="eastAsia"/>
          <w:sz w:val="18"/>
          <w:szCs w:val="18"/>
        </w:rPr>
        <w:t>无</w:t>
      </w:r>
    </w:p>
    <w:p w14:paraId="07245654" w14:textId="77777777" w:rsidR="00872599" w:rsidRPr="00F614F9" w:rsidRDefault="00872599" w:rsidP="00886EFE">
      <w:pPr>
        <w:pStyle w:val="a3"/>
        <w:divId w:val="1628311377"/>
        <w:rPr>
          <w:rFonts w:ascii="Times New Roman" w:hAnsi="Times New Roman"/>
          <w:sz w:val="18"/>
          <w:szCs w:val="18"/>
        </w:rPr>
      </w:pPr>
    </w:p>
    <w:p w14:paraId="18108C91"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531" w:name="_Toc989377"/>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3</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重要非全资子公司的主要财务信息</w:t>
      </w:r>
      <w:bookmarkEnd w:id="531"/>
    </w:p>
    <w:p w14:paraId="4DED450E"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13892" w:type="dxa"/>
        <w:tblInd w:w="-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2"/>
        <w:gridCol w:w="1090"/>
        <w:gridCol w:w="1090"/>
        <w:gridCol w:w="1089"/>
        <w:gridCol w:w="1089"/>
        <w:gridCol w:w="1089"/>
        <w:gridCol w:w="1089"/>
        <w:gridCol w:w="1089"/>
        <w:gridCol w:w="1089"/>
        <w:gridCol w:w="1089"/>
        <w:gridCol w:w="1089"/>
        <w:gridCol w:w="1089"/>
        <w:gridCol w:w="1089"/>
      </w:tblGrid>
      <w:tr w:rsidR="001D26E7" w:rsidRPr="00F614F9" w14:paraId="758A5472" w14:textId="77777777" w:rsidTr="00295573">
        <w:trPr>
          <w:trHeight w:val="240"/>
        </w:trPr>
        <w:tc>
          <w:tcPr>
            <w:tcW w:w="85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27F14A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子公司名称</w:t>
            </w:r>
          </w:p>
        </w:tc>
        <w:tc>
          <w:tcPr>
            <w:tcW w:w="1134"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00476FE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1134"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4F9DD89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6706A918" w14:textId="77777777" w:rsidTr="00295573">
        <w:trPr>
          <w:trHeight w:val="240"/>
        </w:trPr>
        <w:tc>
          <w:tcPr>
            <w:tcW w:w="85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6D687DB" w14:textId="77777777" w:rsidR="001D26E7" w:rsidRPr="00F614F9" w:rsidRDefault="001D26E7">
            <w:pPr>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F26D2D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流动资产</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F74879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非流动资产</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4823F9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资产合计</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3CD486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流动负债</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55EC5F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非流动负债</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FDDAA4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负债合计</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5DAA1A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流动资产</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F77D25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非流动资产</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2CE260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资产合计</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996D2F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流动负债</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A28D69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非流动负债</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BBDAF9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负债合计</w:t>
            </w:r>
          </w:p>
        </w:tc>
      </w:tr>
      <w:tr w:rsidR="001D26E7" w:rsidRPr="00F614F9" w14:paraId="1499BA5D" w14:textId="77777777" w:rsidTr="00295573">
        <w:trPr>
          <w:trHeight w:val="240"/>
        </w:trPr>
        <w:tc>
          <w:tcPr>
            <w:tcW w:w="852" w:type="dxa"/>
            <w:tcBorders>
              <w:top w:val="single" w:sz="2" w:space="0" w:color="auto"/>
              <w:left w:val="single" w:sz="2" w:space="0" w:color="auto"/>
              <w:bottom w:val="single" w:sz="2" w:space="0" w:color="auto"/>
              <w:right w:val="single" w:sz="2" w:space="0" w:color="auto"/>
            </w:tcBorders>
            <w:vAlign w:val="center"/>
          </w:tcPr>
          <w:p w14:paraId="0591EB3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青岛中和盛杰食品有限公司</w:t>
            </w:r>
          </w:p>
        </w:tc>
        <w:tc>
          <w:tcPr>
            <w:tcW w:w="1134" w:type="dxa"/>
            <w:tcBorders>
              <w:top w:val="single" w:sz="2" w:space="0" w:color="auto"/>
              <w:left w:val="single" w:sz="2" w:space="0" w:color="auto"/>
              <w:bottom w:val="single" w:sz="2" w:space="0" w:color="auto"/>
              <w:right w:val="single" w:sz="2" w:space="0" w:color="auto"/>
            </w:tcBorders>
            <w:vAlign w:val="center"/>
          </w:tcPr>
          <w:p w14:paraId="49F878B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139,412,419.03</w:t>
            </w:r>
          </w:p>
        </w:tc>
        <w:tc>
          <w:tcPr>
            <w:tcW w:w="1134" w:type="dxa"/>
            <w:tcBorders>
              <w:top w:val="single" w:sz="2" w:space="0" w:color="auto"/>
              <w:left w:val="single" w:sz="2" w:space="0" w:color="auto"/>
              <w:bottom w:val="single" w:sz="2" w:space="0" w:color="auto"/>
              <w:right w:val="single" w:sz="2" w:space="0" w:color="auto"/>
            </w:tcBorders>
            <w:vAlign w:val="center"/>
          </w:tcPr>
          <w:p w14:paraId="5C3CBE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14,834,108.59</w:t>
            </w:r>
          </w:p>
        </w:tc>
        <w:tc>
          <w:tcPr>
            <w:tcW w:w="1134" w:type="dxa"/>
            <w:tcBorders>
              <w:top w:val="single" w:sz="2" w:space="0" w:color="auto"/>
              <w:left w:val="single" w:sz="2" w:space="0" w:color="auto"/>
              <w:bottom w:val="single" w:sz="2" w:space="0" w:color="auto"/>
              <w:right w:val="single" w:sz="2" w:space="0" w:color="auto"/>
            </w:tcBorders>
            <w:vAlign w:val="center"/>
          </w:tcPr>
          <w:p w14:paraId="21653E8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154,246,527.62</w:t>
            </w:r>
          </w:p>
        </w:tc>
        <w:tc>
          <w:tcPr>
            <w:tcW w:w="1134" w:type="dxa"/>
            <w:tcBorders>
              <w:top w:val="single" w:sz="2" w:space="0" w:color="auto"/>
              <w:left w:val="single" w:sz="2" w:space="0" w:color="auto"/>
              <w:bottom w:val="single" w:sz="2" w:space="0" w:color="auto"/>
              <w:right w:val="single" w:sz="2" w:space="0" w:color="auto"/>
            </w:tcBorders>
            <w:vAlign w:val="center"/>
          </w:tcPr>
          <w:p w14:paraId="441C3E1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616,080,909.95</w:t>
            </w:r>
          </w:p>
        </w:tc>
        <w:tc>
          <w:tcPr>
            <w:tcW w:w="1134" w:type="dxa"/>
            <w:tcBorders>
              <w:top w:val="single" w:sz="2" w:space="0" w:color="auto"/>
              <w:left w:val="single" w:sz="2" w:space="0" w:color="auto"/>
              <w:bottom w:val="single" w:sz="2" w:space="0" w:color="auto"/>
              <w:right w:val="single" w:sz="2" w:space="0" w:color="auto"/>
            </w:tcBorders>
            <w:vAlign w:val="center"/>
          </w:tcPr>
          <w:p w14:paraId="0A8801E2" w14:textId="77777777" w:rsidR="001D26E7" w:rsidRPr="00F614F9" w:rsidRDefault="001D26E7">
            <w:pPr>
              <w:spacing w:line="240" w:lineRule="exact"/>
              <w:jc w:val="right"/>
              <w:rPr>
                <w:rFonts w:ascii="Times New Roman" w:eastAsia="宋体" w:hAnsi="Times New Roman"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EBCEDA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616,080,909.95</w:t>
            </w:r>
          </w:p>
        </w:tc>
        <w:tc>
          <w:tcPr>
            <w:tcW w:w="1134" w:type="dxa"/>
            <w:tcBorders>
              <w:top w:val="single" w:sz="2" w:space="0" w:color="auto"/>
              <w:left w:val="single" w:sz="2" w:space="0" w:color="auto"/>
              <w:bottom w:val="single" w:sz="2" w:space="0" w:color="auto"/>
              <w:right w:val="single" w:sz="2" w:space="0" w:color="auto"/>
            </w:tcBorders>
            <w:vAlign w:val="center"/>
          </w:tcPr>
          <w:p w14:paraId="50F6F6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911,724,641.50</w:t>
            </w:r>
          </w:p>
        </w:tc>
        <w:tc>
          <w:tcPr>
            <w:tcW w:w="1134" w:type="dxa"/>
            <w:tcBorders>
              <w:top w:val="single" w:sz="2" w:space="0" w:color="auto"/>
              <w:left w:val="single" w:sz="2" w:space="0" w:color="auto"/>
              <w:bottom w:val="single" w:sz="2" w:space="0" w:color="auto"/>
              <w:right w:val="single" w:sz="2" w:space="0" w:color="auto"/>
            </w:tcBorders>
            <w:vAlign w:val="center"/>
          </w:tcPr>
          <w:p w14:paraId="2D6E2C6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34,487,379.98</w:t>
            </w:r>
          </w:p>
        </w:tc>
        <w:tc>
          <w:tcPr>
            <w:tcW w:w="1134" w:type="dxa"/>
            <w:tcBorders>
              <w:top w:val="single" w:sz="2" w:space="0" w:color="auto"/>
              <w:left w:val="single" w:sz="2" w:space="0" w:color="auto"/>
              <w:bottom w:val="single" w:sz="2" w:space="0" w:color="auto"/>
              <w:right w:val="single" w:sz="2" w:space="0" w:color="auto"/>
            </w:tcBorders>
            <w:vAlign w:val="center"/>
          </w:tcPr>
          <w:p w14:paraId="76A9C20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946,212,021.48</w:t>
            </w:r>
          </w:p>
        </w:tc>
        <w:tc>
          <w:tcPr>
            <w:tcW w:w="1134" w:type="dxa"/>
            <w:tcBorders>
              <w:top w:val="single" w:sz="2" w:space="0" w:color="auto"/>
              <w:left w:val="single" w:sz="2" w:space="0" w:color="auto"/>
              <w:bottom w:val="single" w:sz="2" w:space="0" w:color="auto"/>
              <w:right w:val="single" w:sz="2" w:space="0" w:color="auto"/>
            </w:tcBorders>
            <w:vAlign w:val="center"/>
          </w:tcPr>
          <w:p w14:paraId="6986891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1,146,093,294.08</w:t>
            </w:r>
          </w:p>
        </w:tc>
        <w:tc>
          <w:tcPr>
            <w:tcW w:w="1134" w:type="dxa"/>
            <w:tcBorders>
              <w:top w:val="single" w:sz="2" w:space="0" w:color="auto"/>
              <w:left w:val="single" w:sz="2" w:space="0" w:color="auto"/>
              <w:bottom w:val="single" w:sz="2" w:space="0" w:color="auto"/>
              <w:right w:val="single" w:sz="2" w:space="0" w:color="auto"/>
            </w:tcBorders>
            <w:vAlign w:val="center"/>
          </w:tcPr>
          <w:p w14:paraId="694661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4C0C72B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1,146,093,294.08</w:t>
            </w:r>
          </w:p>
        </w:tc>
      </w:tr>
      <w:tr w:rsidR="001D26E7" w:rsidRPr="00F614F9" w14:paraId="30D5171B" w14:textId="77777777" w:rsidTr="00295573">
        <w:trPr>
          <w:trHeight w:val="240"/>
        </w:trPr>
        <w:tc>
          <w:tcPr>
            <w:tcW w:w="852" w:type="dxa"/>
            <w:tcBorders>
              <w:top w:val="single" w:sz="2" w:space="0" w:color="auto"/>
              <w:left w:val="single" w:sz="2" w:space="0" w:color="auto"/>
              <w:bottom w:val="single" w:sz="2" w:space="0" w:color="auto"/>
              <w:right w:val="single" w:sz="2" w:space="0" w:color="auto"/>
            </w:tcBorders>
            <w:vAlign w:val="center"/>
          </w:tcPr>
          <w:p w14:paraId="688F3A2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河南龙大牧原肉食品有限公司</w:t>
            </w:r>
          </w:p>
        </w:tc>
        <w:tc>
          <w:tcPr>
            <w:tcW w:w="1134" w:type="dxa"/>
            <w:tcBorders>
              <w:top w:val="single" w:sz="2" w:space="0" w:color="auto"/>
              <w:left w:val="single" w:sz="2" w:space="0" w:color="auto"/>
              <w:bottom w:val="single" w:sz="2" w:space="0" w:color="auto"/>
              <w:right w:val="single" w:sz="2" w:space="0" w:color="auto"/>
            </w:tcBorders>
            <w:vAlign w:val="center"/>
          </w:tcPr>
          <w:p w14:paraId="59B5F49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434,157,947.28</w:t>
            </w:r>
          </w:p>
        </w:tc>
        <w:tc>
          <w:tcPr>
            <w:tcW w:w="1134" w:type="dxa"/>
            <w:tcBorders>
              <w:top w:val="single" w:sz="2" w:space="0" w:color="auto"/>
              <w:left w:val="single" w:sz="2" w:space="0" w:color="auto"/>
              <w:bottom w:val="single" w:sz="2" w:space="0" w:color="auto"/>
              <w:right w:val="single" w:sz="2" w:space="0" w:color="auto"/>
            </w:tcBorders>
            <w:vAlign w:val="center"/>
          </w:tcPr>
          <w:p w14:paraId="3475B86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195,307,692.38</w:t>
            </w:r>
          </w:p>
        </w:tc>
        <w:tc>
          <w:tcPr>
            <w:tcW w:w="1134" w:type="dxa"/>
            <w:tcBorders>
              <w:top w:val="single" w:sz="2" w:space="0" w:color="auto"/>
              <w:left w:val="single" w:sz="2" w:space="0" w:color="auto"/>
              <w:bottom w:val="single" w:sz="2" w:space="0" w:color="auto"/>
              <w:right w:val="single" w:sz="2" w:space="0" w:color="auto"/>
            </w:tcBorders>
            <w:vAlign w:val="center"/>
          </w:tcPr>
          <w:p w14:paraId="232EFB1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629,465,639.66</w:t>
            </w:r>
          </w:p>
        </w:tc>
        <w:tc>
          <w:tcPr>
            <w:tcW w:w="1134" w:type="dxa"/>
            <w:tcBorders>
              <w:top w:val="single" w:sz="2" w:space="0" w:color="auto"/>
              <w:left w:val="single" w:sz="2" w:space="0" w:color="auto"/>
              <w:bottom w:val="single" w:sz="2" w:space="0" w:color="auto"/>
              <w:right w:val="single" w:sz="2" w:space="0" w:color="auto"/>
            </w:tcBorders>
            <w:vAlign w:val="center"/>
          </w:tcPr>
          <w:p w14:paraId="5C636E6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327,665,367.87</w:t>
            </w:r>
          </w:p>
        </w:tc>
        <w:tc>
          <w:tcPr>
            <w:tcW w:w="1134" w:type="dxa"/>
            <w:tcBorders>
              <w:top w:val="single" w:sz="2" w:space="0" w:color="auto"/>
              <w:left w:val="single" w:sz="2" w:space="0" w:color="auto"/>
              <w:bottom w:val="single" w:sz="2" w:space="0" w:color="auto"/>
              <w:right w:val="single" w:sz="2" w:space="0" w:color="auto"/>
            </w:tcBorders>
            <w:vAlign w:val="center"/>
          </w:tcPr>
          <w:p w14:paraId="6D8E74F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1,515,026.33</w:t>
            </w:r>
          </w:p>
        </w:tc>
        <w:tc>
          <w:tcPr>
            <w:tcW w:w="1134" w:type="dxa"/>
            <w:tcBorders>
              <w:top w:val="single" w:sz="2" w:space="0" w:color="auto"/>
              <w:left w:val="single" w:sz="2" w:space="0" w:color="auto"/>
              <w:bottom w:val="single" w:sz="2" w:space="0" w:color="auto"/>
              <w:right w:val="single" w:sz="2" w:space="0" w:color="auto"/>
            </w:tcBorders>
            <w:vAlign w:val="center"/>
          </w:tcPr>
          <w:p w14:paraId="0D2975D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329,180,394.20</w:t>
            </w:r>
          </w:p>
        </w:tc>
        <w:tc>
          <w:tcPr>
            <w:tcW w:w="1134" w:type="dxa"/>
            <w:tcBorders>
              <w:top w:val="single" w:sz="2" w:space="0" w:color="auto"/>
              <w:left w:val="single" w:sz="2" w:space="0" w:color="auto"/>
              <w:bottom w:val="single" w:sz="2" w:space="0" w:color="auto"/>
              <w:right w:val="single" w:sz="2" w:space="0" w:color="auto"/>
            </w:tcBorders>
            <w:vAlign w:val="center"/>
          </w:tcPr>
          <w:p w14:paraId="0A9A21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361,145,745.89</w:t>
            </w:r>
          </w:p>
        </w:tc>
        <w:tc>
          <w:tcPr>
            <w:tcW w:w="1134" w:type="dxa"/>
            <w:tcBorders>
              <w:top w:val="single" w:sz="2" w:space="0" w:color="auto"/>
              <w:left w:val="single" w:sz="2" w:space="0" w:color="auto"/>
              <w:bottom w:val="single" w:sz="2" w:space="0" w:color="auto"/>
              <w:right w:val="single" w:sz="2" w:space="0" w:color="auto"/>
            </w:tcBorders>
            <w:vAlign w:val="center"/>
          </w:tcPr>
          <w:p w14:paraId="55F2E42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188,235,843.04</w:t>
            </w:r>
          </w:p>
        </w:tc>
        <w:tc>
          <w:tcPr>
            <w:tcW w:w="1134" w:type="dxa"/>
            <w:tcBorders>
              <w:top w:val="single" w:sz="2" w:space="0" w:color="auto"/>
              <w:left w:val="single" w:sz="2" w:space="0" w:color="auto"/>
              <w:bottom w:val="single" w:sz="2" w:space="0" w:color="auto"/>
              <w:right w:val="single" w:sz="2" w:space="0" w:color="auto"/>
            </w:tcBorders>
            <w:vAlign w:val="center"/>
          </w:tcPr>
          <w:p w14:paraId="6227DD1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549,381,588.93</w:t>
            </w:r>
          </w:p>
        </w:tc>
        <w:tc>
          <w:tcPr>
            <w:tcW w:w="1134" w:type="dxa"/>
            <w:tcBorders>
              <w:top w:val="single" w:sz="2" w:space="0" w:color="auto"/>
              <w:left w:val="single" w:sz="2" w:space="0" w:color="auto"/>
              <w:bottom w:val="single" w:sz="2" w:space="0" w:color="auto"/>
              <w:right w:val="single" w:sz="2" w:space="0" w:color="auto"/>
            </w:tcBorders>
            <w:vAlign w:val="center"/>
          </w:tcPr>
          <w:p w14:paraId="2E58F62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218,850,522.64</w:t>
            </w:r>
          </w:p>
        </w:tc>
        <w:tc>
          <w:tcPr>
            <w:tcW w:w="1134" w:type="dxa"/>
            <w:tcBorders>
              <w:top w:val="single" w:sz="2" w:space="0" w:color="auto"/>
              <w:left w:val="single" w:sz="2" w:space="0" w:color="auto"/>
              <w:bottom w:val="single" w:sz="2" w:space="0" w:color="auto"/>
              <w:right w:val="single" w:sz="2" w:space="0" w:color="auto"/>
            </w:tcBorders>
            <w:vAlign w:val="center"/>
          </w:tcPr>
          <w:p w14:paraId="25E6E36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2,355,712.34</w:t>
            </w:r>
          </w:p>
        </w:tc>
        <w:tc>
          <w:tcPr>
            <w:tcW w:w="1134" w:type="dxa"/>
            <w:tcBorders>
              <w:top w:val="single" w:sz="2" w:space="0" w:color="auto"/>
              <w:left w:val="single" w:sz="2" w:space="0" w:color="auto"/>
              <w:bottom w:val="single" w:sz="2" w:space="0" w:color="auto"/>
              <w:right w:val="single" w:sz="2" w:space="0" w:color="auto"/>
            </w:tcBorders>
            <w:vAlign w:val="center"/>
          </w:tcPr>
          <w:p w14:paraId="25AE754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221,206,234.98</w:t>
            </w:r>
          </w:p>
        </w:tc>
      </w:tr>
      <w:tr w:rsidR="001D26E7" w:rsidRPr="00F614F9" w14:paraId="1444DE47" w14:textId="77777777" w:rsidTr="00295573">
        <w:trPr>
          <w:trHeight w:val="240"/>
        </w:trPr>
        <w:tc>
          <w:tcPr>
            <w:tcW w:w="852" w:type="dxa"/>
            <w:tcBorders>
              <w:top w:val="single" w:sz="2" w:space="0" w:color="auto"/>
              <w:left w:val="single" w:sz="2" w:space="0" w:color="auto"/>
              <w:bottom w:val="single" w:sz="2" w:space="0" w:color="auto"/>
              <w:right w:val="single" w:sz="2" w:space="0" w:color="auto"/>
            </w:tcBorders>
            <w:vAlign w:val="center"/>
          </w:tcPr>
          <w:p w14:paraId="79E42E2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潍坊振</w:t>
            </w:r>
            <w:proofErr w:type="gramStart"/>
            <w:r w:rsidRPr="00F614F9">
              <w:rPr>
                <w:rFonts w:ascii="Times New Roman" w:eastAsia="宋体" w:hAnsi="Times New Roman" w:cs="宋体"/>
                <w:sz w:val="18"/>
                <w:szCs w:val="18"/>
              </w:rPr>
              <w:t>祥</w:t>
            </w:r>
            <w:proofErr w:type="gramEnd"/>
            <w:r w:rsidRPr="00F614F9">
              <w:rPr>
                <w:rFonts w:ascii="Times New Roman" w:eastAsia="宋体" w:hAnsi="Times New Roman" w:cs="宋体"/>
                <w:sz w:val="18"/>
                <w:szCs w:val="18"/>
              </w:rPr>
              <w:t>食品有限公司</w:t>
            </w:r>
          </w:p>
        </w:tc>
        <w:tc>
          <w:tcPr>
            <w:tcW w:w="1134" w:type="dxa"/>
            <w:tcBorders>
              <w:top w:val="single" w:sz="2" w:space="0" w:color="auto"/>
              <w:left w:val="single" w:sz="2" w:space="0" w:color="auto"/>
              <w:bottom w:val="single" w:sz="2" w:space="0" w:color="auto"/>
              <w:right w:val="single" w:sz="2" w:space="0" w:color="auto"/>
            </w:tcBorders>
            <w:vAlign w:val="center"/>
          </w:tcPr>
          <w:p w14:paraId="41CAF1EC" w14:textId="77777777" w:rsidR="001D26E7" w:rsidRPr="00F614F9" w:rsidRDefault="00B77F5F">
            <w:pPr>
              <w:spacing w:line="240" w:lineRule="exact"/>
              <w:jc w:val="right"/>
              <w:rPr>
                <w:rFonts w:ascii="Times New Roman" w:eastAsia="宋体" w:hAnsi="Times New Roman" w:cs="宋体"/>
                <w:sz w:val="18"/>
                <w:szCs w:val="18"/>
              </w:rPr>
            </w:pPr>
            <w:r w:rsidRPr="00B77F5F">
              <w:rPr>
                <w:rFonts w:ascii="Times New Roman" w:eastAsia="宋体" w:hAnsi="Times New Roman" w:cs="宋体"/>
                <w:sz w:val="18"/>
                <w:szCs w:val="18"/>
              </w:rPr>
              <w:t>322,602,550.60</w:t>
            </w:r>
          </w:p>
        </w:tc>
        <w:tc>
          <w:tcPr>
            <w:tcW w:w="1134" w:type="dxa"/>
            <w:tcBorders>
              <w:top w:val="single" w:sz="2" w:space="0" w:color="auto"/>
              <w:left w:val="single" w:sz="2" w:space="0" w:color="auto"/>
              <w:bottom w:val="single" w:sz="2" w:space="0" w:color="auto"/>
              <w:right w:val="single" w:sz="2" w:space="0" w:color="auto"/>
            </w:tcBorders>
            <w:vAlign w:val="center"/>
          </w:tcPr>
          <w:p w14:paraId="21AFB24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285,870,160.93</w:t>
            </w:r>
          </w:p>
        </w:tc>
        <w:tc>
          <w:tcPr>
            <w:tcW w:w="1134" w:type="dxa"/>
            <w:tcBorders>
              <w:top w:val="single" w:sz="2" w:space="0" w:color="auto"/>
              <w:left w:val="single" w:sz="2" w:space="0" w:color="auto"/>
              <w:bottom w:val="single" w:sz="2" w:space="0" w:color="auto"/>
              <w:right w:val="single" w:sz="2" w:space="0" w:color="auto"/>
            </w:tcBorders>
            <w:vAlign w:val="center"/>
          </w:tcPr>
          <w:p w14:paraId="6C57ACA1" w14:textId="77777777" w:rsidR="001D26E7" w:rsidRPr="00F614F9" w:rsidRDefault="00B77F5F">
            <w:pPr>
              <w:spacing w:line="240" w:lineRule="exact"/>
              <w:jc w:val="right"/>
              <w:rPr>
                <w:rFonts w:ascii="Times New Roman" w:eastAsia="宋体" w:hAnsi="Times New Roman" w:cs="宋体"/>
                <w:sz w:val="18"/>
                <w:szCs w:val="18"/>
              </w:rPr>
            </w:pPr>
            <w:r w:rsidRPr="00B77F5F">
              <w:rPr>
                <w:rFonts w:ascii="Times New Roman" w:eastAsia="宋体" w:hAnsi="Times New Roman" w:cs="宋体"/>
                <w:sz w:val="18"/>
                <w:szCs w:val="18"/>
              </w:rPr>
              <w:t>608,472,711.53</w:t>
            </w:r>
          </w:p>
        </w:tc>
        <w:tc>
          <w:tcPr>
            <w:tcW w:w="1134" w:type="dxa"/>
            <w:tcBorders>
              <w:top w:val="single" w:sz="2" w:space="0" w:color="auto"/>
              <w:left w:val="single" w:sz="2" w:space="0" w:color="auto"/>
              <w:bottom w:val="single" w:sz="2" w:space="0" w:color="auto"/>
              <w:right w:val="single" w:sz="2" w:space="0" w:color="auto"/>
            </w:tcBorders>
            <w:vAlign w:val="center"/>
          </w:tcPr>
          <w:p w14:paraId="7A867DF7" w14:textId="77777777" w:rsidR="001D26E7" w:rsidRPr="00F614F9" w:rsidRDefault="00B77F5F">
            <w:pPr>
              <w:spacing w:line="240" w:lineRule="exact"/>
              <w:jc w:val="right"/>
              <w:rPr>
                <w:rFonts w:ascii="Times New Roman" w:eastAsia="宋体" w:hAnsi="Times New Roman" w:cs="宋体"/>
                <w:sz w:val="18"/>
                <w:szCs w:val="18"/>
              </w:rPr>
            </w:pPr>
            <w:r w:rsidRPr="00B77F5F">
              <w:rPr>
                <w:rFonts w:ascii="Times New Roman" w:eastAsia="宋体" w:hAnsi="Times New Roman" w:cs="宋体"/>
                <w:sz w:val="18"/>
                <w:szCs w:val="18"/>
              </w:rPr>
              <w:t>450,293,798.72</w:t>
            </w:r>
          </w:p>
        </w:tc>
        <w:tc>
          <w:tcPr>
            <w:tcW w:w="1134" w:type="dxa"/>
            <w:tcBorders>
              <w:top w:val="single" w:sz="2" w:space="0" w:color="auto"/>
              <w:left w:val="single" w:sz="2" w:space="0" w:color="auto"/>
              <w:bottom w:val="single" w:sz="2" w:space="0" w:color="auto"/>
              <w:right w:val="single" w:sz="2" w:space="0" w:color="auto"/>
            </w:tcBorders>
            <w:vAlign w:val="center"/>
          </w:tcPr>
          <w:p w14:paraId="149B791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37,018,783.67</w:t>
            </w:r>
          </w:p>
        </w:tc>
        <w:tc>
          <w:tcPr>
            <w:tcW w:w="1134" w:type="dxa"/>
            <w:tcBorders>
              <w:top w:val="single" w:sz="2" w:space="0" w:color="auto"/>
              <w:left w:val="single" w:sz="2" w:space="0" w:color="auto"/>
              <w:bottom w:val="single" w:sz="2" w:space="0" w:color="auto"/>
              <w:right w:val="single" w:sz="2" w:space="0" w:color="auto"/>
            </w:tcBorders>
            <w:vAlign w:val="center"/>
          </w:tcPr>
          <w:p w14:paraId="2B80899F" w14:textId="77777777" w:rsidR="001D26E7" w:rsidRPr="00F614F9" w:rsidRDefault="00B77F5F">
            <w:pPr>
              <w:spacing w:line="240" w:lineRule="exact"/>
              <w:jc w:val="right"/>
              <w:rPr>
                <w:rFonts w:ascii="Times New Roman" w:eastAsia="宋体" w:hAnsi="Times New Roman" w:cs="宋体"/>
                <w:sz w:val="18"/>
                <w:szCs w:val="18"/>
              </w:rPr>
            </w:pPr>
            <w:r w:rsidRPr="00B77F5F">
              <w:rPr>
                <w:rFonts w:ascii="Times New Roman" w:eastAsia="宋体" w:hAnsi="Times New Roman" w:cs="宋体"/>
                <w:sz w:val="18"/>
                <w:szCs w:val="18"/>
              </w:rPr>
              <w:t>487,312,582.39</w:t>
            </w:r>
          </w:p>
        </w:tc>
        <w:tc>
          <w:tcPr>
            <w:tcW w:w="1134" w:type="dxa"/>
            <w:tcBorders>
              <w:top w:val="single" w:sz="2" w:space="0" w:color="auto"/>
              <w:left w:val="single" w:sz="2" w:space="0" w:color="auto"/>
              <w:bottom w:val="single" w:sz="2" w:space="0" w:color="auto"/>
              <w:right w:val="single" w:sz="2" w:space="0" w:color="auto"/>
            </w:tcBorders>
            <w:vAlign w:val="center"/>
          </w:tcPr>
          <w:p w14:paraId="7D2C69A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198,938,095.93</w:t>
            </w:r>
          </w:p>
        </w:tc>
        <w:tc>
          <w:tcPr>
            <w:tcW w:w="1134" w:type="dxa"/>
            <w:tcBorders>
              <w:top w:val="single" w:sz="2" w:space="0" w:color="auto"/>
              <w:left w:val="single" w:sz="2" w:space="0" w:color="auto"/>
              <w:bottom w:val="single" w:sz="2" w:space="0" w:color="auto"/>
              <w:right w:val="single" w:sz="2" w:space="0" w:color="auto"/>
            </w:tcBorders>
            <w:vAlign w:val="center"/>
          </w:tcPr>
          <w:p w14:paraId="2BDF3F0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299,438,076.62</w:t>
            </w:r>
          </w:p>
        </w:tc>
        <w:tc>
          <w:tcPr>
            <w:tcW w:w="1134" w:type="dxa"/>
            <w:tcBorders>
              <w:top w:val="single" w:sz="2" w:space="0" w:color="auto"/>
              <w:left w:val="single" w:sz="2" w:space="0" w:color="auto"/>
              <w:bottom w:val="single" w:sz="2" w:space="0" w:color="auto"/>
              <w:right w:val="single" w:sz="2" w:space="0" w:color="auto"/>
            </w:tcBorders>
            <w:vAlign w:val="center"/>
          </w:tcPr>
          <w:p w14:paraId="2E8100E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498,376,172.55</w:t>
            </w:r>
          </w:p>
        </w:tc>
        <w:tc>
          <w:tcPr>
            <w:tcW w:w="1134" w:type="dxa"/>
            <w:tcBorders>
              <w:top w:val="single" w:sz="2" w:space="0" w:color="auto"/>
              <w:left w:val="single" w:sz="2" w:space="0" w:color="auto"/>
              <w:bottom w:val="single" w:sz="2" w:space="0" w:color="auto"/>
              <w:right w:val="single" w:sz="2" w:space="0" w:color="auto"/>
            </w:tcBorders>
            <w:vAlign w:val="center"/>
          </w:tcPr>
          <w:p w14:paraId="260B605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322,424,640.94</w:t>
            </w:r>
          </w:p>
        </w:tc>
        <w:tc>
          <w:tcPr>
            <w:tcW w:w="1134" w:type="dxa"/>
            <w:tcBorders>
              <w:top w:val="single" w:sz="2" w:space="0" w:color="auto"/>
              <w:left w:val="single" w:sz="2" w:space="0" w:color="auto"/>
              <w:bottom w:val="single" w:sz="2" w:space="0" w:color="auto"/>
              <w:right w:val="single" w:sz="2" w:space="0" w:color="auto"/>
            </w:tcBorders>
            <w:vAlign w:val="center"/>
          </w:tcPr>
          <w:p w14:paraId="1D7C21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1,404,146.91</w:t>
            </w:r>
          </w:p>
        </w:tc>
        <w:tc>
          <w:tcPr>
            <w:tcW w:w="1134" w:type="dxa"/>
            <w:tcBorders>
              <w:top w:val="single" w:sz="2" w:space="0" w:color="auto"/>
              <w:left w:val="single" w:sz="2" w:space="0" w:color="auto"/>
              <w:bottom w:val="single" w:sz="2" w:space="0" w:color="auto"/>
              <w:right w:val="single" w:sz="2" w:space="0" w:color="auto"/>
            </w:tcBorders>
            <w:vAlign w:val="center"/>
          </w:tcPr>
          <w:p w14:paraId="3E1A5BE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323,828,787.85</w:t>
            </w:r>
          </w:p>
        </w:tc>
      </w:tr>
      <w:tr w:rsidR="001D26E7" w:rsidRPr="00F614F9" w14:paraId="33E841C5" w14:textId="77777777" w:rsidTr="00295573">
        <w:trPr>
          <w:trHeight w:val="240"/>
        </w:trPr>
        <w:tc>
          <w:tcPr>
            <w:tcW w:w="852" w:type="dxa"/>
            <w:tcBorders>
              <w:top w:val="single" w:sz="2" w:space="0" w:color="auto"/>
              <w:left w:val="single" w:sz="2" w:space="0" w:color="auto"/>
              <w:bottom w:val="single" w:sz="2" w:space="0" w:color="auto"/>
              <w:right w:val="single" w:sz="2" w:space="0" w:color="auto"/>
            </w:tcBorders>
            <w:vAlign w:val="center"/>
          </w:tcPr>
          <w:p w14:paraId="310FFB1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蓬莱富龙肉食品有限公司</w:t>
            </w:r>
          </w:p>
        </w:tc>
        <w:tc>
          <w:tcPr>
            <w:tcW w:w="1134" w:type="dxa"/>
            <w:tcBorders>
              <w:top w:val="single" w:sz="2" w:space="0" w:color="auto"/>
              <w:left w:val="single" w:sz="2" w:space="0" w:color="auto"/>
              <w:bottom w:val="single" w:sz="2" w:space="0" w:color="auto"/>
              <w:right w:val="single" w:sz="2" w:space="0" w:color="auto"/>
            </w:tcBorders>
            <w:vAlign w:val="center"/>
          </w:tcPr>
          <w:p w14:paraId="4D20B57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52,085,677.63</w:t>
            </w:r>
          </w:p>
        </w:tc>
        <w:tc>
          <w:tcPr>
            <w:tcW w:w="1134" w:type="dxa"/>
            <w:tcBorders>
              <w:top w:val="single" w:sz="2" w:space="0" w:color="auto"/>
              <w:left w:val="single" w:sz="2" w:space="0" w:color="auto"/>
              <w:bottom w:val="single" w:sz="2" w:space="0" w:color="auto"/>
              <w:right w:val="single" w:sz="2" w:space="0" w:color="auto"/>
            </w:tcBorders>
            <w:vAlign w:val="center"/>
          </w:tcPr>
          <w:p w14:paraId="7ADF5A3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38,329,082.63</w:t>
            </w:r>
          </w:p>
        </w:tc>
        <w:tc>
          <w:tcPr>
            <w:tcW w:w="1134" w:type="dxa"/>
            <w:tcBorders>
              <w:top w:val="single" w:sz="2" w:space="0" w:color="auto"/>
              <w:left w:val="single" w:sz="2" w:space="0" w:color="auto"/>
              <w:bottom w:val="single" w:sz="2" w:space="0" w:color="auto"/>
              <w:right w:val="single" w:sz="2" w:space="0" w:color="auto"/>
            </w:tcBorders>
            <w:vAlign w:val="center"/>
          </w:tcPr>
          <w:p w14:paraId="6595001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90,414,760.26</w:t>
            </w:r>
          </w:p>
        </w:tc>
        <w:tc>
          <w:tcPr>
            <w:tcW w:w="1134" w:type="dxa"/>
            <w:tcBorders>
              <w:top w:val="single" w:sz="2" w:space="0" w:color="auto"/>
              <w:left w:val="single" w:sz="2" w:space="0" w:color="auto"/>
              <w:bottom w:val="single" w:sz="2" w:space="0" w:color="auto"/>
              <w:right w:val="single" w:sz="2" w:space="0" w:color="auto"/>
            </w:tcBorders>
            <w:vAlign w:val="center"/>
          </w:tcPr>
          <w:p w14:paraId="203071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44,990,174.84</w:t>
            </w:r>
          </w:p>
        </w:tc>
        <w:tc>
          <w:tcPr>
            <w:tcW w:w="1134" w:type="dxa"/>
            <w:tcBorders>
              <w:top w:val="single" w:sz="2" w:space="0" w:color="auto"/>
              <w:left w:val="single" w:sz="2" w:space="0" w:color="auto"/>
              <w:bottom w:val="single" w:sz="2" w:space="0" w:color="auto"/>
              <w:right w:val="single" w:sz="2" w:space="0" w:color="auto"/>
            </w:tcBorders>
            <w:vAlign w:val="center"/>
          </w:tcPr>
          <w:p w14:paraId="7D7B657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01F0796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44,990,174.84</w:t>
            </w:r>
          </w:p>
        </w:tc>
        <w:tc>
          <w:tcPr>
            <w:tcW w:w="1134" w:type="dxa"/>
            <w:tcBorders>
              <w:top w:val="single" w:sz="2" w:space="0" w:color="auto"/>
              <w:left w:val="single" w:sz="2" w:space="0" w:color="auto"/>
              <w:bottom w:val="single" w:sz="2" w:space="0" w:color="auto"/>
              <w:right w:val="single" w:sz="2" w:space="0" w:color="auto"/>
            </w:tcBorders>
            <w:vAlign w:val="center"/>
          </w:tcPr>
          <w:p w14:paraId="016DF89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53,067,977.15</w:t>
            </w:r>
          </w:p>
        </w:tc>
        <w:tc>
          <w:tcPr>
            <w:tcW w:w="1134" w:type="dxa"/>
            <w:tcBorders>
              <w:top w:val="single" w:sz="2" w:space="0" w:color="auto"/>
              <w:left w:val="single" w:sz="2" w:space="0" w:color="auto"/>
              <w:bottom w:val="single" w:sz="2" w:space="0" w:color="auto"/>
              <w:right w:val="single" w:sz="2" w:space="0" w:color="auto"/>
            </w:tcBorders>
            <w:vAlign w:val="center"/>
          </w:tcPr>
          <w:p w14:paraId="72E5F3E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36,314,882.05</w:t>
            </w:r>
          </w:p>
        </w:tc>
        <w:tc>
          <w:tcPr>
            <w:tcW w:w="1134" w:type="dxa"/>
            <w:tcBorders>
              <w:top w:val="single" w:sz="2" w:space="0" w:color="auto"/>
              <w:left w:val="single" w:sz="2" w:space="0" w:color="auto"/>
              <w:bottom w:val="single" w:sz="2" w:space="0" w:color="auto"/>
              <w:right w:val="single" w:sz="2" w:space="0" w:color="auto"/>
            </w:tcBorders>
            <w:vAlign w:val="center"/>
          </w:tcPr>
          <w:p w14:paraId="7ACB915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89,382,859.20</w:t>
            </w:r>
          </w:p>
        </w:tc>
        <w:tc>
          <w:tcPr>
            <w:tcW w:w="1134" w:type="dxa"/>
            <w:tcBorders>
              <w:top w:val="single" w:sz="2" w:space="0" w:color="auto"/>
              <w:left w:val="single" w:sz="2" w:space="0" w:color="auto"/>
              <w:bottom w:val="single" w:sz="2" w:space="0" w:color="auto"/>
              <w:right w:val="single" w:sz="2" w:space="0" w:color="auto"/>
            </w:tcBorders>
            <w:vAlign w:val="center"/>
          </w:tcPr>
          <w:p w14:paraId="6E94E53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43,131,027.06</w:t>
            </w:r>
          </w:p>
        </w:tc>
        <w:tc>
          <w:tcPr>
            <w:tcW w:w="1134" w:type="dxa"/>
            <w:tcBorders>
              <w:top w:val="single" w:sz="2" w:space="0" w:color="auto"/>
              <w:left w:val="single" w:sz="2" w:space="0" w:color="auto"/>
              <w:bottom w:val="single" w:sz="2" w:space="0" w:color="auto"/>
              <w:right w:val="single" w:sz="2" w:space="0" w:color="auto"/>
            </w:tcBorders>
            <w:vAlign w:val="center"/>
          </w:tcPr>
          <w:p w14:paraId="612A6AFC" w14:textId="77777777" w:rsidR="001D26E7" w:rsidRPr="00F614F9" w:rsidRDefault="001D26E7">
            <w:pPr>
              <w:spacing w:line="240" w:lineRule="exact"/>
              <w:jc w:val="right"/>
              <w:rPr>
                <w:rFonts w:ascii="Times New Roman" w:eastAsia="宋体" w:hAnsi="Times New Roman"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357371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43,131,027.06</w:t>
            </w:r>
          </w:p>
        </w:tc>
      </w:tr>
      <w:tr w:rsidR="001D26E7" w:rsidRPr="00F614F9" w14:paraId="2F0A5D60" w14:textId="77777777" w:rsidTr="00295573">
        <w:trPr>
          <w:trHeight w:val="240"/>
        </w:trPr>
        <w:tc>
          <w:tcPr>
            <w:tcW w:w="852" w:type="dxa"/>
            <w:tcBorders>
              <w:top w:val="single" w:sz="2" w:space="0" w:color="auto"/>
              <w:left w:val="single" w:sz="2" w:space="0" w:color="auto"/>
              <w:bottom w:val="single" w:sz="2" w:space="0" w:color="auto"/>
              <w:right w:val="single" w:sz="2" w:space="0" w:color="auto"/>
            </w:tcBorders>
            <w:vAlign w:val="center"/>
          </w:tcPr>
          <w:p w14:paraId="702FFE0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 </w:t>
            </w:r>
            <w:r w:rsidRPr="00F614F9">
              <w:rPr>
                <w:rFonts w:ascii="Times New Roman" w:eastAsia="宋体" w:hAnsi="Times New Roman" w:cs="宋体"/>
                <w:sz w:val="18"/>
                <w:szCs w:val="18"/>
              </w:rPr>
              <w:t>云南福照食品有限公司</w:t>
            </w:r>
          </w:p>
        </w:tc>
        <w:tc>
          <w:tcPr>
            <w:tcW w:w="1134" w:type="dxa"/>
            <w:tcBorders>
              <w:top w:val="single" w:sz="2" w:space="0" w:color="auto"/>
              <w:left w:val="single" w:sz="2" w:space="0" w:color="auto"/>
              <w:bottom w:val="single" w:sz="2" w:space="0" w:color="auto"/>
              <w:right w:val="single" w:sz="2" w:space="0" w:color="auto"/>
            </w:tcBorders>
            <w:vAlign w:val="center"/>
          </w:tcPr>
          <w:p w14:paraId="7C32309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10,000,734.43</w:t>
            </w:r>
          </w:p>
        </w:tc>
        <w:tc>
          <w:tcPr>
            <w:tcW w:w="1134" w:type="dxa"/>
            <w:tcBorders>
              <w:top w:val="single" w:sz="2" w:space="0" w:color="auto"/>
              <w:left w:val="single" w:sz="2" w:space="0" w:color="auto"/>
              <w:bottom w:val="single" w:sz="2" w:space="0" w:color="auto"/>
              <w:right w:val="single" w:sz="2" w:space="0" w:color="auto"/>
            </w:tcBorders>
            <w:vAlign w:val="center"/>
          </w:tcPr>
          <w:p w14:paraId="2C7F9C2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1,285,754.28</w:t>
            </w:r>
          </w:p>
        </w:tc>
        <w:tc>
          <w:tcPr>
            <w:tcW w:w="1134" w:type="dxa"/>
            <w:tcBorders>
              <w:top w:val="single" w:sz="2" w:space="0" w:color="auto"/>
              <w:left w:val="single" w:sz="2" w:space="0" w:color="auto"/>
              <w:bottom w:val="single" w:sz="2" w:space="0" w:color="auto"/>
              <w:right w:val="single" w:sz="2" w:space="0" w:color="auto"/>
            </w:tcBorders>
            <w:vAlign w:val="center"/>
          </w:tcPr>
          <w:p w14:paraId="36954E2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11,286,488.71</w:t>
            </w:r>
          </w:p>
        </w:tc>
        <w:tc>
          <w:tcPr>
            <w:tcW w:w="1134" w:type="dxa"/>
            <w:tcBorders>
              <w:top w:val="single" w:sz="2" w:space="0" w:color="auto"/>
              <w:left w:val="single" w:sz="2" w:space="0" w:color="auto"/>
              <w:bottom w:val="single" w:sz="2" w:space="0" w:color="auto"/>
              <w:right w:val="single" w:sz="2" w:space="0" w:color="auto"/>
            </w:tcBorders>
            <w:vAlign w:val="center"/>
          </w:tcPr>
          <w:p w14:paraId="18E4999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116,575,650.27</w:t>
            </w:r>
          </w:p>
        </w:tc>
        <w:tc>
          <w:tcPr>
            <w:tcW w:w="1134" w:type="dxa"/>
            <w:tcBorders>
              <w:top w:val="single" w:sz="2" w:space="0" w:color="auto"/>
              <w:left w:val="single" w:sz="2" w:space="0" w:color="auto"/>
              <w:bottom w:val="single" w:sz="2" w:space="0" w:color="auto"/>
              <w:right w:val="single" w:sz="2" w:space="0" w:color="auto"/>
            </w:tcBorders>
            <w:vAlign w:val="center"/>
          </w:tcPr>
          <w:p w14:paraId="14E52B1F" w14:textId="77777777" w:rsidR="001D26E7" w:rsidRPr="00F614F9" w:rsidRDefault="001D26E7">
            <w:pPr>
              <w:spacing w:line="240" w:lineRule="exact"/>
              <w:jc w:val="right"/>
              <w:rPr>
                <w:rFonts w:ascii="Times New Roman" w:eastAsia="宋体" w:hAnsi="Times New Roman"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6B4020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116,575,650.27</w:t>
            </w:r>
          </w:p>
        </w:tc>
        <w:tc>
          <w:tcPr>
            <w:tcW w:w="1134" w:type="dxa"/>
            <w:tcBorders>
              <w:top w:val="single" w:sz="2" w:space="0" w:color="auto"/>
              <w:left w:val="single" w:sz="2" w:space="0" w:color="auto"/>
              <w:bottom w:val="single" w:sz="2" w:space="0" w:color="auto"/>
              <w:right w:val="single" w:sz="2" w:space="0" w:color="auto"/>
            </w:tcBorders>
            <w:vAlign w:val="center"/>
          </w:tcPr>
          <w:p w14:paraId="32BDAD9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127,666,002.09</w:t>
            </w:r>
          </w:p>
        </w:tc>
        <w:tc>
          <w:tcPr>
            <w:tcW w:w="1134" w:type="dxa"/>
            <w:tcBorders>
              <w:top w:val="single" w:sz="2" w:space="0" w:color="auto"/>
              <w:left w:val="single" w:sz="2" w:space="0" w:color="auto"/>
              <w:bottom w:val="single" w:sz="2" w:space="0" w:color="auto"/>
              <w:right w:val="single" w:sz="2" w:space="0" w:color="auto"/>
            </w:tcBorders>
            <w:vAlign w:val="center"/>
          </w:tcPr>
          <w:p w14:paraId="31BA444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3,366,245.18</w:t>
            </w:r>
          </w:p>
        </w:tc>
        <w:tc>
          <w:tcPr>
            <w:tcW w:w="1134" w:type="dxa"/>
            <w:tcBorders>
              <w:top w:val="single" w:sz="2" w:space="0" w:color="auto"/>
              <w:left w:val="single" w:sz="2" w:space="0" w:color="auto"/>
              <w:bottom w:val="single" w:sz="2" w:space="0" w:color="auto"/>
              <w:right w:val="single" w:sz="2" w:space="0" w:color="auto"/>
            </w:tcBorders>
            <w:vAlign w:val="center"/>
          </w:tcPr>
          <w:p w14:paraId="51DAA61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131,032,247.27</w:t>
            </w:r>
          </w:p>
        </w:tc>
        <w:tc>
          <w:tcPr>
            <w:tcW w:w="1134" w:type="dxa"/>
            <w:tcBorders>
              <w:top w:val="single" w:sz="2" w:space="0" w:color="auto"/>
              <w:left w:val="single" w:sz="2" w:space="0" w:color="auto"/>
              <w:bottom w:val="single" w:sz="2" w:space="0" w:color="auto"/>
              <w:right w:val="single" w:sz="2" w:space="0" w:color="auto"/>
            </w:tcBorders>
            <w:vAlign w:val="center"/>
          </w:tcPr>
          <w:p w14:paraId="4C21DC8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117,363,480.29</w:t>
            </w:r>
          </w:p>
        </w:tc>
        <w:tc>
          <w:tcPr>
            <w:tcW w:w="1134" w:type="dxa"/>
            <w:tcBorders>
              <w:top w:val="single" w:sz="2" w:space="0" w:color="auto"/>
              <w:left w:val="single" w:sz="2" w:space="0" w:color="auto"/>
              <w:bottom w:val="single" w:sz="2" w:space="0" w:color="auto"/>
              <w:right w:val="single" w:sz="2" w:space="0" w:color="auto"/>
            </w:tcBorders>
            <w:vAlign w:val="center"/>
          </w:tcPr>
          <w:p w14:paraId="4A16E929" w14:textId="77777777" w:rsidR="001D26E7" w:rsidRPr="00F614F9" w:rsidRDefault="001D26E7">
            <w:pPr>
              <w:spacing w:line="240" w:lineRule="exact"/>
              <w:jc w:val="right"/>
              <w:rPr>
                <w:rFonts w:ascii="Times New Roman" w:eastAsia="宋体" w:hAnsi="Times New Roman"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BFB9ED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117,363,480.29</w:t>
            </w:r>
          </w:p>
        </w:tc>
      </w:tr>
    </w:tbl>
    <w:p w14:paraId="3BAD04AA"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51"/>
        <w:gridCol w:w="1551"/>
        <w:gridCol w:w="1551"/>
        <w:gridCol w:w="1552"/>
        <w:gridCol w:w="1552"/>
        <w:gridCol w:w="1552"/>
        <w:gridCol w:w="1552"/>
        <w:gridCol w:w="1552"/>
        <w:gridCol w:w="1541"/>
      </w:tblGrid>
      <w:tr w:rsidR="001D26E7" w:rsidRPr="00F614F9" w14:paraId="5379B2CE" w14:textId="77777777" w:rsidTr="00295573">
        <w:trPr>
          <w:trHeight w:val="240"/>
        </w:trPr>
        <w:tc>
          <w:tcPr>
            <w:tcW w:w="556"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798D0F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子公司名称</w:t>
            </w:r>
          </w:p>
        </w:tc>
        <w:tc>
          <w:tcPr>
            <w:tcW w:w="2222" w:type="pct"/>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3C955A1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2222" w:type="pct"/>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48ADED6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61C66966" w14:textId="77777777" w:rsidTr="00295573">
        <w:trPr>
          <w:trHeight w:val="240"/>
        </w:trPr>
        <w:tc>
          <w:tcPr>
            <w:tcW w:w="556"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7ECD649F" w14:textId="77777777" w:rsidR="001D26E7" w:rsidRPr="00F614F9" w:rsidRDefault="001D26E7">
            <w:pPr>
              <w:rPr>
                <w:rFonts w:ascii="Times New Roman" w:hAnsi="Times New Roman"/>
              </w:rPr>
            </w:pPr>
          </w:p>
        </w:tc>
        <w:tc>
          <w:tcPr>
            <w:tcW w:w="556" w:type="pct"/>
            <w:tcBorders>
              <w:top w:val="single" w:sz="2" w:space="0" w:color="auto"/>
              <w:left w:val="single" w:sz="2" w:space="0" w:color="auto"/>
              <w:bottom w:val="single" w:sz="2" w:space="0" w:color="auto"/>
              <w:right w:val="single" w:sz="2" w:space="0" w:color="auto"/>
            </w:tcBorders>
            <w:shd w:val="clear" w:color="auto" w:fill="D3D3D3"/>
            <w:vAlign w:val="center"/>
          </w:tcPr>
          <w:p w14:paraId="289A152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营业收入</w:t>
            </w:r>
          </w:p>
        </w:tc>
        <w:tc>
          <w:tcPr>
            <w:tcW w:w="556" w:type="pct"/>
            <w:tcBorders>
              <w:top w:val="single" w:sz="2" w:space="0" w:color="auto"/>
              <w:left w:val="single" w:sz="2" w:space="0" w:color="auto"/>
              <w:bottom w:val="single" w:sz="2" w:space="0" w:color="auto"/>
              <w:right w:val="single" w:sz="2" w:space="0" w:color="auto"/>
            </w:tcBorders>
            <w:shd w:val="clear" w:color="auto" w:fill="D3D3D3"/>
            <w:vAlign w:val="center"/>
          </w:tcPr>
          <w:p w14:paraId="3A2A80D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净利润</w:t>
            </w:r>
          </w:p>
        </w:tc>
        <w:tc>
          <w:tcPr>
            <w:tcW w:w="556" w:type="pct"/>
            <w:tcBorders>
              <w:top w:val="single" w:sz="2" w:space="0" w:color="auto"/>
              <w:left w:val="single" w:sz="2" w:space="0" w:color="auto"/>
              <w:bottom w:val="single" w:sz="2" w:space="0" w:color="auto"/>
              <w:right w:val="single" w:sz="2" w:space="0" w:color="auto"/>
            </w:tcBorders>
            <w:shd w:val="clear" w:color="auto" w:fill="D3D3D3"/>
            <w:vAlign w:val="center"/>
          </w:tcPr>
          <w:p w14:paraId="0B9E764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综合收益总额</w:t>
            </w:r>
          </w:p>
        </w:tc>
        <w:tc>
          <w:tcPr>
            <w:tcW w:w="556" w:type="pct"/>
            <w:tcBorders>
              <w:top w:val="single" w:sz="2" w:space="0" w:color="auto"/>
              <w:left w:val="single" w:sz="2" w:space="0" w:color="auto"/>
              <w:bottom w:val="single" w:sz="2" w:space="0" w:color="auto"/>
              <w:right w:val="single" w:sz="2" w:space="0" w:color="auto"/>
            </w:tcBorders>
            <w:shd w:val="clear" w:color="auto" w:fill="D3D3D3"/>
            <w:vAlign w:val="center"/>
          </w:tcPr>
          <w:p w14:paraId="592B588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经营活动现金流量</w:t>
            </w:r>
          </w:p>
        </w:tc>
        <w:tc>
          <w:tcPr>
            <w:tcW w:w="556" w:type="pct"/>
            <w:tcBorders>
              <w:top w:val="single" w:sz="2" w:space="0" w:color="auto"/>
              <w:left w:val="single" w:sz="2" w:space="0" w:color="auto"/>
              <w:bottom w:val="single" w:sz="2" w:space="0" w:color="auto"/>
              <w:right w:val="single" w:sz="2" w:space="0" w:color="auto"/>
            </w:tcBorders>
            <w:shd w:val="clear" w:color="auto" w:fill="D3D3D3"/>
            <w:vAlign w:val="center"/>
          </w:tcPr>
          <w:p w14:paraId="6EF026B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营业收入</w:t>
            </w:r>
          </w:p>
        </w:tc>
        <w:tc>
          <w:tcPr>
            <w:tcW w:w="556" w:type="pct"/>
            <w:tcBorders>
              <w:top w:val="single" w:sz="2" w:space="0" w:color="auto"/>
              <w:left w:val="single" w:sz="2" w:space="0" w:color="auto"/>
              <w:bottom w:val="single" w:sz="2" w:space="0" w:color="auto"/>
              <w:right w:val="single" w:sz="2" w:space="0" w:color="auto"/>
            </w:tcBorders>
            <w:shd w:val="clear" w:color="auto" w:fill="D3D3D3"/>
            <w:vAlign w:val="center"/>
          </w:tcPr>
          <w:p w14:paraId="0E0ABF2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净利润</w:t>
            </w:r>
          </w:p>
        </w:tc>
        <w:tc>
          <w:tcPr>
            <w:tcW w:w="556" w:type="pct"/>
            <w:tcBorders>
              <w:top w:val="single" w:sz="2" w:space="0" w:color="auto"/>
              <w:left w:val="single" w:sz="2" w:space="0" w:color="auto"/>
              <w:bottom w:val="single" w:sz="2" w:space="0" w:color="auto"/>
              <w:right w:val="single" w:sz="2" w:space="0" w:color="auto"/>
            </w:tcBorders>
            <w:shd w:val="clear" w:color="auto" w:fill="D3D3D3"/>
            <w:vAlign w:val="center"/>
          </w:tcPr>
          <w:p w14:paraId="4D5438A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综合收益总额</w:t>
            </w:r>
          </w:p>
        </w:tc>
        <w:tc>
          <w:tcPr>
            <w:tcW w:w="556" w:type="pct"/>
            <w:tcBorders>
              <w:top w:val="single" w:sz="2" w:space="0" w:color="auto"/>
              <w:left w:val="single" w:sz="2" w:space="0" w:color="auto"/>
              <w:bottom w:val="single" w:sz="2" w:space="0" w:color="auto"/>
              <w:right w:val="single" w:sz="2" w:space="0" w:color="auto"/>
            </w:tcBorders>
            <w:shd w:val="clear" w:color="auto" w:fill="D3D3D3"/>
            <w:vAlign w:val="center"/>
          </w:tcPr>
          <w:p w14:paraId="330F01D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经营活动现金流量</w:t>
            </w:r>
          </w:p>
        </w:tc>
      </w:tr>
      <w:tr w:rsidR="001D26E7" w:rsidRPr="00F614F9" w14:paraId="5B2EC7A3" w14:textId="77777777" w:rsidTr="00295573">
        <w:trPr>
          <w:trHeight w:val="240"/>
        </w:trPr>
        <w:tc>
          <w:tcPr>
            <w:tcW w:w="556" w:type="pct"/>
            <w:tcBorders>
              <w:top w:val="single" w:sz="2" w:space="0" w:color="auto"/>
              <w:left w:val="single" w:sz="2" w:space="0" w:color="auto"/>
              <w:bottom w:val="single" w:sz="2" w:space="0" w:color="auto"/>
              <w:right w:val="single" w:sz="2" w:space="0" w:color="auto"/>
            </w:tcBorders>
            <w:vAlign w:val="center"/>
          </w:tcPr>
          <w:p w14:paraId="13C6552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青岛中和盛杰食品有限公司</w:t>
            </w:r>
          </w:p>
        </w:tc>
        <w:tc>
          <w:tcPr>
            <w:tcW w:w="556" w:type="pct"/>
            <w:tcBorders>
              <w:top w:val="single" w:sz="2" w:space="0" w:color="auto"/>
              <w:left w:val="single" w:sz="2" w:space="0" w:color="auto"/>
              <w:bottom w:val="single" w:sz="2" w:space="0" w:color="auto"/>
              <w:right w:val="single" w:sz="2" w:space="0" w:color="auto"/>
            </w:tcBorders>
            <w:vAlign w:val="center"/>
          </w:tcPr>
          <w:p w14:paraId="3ABDB6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1,123,042,054.04</w:t>
            </w:r>
          </w:p>
        </w:tc>
        <w:tc>
          <w:tcPr>
            <w:tcW w:w="556" w:type="pct"/>
            <w:tcBorders>
              <w:top w:val="single" w:sz="2" w:space="0" w:color="auto"/>
              <w:left w:val="single" w:sz="2" w:space="0" w:color="auto"/>
              <w:bottom w:val="single" w:sz="2" w:space="0" w:color="auto"/>
              <w:right w:val="single" w:sz="2" w:space="0" w:color="auto"/>
            </w:tcBorders>
            <w:vAlign w:val="center"/>
          </w:tcPr>
          <w:p w14:paraId="1B21475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-261,953,109.73</w:t>
            </w:r>
          </w:p>
        </w:tc>
        <w:tc>
          <w:tcPr>
            <w:tcW w:w="556" w:type="pct"/>
            <w:tcBorders>
              <w:top w:val="single" w:sz="2" w:space="0" w:color="auto"/>
              <w:left w:val="single" w:sz="2" w:space="0" w:color="auto"/>
              <w:bottom w:val="single" w:sz="2" w:space="0" w:color="auto"/>
              <w:right w:val="single" w:sz="2" w:space="0" w:color="auto"/>
            </w:tcBorders>
            <w:vAlign w:val="center"/>
          </w:tcPr>
          <w:p w14:paraId="66B9FEF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-261,953,109.73</w:t>
            </w:r>
          </w:p>
        </w:tc>
        <w:tc>
          <w:tcPr>
            <w:tcW w:w="556" w:type="pct"/>
            <w:tcBorders>
              <w:top w:val="single" w:sz="2" w:space="0" w:color="auto"/>
              <w:left w:val="single" w:sz="2" w:space="0" w:color="auto"/>
              <w:bottom w:val="single" w:sz="2" w:space="0" w:color="auto"/>
              <w:right w:val="single" w:sz="2" w:space="0" w:color="auto"/>
            </w:tcBorders>
            <w:vAlign w:val="center"/>
          </w:tcPr>
          <w:p w14:paraId="08770B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-42,850,451.65</w:t>
            </w:r>
          </w:p>
        </w:tc>
        <w:tc>
          <w:tcPr>
            <w:tcW w:w="556" w:type="pct"/>
            <w:tcBorders>
              <w:top w:val="single" w:sz="2" w:space="0" w:color="auto"/>
              <w:left w:val="single" w:sz="2" w:space="0" w:color="auto"/>
              <w:bottom w:val="single" w:sz="2" w:space="0" w:color="auto"/>
              <w:right w:val="single" w:sz="2" w:space="0" w:color="auto"/>
            </w:tcBorders>
            <w:vAlign w:val="center"/>
          </w:tcPr>
          <w:p w14:paraId="5A12F27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1,609,589,768.55</w:t>
            </w:r>
          </w:p>
        </w:tc>
        <w:tc>
          <w:tcPr>
            <w:tcW w:w="556" w:type="pct"/>
            <w:tcBorders>
              <w:top w:val="single" w:sz="2" w:space="0" w:color="auto"/>
              <w:left w:val="single" w:sz="2" w:space="0" w:color="auto"/>
              <w:bottom w:val="single" w:sz="2" w:space="0" w:color="auto"/>
              <w:right w:val="single" w:sz="2" w:space="0" w:color="auto"/>
            </w:tcBorders>
            <w:vAlign w:val="center"/>
          </w:tcPr>
          <w:p w14:paraId="23EBF8F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37,750,615.14</w:t>
            </w:r>
          </w:p>
        </w:tc>
        <w:tc>
          <w:tcPr>
            <w:tcW w:w="556" w:type="pct"/>
            <w:tcBorders>
              <w:top w:val="single" w:sz="2" w:space="0" w:color="auto"/>
              <w:left w:val="single" w:sz="2" w:space="0" w:color="auto"/>
              <w:bottom w:val="single" w:sz="2" w:space="0" w:color="auto"/>
              <w:right w:val="single" w:sz="2" w:space="0" w:color="auto"/>
            </w:tcBorders>
            <w:vAlign w:val="center"/>
          </w:tcPr>
          <w:p w14:paraId="2EBA4D9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37,750,615.14</w:t>
            </w:r>
          </w:p>
        </w:tc>
        <w:tc>
          <w:tcPr>
            <w:tcW w:w="556" w:type="pct"/>
            <w:tcBorders>
              <w:top w:val="single" w:sz="2" w:space="0" w:color="auto"/>
              <w:left w:val="single" w:sz="2" w:space="0" w:color="auto"/>
              <w:bottom w:val="single" w:sz="2" w:space="0" w:color="auto"/>
              <w:right w:val="single" w:sz="2" w:space="0" w:color="auto"/>
            </w:tcBorders>
            <w:vAlign w:val="center"/>
          </w:tcPr>
          <w:p w14:paraId="3C3F15A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169,296,709.88</w:t>
            </w:r>
          </w:p>
        </w:tc>
      </w:tr>
      <w:tr w:rsidR="001D26E7" w:rsidRPr="00F614F9" w14:paraId="0E923CE9" w14:textId="77777777" w:rsidTr="00295573">
        <w:trPr>
          <w:trHeight w:val="240"/>
        </w:trPr>
        <w:tc>
          <w:tcPr>
            <w:tcW w:w="556" w:type="pct"/>
            <w:tcBorders>
              <w:top w:val="single" w:sz="2" w:space="0" w:color="auto"/>
              <w:left w:val="single" w:sz="2" w:space="0" w:color="auto"/>
              <w:bottom w:val="single" w:sz="2" w:space="0" w:color="auto"/>
              <w:right w:val="single" w:sz="2" w:space="0" w:color="auto"/>
            </w:tcBorders>
            <w:vAlign w:val="center"/>
          </w:tcPr>
          <w:p w14:paraId="2CADB0D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河南龙大牧原肉</w:t>
            </w:r>
            <w:r w:rsidRPr="00F614F9">
              <w:rPr>
                <w:rFonts w:ascii="Times New Roman" w:eastAsia="宋体" w:hAnsi="Times New Roman" w:cs="宋体"/>
                <w:sz w:val="18"/>
                <w:szCs w:val="18"/>
              </w:rPr>
              <w:lastRenderedPageBreak/>
              <w:t>食品有限公司</w:t>
            </w:r>
          </w:p>
        </w:tc>
        <w:tc>
          <w:tcPr>
            <w:tcW w:w="556" w:type="pct"/>
            <w:tcBorders>
              <w:top w:val="single" w:sz="2" w:space="0" w:color="auto"/>
              <w:left w:val="single" w:sz="2" w:space="0" w:color="auto"/>
              <w:bottom w:val="single" w:sz="2" w:space="0" w:color="auto"/>
              <w:right w:val="single" w:sz="2" w:space="0" w:color="auto"/>
            </w:tcBorders>
            <w:vAlign w:val="center"/>
          </w:tcPr>
          <w:p w14:paraId="1E665F9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lastRenderedPageBreak/>
              <w:t>2,478,990,188.50</w:t>
            </w:r>
          </w:p>
        </w:tc>
        <w:tc>
          <w:tcPr>
            <w:tcW w:w="556" w:type="pct"/>
            <w:tcBorders>
              <w:top w:val="single" w:sz="2" w:space="0" w:color="auto"/>
              <w:left w:val="single" w:sz="2" w:space="0" w:color="auto"/>
              <w:bottom w:val="single" w:sz="2" w:space="0" w:color="auto"/>
              <w:right w:val="single" w:sz="2" w:space="0" w:color="auto"/>
            </w:tcBorders>
            <w:vAlign w:val="center"/>
          </w:tcPr>
          <w:p w14:paraId="586E90E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-27,890,108.49</w:t>
            </w:r>
          </w:p>
        </w:tc>
        <w:tc>
          <w:tcPr>
            <w:tcW w:w="556" w:type="pct"/>
            <w:tcBorders>
              <w:top w:val="single" w:sz="2" w:space="0" w:color="auto"/>
              <w:left w:val="single" w:sz="2" w:space="0" w:color="auto"/>
              <w:bottom w:val="single" w:sz="2" w:space="0" w:color="auto"/>
              <w:right w:val="single" w:sz="2" w:space="0" w:color="auto"/>
            </w:tcBorders>
            <w:vAlign w:val="center"/>
          </w:tcPr>
          <w:p w14:paraId="24BAC93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-27,890,108.49</w:t>
            </w:r>
          </w:p>
        </w:tc>
        <w:tc>
          <w:tcPr>
            <w:tcW w:w="556" w:type="pct"/>
            <w:tcBorders>
              <w:top w:val="single" w:sz="2" w:space="0" w:color="auto"/>
              <w:left w:val="single" w:sz="2" w:space="0" w:color="auto"/>
              <w:bottom w:val="single" w:sz="2" w:space="0" w:color="auto"/>
              <w:right w:val="single" w:sz="2" w:space="0" w:color="auto"/>
            </w:tcBorders>
            <w:vAlign w:val="center"/>
          </w:tcPr>
          <w:p w14:paraId="2CC5F2C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415,845.41</w:t>
            </w:r>
          </w:p>
        </w:tc>
        <w:tc>
          <w:tcPr>
            <w:tcW w:w="556" w:type="pct"/>
            <w:tcBorders>
              <w:top w:val="single" w:sz="2" w:space="0" w:color="auto"/>
              <w:left w:val="single" w:sz="2" w:space="0" w:color="auto"/>
              <w:bottom w:val="single" w:sz="2" w:space="0" w:color="auto"/>
              <w:right w:val="single" w:sz="2" w:space="0" w:color="auto"/>
            </w:tcBorders>
            <w:vAlign w:val="center"/>
          </w:tcPr>
          <w:p w14:paraId="40FFDE8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2,995,183,395.47</w:t>
            </w:r>
          </w:p>
        </w:tc>
        <w:tc>
          <w:tcPr>
            <w:tcW w:w="556" w:type="pct"/>
            <w:tcBorders>
              <w:top w:val="single" w:sz="2" w:space="0" w:color="auto"/>
              <w:left w:val="single" w:sz="2" w:space="0" w:color="auto"/>
              <w:bottom w:val="single" w:sz="2" w:space="0" w:color="auto"/>
              <w:right w:val="single" w:sz="2" w:space="0" w:color="auto"/>
            </w:tcBorders>
            <w:vAlign w:val="center"/>
          </w:tcPr>
          <w:p w14:paraId="33082B1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57,183,709.48</w:t>
            </w:r>
          </w:p>
        </w:tc>
        <w:tc>
          <w:tcPr>
            <w:tcW w:w="556" w:type="pct"/>
            <w:tcBorders>
              <w:top w:val="single" w:sz="2" w:space="0" w:color="auto"/>
              <w:left w:val="single" w:sz="2" w:space="0" w:color="auto"/>
              <w:bottom w:val="single" w:sz="2" w:space="0" w:color="auto"/>
              <w:right w:val="single" w:sz="2" w:space="0" w:color="auto"/>
            </w:tcBorders>
            <w:vAlign w:val="center"/>
          </w:tcPr>
          <w:p w14:paraId="5B6A19F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57,183,709.48</w:t>
            </w:r>
          </w:p>
        </w:tc>
        <w:tc>
          <w:tcPr>
            <w:tcW w:w="556" w:type="pct"/>
            <w:tcBorders>
              <w:top w:val="single" w:sz="2" w:space="0" w:color="auto"/>
              <w:left w:val="single" w:sz="2" w:space="0" w:color="auto"/>
              <w:bottom w:val="single" w:sz="2" w:space="0" w:color="auto"/>
              <w:right w:val="single" w:sz="2" w:space="0" w:color="auto"/>
            </w:tcBorders>
            <w:vAlign w:val="center"/>
          </w:tcPr>
          <w:p w14:paraId="10725E2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-31,419,028.33</w:t>
            </w:r>
          </w:p>
        </w:tc>
      </w:tr>
      <w:tr w:rsidR="001D26E7" w:rsidRPr="00F614F9" w14:paraId="4C72EAB9" w14:textId="77777777" w:rsidTr="00295573">
        <w:trPr>
          <w:trHeight w:val="240"/>
        </w:trPr>
        <w:tc>
          <w:tcPr>
            <w:tcW w:w="556" w:type="pct"/>
            <w:tcBorders>
              <w:top w:val="single" w:sz="2" w:space="0" w:color="auto"/>
              <w:left w:val="single" w:sz="2" w:space="0" w:color="auto"/>
              <w:bottom w:val="single" w:sz="2" w:space="0" w:color="auto"/>
              <w:right w:val="single" w:sz="2" w:space="0" w:color="auto"/>
            </w:tcBorders>
            <w:vAlign w:val="center"/>
          </w:tcPr>
          <w:p w14:paraId="1B37621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潍坊振</w:t>
            </w:r>
            <w:proofErr w:type="gramStart"/>
            <w:r w:rsidRPr="00F614F9">
              <w:rPr>
                <w:rFonts w:ascii="Times New Roman" w:eastAsia="宋体" w:hAnsi="Times New Roman" w:cs="宋体"/>
                <w:sz w:val="18"/>
                <w:szCs w:val="18"/>
              </w:rPr>
              <w:t>祥</w:t>
            </w:r>
            <w:proofErr w:type="gramEnd"/>
            <w:r w:rsidRPr="00F614F9">
              <w:rPr>
                <w:rFonts w:ascii="Times New Roman" w:eastAsia="宋体" w:hAnsi="Times New Roman" w:cs="宋体"/>
                <w:sz w:val="18"/>
                <w:szCs w:val="18"/>
              </w:rPr>
              <w:t>食品有限公司</w:t>
            </w:r>
          </w:p>
        </w:tc>
        <w:tc>
          <w:tcPr>
            <w:tcW w:w="556" w:type="pct"/>
            <w:tcBorders>
              <w:top w:val="single" w:sz="2" w:space="0" w:color="auto"/>
              <w:left w:val="single" w:sz="2" w:space="0" w:color="auto"/>
              <w:bottom w:val="single" w:sz="2" w:space="0" w:color="auto"/>
              <w:right w:val="single" w:sz="2" w:space="0" w:color="auto"/>
            </w:tcBorders>
            <w:vAlign w:val="center"/>
          </w:tcPr>
          <w:p w14:paraId="36BB66C6" w14:textId="77777777" w:rsidR="001D26E7" w:rsidRPr="00F614F9" w:rsidRDefault="00B77F5F">
            <w:pPr>
              <w:spacing w:line="240" w:lineRule="exact"/>
              <w:jc w:val="right"/>
              <w:rPr>
                <w:rFonts w:ascii="Times New Roman" w:eastAsia="宋体" w:hAnsi="Times New Roman" w:cs="宋体"/>
                <w:sz w:val="18"/>
                <w:szCs w:val="18"/>
              </w:rPr>
            </w:pPr>
            <w:r w:rsidRPr="00B77F5F">
              <w:rPr>
                <w:rFonts w:ascii="Times New Roman" w:eastAsia="宋体" w:hAnsi="Times New Roman" w:cs="宋体"/>
                <w:sz w:val="18"/>
                <w:szCs w:val="18"/>
              </w:rPr>
              <w:t>2,580,817,778.87</w:t>
            </w:r>
          </w:p>
        </w:tc>
        <w:tc>
          <w:tcPr>
            <w:tcW w:w="556" w:type="pct"/>
            <w:tcBorders>
              <w:top w:val="single" w:sz="2" w:space="0" w:color="auto"/>
              <w:left w:val="single" w:sz="2" w:space="0" w:color="auto"/>
              <w:bottom w:val="single" w:sz="2" w:space="0" w:color="auto"/>
              <w:right w:val="single" w:sz="2" w:space="0" w:color="auto"/>
            </w:tcBorders>
            <w:vAlign w:val="center"/>
          </w:tcPr>
          <w:p w14:paraId="4E627FE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-53,387,255.56</w:t>
            </w:r>
          </w:p>
        </w:tc>
        <w:tc>
          <w:tcPr>
            <w:tcW w:w="556" w:type="pct"/>
            <w:tcBorders>
              <w:top w:val="single" w:sz="2" w:space="0" w:color="auto"/>
              <w:left w:val="single" w:sz="2" w:space="0" w:color="auto"/>
              <w:bottom w:val="single" w:sz="2" w:space="0" w:color="auto"/>
              <w:right w:val="single" w:sz="2" w:space="0" w:color="auto"/>
            </w:tcBorders>
            <w:vAlign w:val="center"/>
          </w:tcPr>
          <w:p w14:paraId="33D2008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-53,387,255.56</w:t>
            </w:r>
          </w:p>
        </w:tc>
        <w:tc>
          <w:tcPr>
            <w:tcW w:w="556" w:type="pct"/>
            <w:tcBorders>
              <w:top w:val="single" w:sz="2" w:space="0" w:color="auto"/>
              <w:left w:val="single" w:sz="2" w:space="0" w:color="auto"/>
              <w:bottom w:val="single" w:sz="2" w:space="0" w:color="auto"/>
              <w:right w:val="single" w:sz="2" w:space="0" w:color="auto"/>
            </w:tcBorders>
            <w:vAlign w:val="center"/>
          </w:tcPr>
          <w:p w14:paraId="1A6A668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-18,061,411.83</w:t>
            </w:r>
          </w:p>
        </w:tc>
        <w:tc>
          <w:tcPr>
            <w:tcW w:w="556" w:type="pct"/>
            <w:tcBorders>
              <w:top w:val="single" w:sz="2" w:space="0" w:color="auto"/>
              <w:left w:val="single" w:sz="2" w:space="0" w:color="auto"/>
              <w:bottom w:val="single" w:sz="2" w:space="0" w:color="auto"/>
              <w:right w:val="single" w:sz="2" w:space="0" w:color="auto"/>
            </w:tcBorders>
            <w:vAlign w:val="center"/>
          </w:tcPr>
          <w:p w14:paraId="7EEC00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2,271,360,982.94</w:t>
            </w:r>
          </w:p>
        </w:tc>
        <w:tc>
          <w:tcPr>
            <w:tcW w:w="556" w:type="pct"/>
            <w:tcBorders>
              <w:top w:val="single" w:sz="2" w:space="0" w:color="auto"/>
              <w:left w:val="single" w:sz="2" w:space="0" w:color="auto"/>
              <w:bottom w:val="single" w:sz="2" w:space="0" w:color="auto"/>
              <w:right w:val="single" w:sz="2" w:space="0" w:color="auto"/>
            </w:tcBorders>
            <w:vAlign w:val="center"/>
          </w:tcPr>
          <w:p w14:paraId="3EE444B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26,957,633.77</w:t>
            </w:r>
          </w:p>
        </w:tc>
        <w:tc>
          <w:tcPr>
            <w:tcW w:w="556" w:type="pct"/>
            <w:tcBorders>
              <w:top w:val="single" w:sz="2" w:space="0" w:color="auto"/>
              <w:left w:val="single" w:sz="2" w:space="0" w:color="auto"/>
              <w:bottom w:val="single" w:sz="2" w:space="0" w:color="auto"/>
              <w:right w:val="single" w:sz="2" w:space="0" w:color="auto"/>
            </w:tcBorders>
            <w:vAlign w:val="center"/>
          </w:tcPr>
          <w:p w14:paraId="562E2C5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26,957,633.77</w:t>
            </w:r>
          </w:p>
        </w:tc>
        <w:tc>
          <w:tcPr>
            <w:tcW w:w="556" w:type="pct"/>
            <w:tcBorders>
              <w:top w:val="single" w:sz="2" w:space="0" w:color="auto"/>
              <w:left w:val="single" w:sz="2" w:space="0" w:color="auto"/>
              <w:bottom w:val="single" w:sz="2" w:space="0" w:color="auto"/>
              <w:right w:val="single" w:sz="2" w:space="0" w:color="auto"/>
            </w:tcBorders>
            <w:vAlign w:val="center"/>
          </w:tcPr>
          <w:p w14:paraId="44675D4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7,384,502.47</w:t>
            </w:r>
          </w:p>
        </w:tc>
      </w:tr>
      <w:tr w:rsidR="001D26E7" w:rsidRPr="00F614F9" w14:paraId="11723204" w14:textId="77777777" w:rsidTr="00295573">
        <w:trPr>
          <w:trHeight w:val="240"/>
        </w:trPr>
        <w:tc>
          <w:tcPr>
            <w:tcW w:w="556" w:type="pct"/>
            <w:tcBorders>
              <w:top w:val="single" w:sz="2" w:space="0" w:color="auto"/>
              <w:left w:val="single" w:sz="2" w:space="0" w:color="auto"/>
              <w:bottom w:val="single" w:sz="2" w:space="0" w:color="auto"/>
              <w:right w:val="single" w:sz="2" w:space="0" w:color="auto"/>
            </w:tcBorders>
            <w:vAlign w:val="center"/>
          </w:tcPr>
          <w:p w14:paraId="6FA3AB4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蓬莱富龙肉食品有限公司</w:t>
            </w:r>
          </w:p>
        </w:tc>
        <w:tc>
          <w:tcPr>
            <w:tcW w:w="556" w:type="pct"/>
            <w:tcBorders>
              <w:top w:val="single" w:sz="2" w:space="0" w:color="auto"/>
              <w:left w:val="single" w:sz="2" w:space="0" w:color="auto"/>
              <w:bottom w:val="single" w:sz="2" w:space="0" w:color="auto"/>
              <w:right w:val="single" w:sz="2" w:space="0" w:color="auto"/>
            </w:tcBorders>
            <w:vAlign w:val="center"/>
          </w:tcPr>
          <w:p w14:paraId="74EF789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499,391,690.86</w:t>
            </w:r>
          </w:p>
        </w:tc>
        <w:tc>
          <w:tcPr>
            <w:tcW w:w="556" w:type="pct"/>
            <w:tcBorders>
              <w:top w:val="single" w:sz="2" w:space="0" w:color="auto"/>
              <w:left w:val="single" w:sz="2" w:space="0" w:color="auto"/>
              <w:bottom w:val="single" w:sz="2" w:space="0" w:color="auto"/>
              <w:right w:val="single" w:sz="2" w:space="0" w:color="auto"/>
            </w:tcBorders>
            <w:vAlign w:val="center"/>
          </w:tcPr>
          <w:p w14:paraId="21F348E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3,092,753.28</w:t>
            </w:r>
          </w:p>
        </w:tc>
        <w:tc>
          <w:tcPr>
            <w:tcW w:w="556" w:type="pct"/>
            <w:tcBorders>
              <w:top w:val="single" w:sz="2" w:space="0" w:color="auto"/>
              <w:left w:val="single" w:sz="2" w:space="0" w:color="auto"/>
              <w:bottom w:val="single" w:sz="2" w:space="0" w:color="auto"/>
              <w:right w:val="single" w:sz="2" w:space="0" w:color="auto"/>
            </w:tcBorders>
            <w:vAlign w:val="center"/>
          </w:tcPr>
          <w:p w14:paraId="0D40710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3,092,753.28</w:t>
            </w:r>
          </w:p>
        </w:tc>
        <w:tc>
          <w:tcPr>
            <w:tcW w:w="556" w:type="pct"/>
            <w:tcBorders>
              <w:top w:val="single" w:sz="2" w:space="0" w:color="auto"/>
              <w:left w:val="single" w:sz="2" w:space="0" w:color="auto"/>
              <w:bottom w:val="single" w:sz="2" w:space="0" w:color="auto"/>
              <w:right w:val="single" w:sz="2" w:space="0" w:color="auto"/>
            </w:tcBorders>
            <w:vAlign w:val="center"/>
          </w:tcPr>
          <w:p w14:paraId="7C3BF7D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-17,503,666.04</w:t>
            </w:r>
          </w:p>
        </w:tc>
        <w:tc>
          <w:tcPr>
            <w:tcW w:w="556" w:type="pct"/>
            <w:tcBorders>
              <w:top w:val="single" w:sz="2" w:space="0" w:color="auto"/>
              <w:left w:val="single" w:sz="2" w:space="0" w:color="auto"/>
              <w:bottom w:val="single" w:sz="2" w:space="0" w:color="auto"/>
              <w:right w:val="single" w:sz="2" w:space="0" w:color="auto"/>
            </w:tcBorders>
            <w:vAlign w:val="center"/>
          </w:tcPr>
          <w:p w14:paraId="23A01A6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406,744,770.04</w:t>
            </w:r>
          </w:p>
        </w:tc>
        <w:tc>
          <w:tcPr>
            <w:tcW w:w="556" w:type="pct"/>
            <w:tcBorders>
              <w:top w:val="single" w:sz="2" w:space="0" w:color="auto"/>
              <w:left w:val="single" w:sz="2" w:space="0" w:color="auto"/>
              <w:bottom w:val="single" w:sz="2" w:space="0" w:color="auto"/>
              <w:right w:val="single" w:sz="2" w:space="0" w:color="auto"/>
            </w:tcBorders>
            <w:vAlign w:val="center"/>
          </w:tcPr>
          <w:p w14:paraId="50226BF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7,469,916.84</w:t>
            </w:r>
          </w:p>
        </w:tc>
        <w:tc>
          <w:tcPr>
            <w:tcW w:w="556" w:type="pct"/>
            <w:tcBorders>
              <w:top w:val="single" w:sz="2" w:space="0" w:color="auto"/>
              <w:left w:val="single" w:sz="2" w:space="0" w:color="auto"/>
              <w:bottom w:val="single" w:sz="2" w:space="0" w:color="auto"/>
              <w:right w:val="single" w:sz="2" w:space="0" w:color="auto"/>
            </w:tcBorders>
            <w:vAlign w:val="center"/>
          </w:tcPr>
          <w:p w14:paraId="5393B3B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7,469,916.84</w:t>
            </w:r>
          </w:p>
        </w:tc>
        <w:tc>
          <w:tcPr>
            <w:tcW w:w="556" w:type="pct"/>
            <w:tcBorders>
              <w:top w:val="single" w:sz="2" w:space="0" w:color="auto"/>
              <w:left w:val="single" w:sz="2" w:space="0" w:color="auto"/>
              <w:bottom w:val="single" w:sz="2" w:space="0" w:color="auto"/>
              <w:right w:val="single" w:sz="2" w:space="0" w:color="auto"/>
            </w:tcBorders>
            <w:vAlign w:val="center"/>
          </w:tcPr>
          <w:p w14:paraId="6461A7E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-23,556,228.83</w:t>
            </w:r>
          </w:p>
        </w:tc>
      </w:tr>
      <w:tr w:rsidR="001D26E7" w:rsidRPr="00F614F9" w14:paraId="3803F6DB" w14:textId="77777777" w:rsidTr="00295573">
        <w:trPr>
          <w:trHeight w:val="240"/>
        </w:trPr>
        <w:tc>
          <w:tcPr>
            <w:tcW w:w="556" w:type="pct"/>
            <w:tcBorders>
              <w:top w:val="single" w:sz="2" w:space="0" w:color="auto"/>
              <w:left w:val="single" w:sz="2" w:space="0" w:color="auto"/>
              <w:bottom w:val="single" w:sz="2" w:space="0" w:color="auto"/>
              <w:right w:val="single" w:sz="2" w:space="0" w:color="auto"/>
            </w:tcBorders>
            <w:vAlign w:val="center"/>
          </w:tcPr>
          <w:p w14:paraId="64F57DA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 </w:t>
            </w:r>
            <w:r w:rsidRPr="00F614F9">
              <w:rPr>
                <w:rFonts w:ascii="Times New Roman" w:eastAsia="宋体" w:hAnsi="Times New Roman" w:cs="宋体"/>
                <w:sz w:val="18"/>
                <w:szCs w:val="18"/>
              </w:rPr>
              <w:t>云南福照食品有限公司</w:t>
            </w:r>
          </w:p>
        </w:tc>
        <w:tc>
          <w:tcPr>
            <w:tcW w:w="556" w:type="pct"/>
            <w:tcBorders>
              <w:top w:val="single" w:sz="2" w:space="0" w:color="auto"/>
              <w:left w:val="single" w:sz="2" w:space="0" w:color="auto"/>
              <w:bottom w:val="single" w:sz="2" w:space="0" w:color="auto"/>
              <w:right w:val="single" w:sz="2" w:space="0" w:color="auto"/>
            </w:tcBorders>
            <w:vAlign w:val="center"/>
          </w:tcPr>
          <w:p w14:paraId="38E30E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2,370,739.96</w:t>
            </w:r>
          </w:p>
        </w:tc>
        <w:tc>
          <w:tcPr>
            <w:tcW w:w="556" w:type="pct"/>
            <w:tcBorders>
              <w:top w:val="single" w:sz="2" w:space="0" w:color="auto"/>
              <w:left w:val="single" w:sz="2" w:space="0" w:color="auto"/>
              <w:bottom w:val="single" w:sz="2" w:space="0" w:color="auto"/>
              <w:right w:val="single" w:sz="2" w:space="0" w:color="auto"/>
            </w:tcBorders>
            <w:vAlign w:val="center"/>
          </w:tcPr>
          <w:p w14:paraId="79AFDDE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-118,957,928.54</w:t>
            </w:r>
          </w:p>
        </w:tc>
        <w:tc>
          <w:tcPr>
            <w:tcW w:w="556" w:type="pct"/>
            <w:tcBorders>
              <w:top w:val="single" w:sz="2" w:space="0" w:color="auto"/>
              <w:left w:val="single" w:sz="2" w:space="0" w:color="auto"/>
              <w:bottom w:val="single" w:sz="2" w:space="0" w:color="auto"/>
              <w:right w:val="single" w:sz="2" w:space="0" w:color="auto"/>
            </w:tcBorders>
            <w:vAlign w:val="center"/>
          </w:tcPr>
          <w:p w14:paraId="6AE0B0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-118,957,928.54</w:t>
            </w:r>
          </w:p>
        </w:tc>
        <w:tc>
          <w:tcPr>
            <w:tcW w:w="556" w:type="pct"/>
            <w:tcBorders>
              <w:top w:val="single" w:sz="2" w:space="0" w:color="auto"/>
              <w:left w:val="single" w:sz="2" w:space="0" w:color="auto"/>
              <w:bottom w:val="single" w:sz="2" w:space="0" w:color="auto"/>
              <w:right w:val="single" w:sz="2" w:space="0" w:color="auto"/>
            </w:tcBorders>
            <w:vAlign w:val="center"/>
          </w:tcPr>
          <w:p w14:paraId="48DFE05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7,634,951.14</w:t>
            </w:r>
          </w:p>
        </w:tc>
        <w:tc>
          <w:tcPr>
            <w:tcW w:w="556" w:type="pct"/>
            <w:tcBorders>
              <w:top w:val="single" w:sz="2" w:space="0" w:color="auto"/>
              <w:left w:val="single" w:sz="2" w:space="0" w:color="auto"/>
              <w:bottom w:val="single" w:sz="2" w:space="0" w:color="auto"/>
              <w:right w:val="single" w:sz="2" w:space="0" w:color="auto"/>
            </w:tcBorders>
            <w:vAlign w:val="center"/>
          </w:tcPr>
          <w:p w14:paraId="4FAF1CB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50,756,127.87</w:t>
            </w:r>
          </w:p>
        </w:tc>
        <w:tc>
          <w:tcPr>
            <w:tcW w:w="556" w:type="pct"/>
            <w:tcBorders>
              <w:top w:val="single" w:sz="2" w:space="0" w:color="auto"/>
              <w:left w:val="single" w:sz="2" w:space="0" w:color="auto"/>
              <w:bottom w:val="single" w:sz="2" w:space="0" w:color="auto"/>
              <w:right w:val="single" w:sz="2" w:space="0" w:color="auto"/>
            </w:tcBorders>
            <w:vAlign w:val="center"/>
          </w:tcPr>
          <w:p w14:paraId="0BEE470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-39,292,875.75</w:t>
            </w:r>
          </w:p>
        </w:tc>
        <w:tc>
          <w:tcPr>
            <w:tcW w:w="556" w:type="pct"/>
            <w:tcBorders>
              <w:top w:val="single" w:sz="2" w:space="0" w:color="auto"/>
              <w:left w:val="single" w:sz="2" w:space="0" w:color="auto"/>
              <w:bottom w:val="single" w:sz="2" w:space="0" w:color="auto"/>
              <w:right w:val="single" w:sz="2" w:space="0" w:color="auto"/>
            </w:tcBorders>
            <w:vAlign w:val="center"/>
          </w:tcPr>
          <w:p w14:paraId="4F28364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-39,292,875.75</w:t>
            </w:r>
          </w:p>
        </w:tc>
        <w:tc>
          <w:tcPr>
            <w:tcW w:w="556" w:type="pct"/>
            <w:tcBorders>
              <w:top w:val="single" w:sz="2" w:space="0" w:color="auto"/>
              <w:left w:val="single" w:sz="2" w:space="0" w:color="auto"/>
              <w:bottom w:val="single" w:sz="2" w:space="0" w:color="auto"/>
              <w:right w:val="single" w:sz="2" w:space="0" w:color="auto"/>
            </w:tcBorders>
            <w:vAlign w:val="center"/>
          </w:tcPr>
          <w:p w14:paraId="54B828D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37,646,843.36</w:t>
            </w:r>
          </w:p>
        </w:tc>
      </w:tr>
    </w:tbl>
    <w:p w14:paraId="0B220A3A"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33EEFE4E" w14:textId="77777777" w:rsidR="00872599" w:rsidRPr="00F614F9" w:rsidRDefault="00000000">
      <w:pPr>
        <w:pStyle w:val="a3"/>
        <w:divId w:val="224099579"/>
        <w:rPr>
          <w:rFonts w:ascii="Times New Roman" w:hAnsi="Times New Roman"/>
          <w:sz w:val="18"/>
          <w:szCs w:val="18"/>
        </w:rPr>
      </w:pPr>
      <w:r w:rsidRPr="00F614F9">
        <w:rPr>
          <w:rFonts w:ascii="Times New Roman" w:hAnsi="Times New Roman" w:hint="eastAsia"/>
          <w:sz w:val="18"/>
          <w:szCs w:val="18"/>
        </w:rPr>
        <w:t>无</w:t>
      </w:r>
    </w:p>
    <w:p w14:paraId="729EC8C1"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532" w:name="_Toc989378"/>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4</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使用企业集团资产和清偿企业集团债务的重大限制</w:t>
      </w:r>
      <w:bookmarkEnd w:id="532"/>
    </w:p>
    <w:p w14:paraId="50888CD2" w14:textId="77777777" w:rsidR="00872599" w:rsidRPr="00F614F9" w:rsidRDefault="00000000">
      <w:pPr>
        <w:pStyle w:val="a3"/>
        <w:divId w:val="1283922568"/>
        <w:rPr>
          <w:rFonts w:ascii="Times New Roman" w:hAnsi="Times New Roman"/>
          <w:sz w:val="18"/>
          <w:szCs w:val="18"/>
        </w:rPr>
      </w:pPr>
      <w:r w:rsidRPr="00F614F9">
        <w:rPr>
          <w:rFonts w:ascii="Times New Roman" w:hAnsi="Times New Roman" w:hint="eastAsia"/>
          <w:sz w:val="18"/>
          <w:szCs w:val="18"/>
        </w:rPr>
        <w:t>无</w:t>
      </w:r>
    </w:p>
    <w:p w14:paraId="218F461B"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533" w:name="_Toc989379"/>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5</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向纳入合并财务报表范围的结构化主体提供的财务支持或其他支持</w:t>
      </w:r>
      <w:bookmarkEnd w:id="533"/>
    </w:p>
    <w:p w14:paraId="10815047" w14:textId="77777777" w:rsidR="00872599" w:rsidRPr="00F614F9" w:rsidRDefault="00000000">
      <w:pPr>
        <w:pStyle w:val="a3"/>
        <w:divId w:val="625432127"/>
        <w:rPr>
          <w:rFonts w:ascii="Times New Roman" w:hAnsi="Times New Roman"/>
          <w:sz w:val="18"/>
          <w:szCs w:val="18"/>
        </w:rPr>
      </w:pPr>
      <w:r w:rsidRPr="00F614F9">
        <w:rPr>
          <w:rFonts w:ascii="Times New Roman" w:hAnsi="Times New Roman" w:hint="eastAsia"/>
          <w:sz w:val="18"/>
          <w:szCs w:val="18"/>
        </w:rPr>
        <w:t>无</w:t>
      </w:r>
    </w:p>
    <w:p w14:paraId="4BF17EC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0A9A2B22" w14:textId="77777777" w:rsidR="00886EFE" w:rsidRPr="00F614F9" w:rsidRDefault="00000000">
      <w:pPr>
        <w:pStyle w:val="a3"/>
        <w:divId w:val="811950140"/>
        <w:rPr>
          <w:rFonts w:ascii="Times New Roman" w:hAnsi="Times New Roman"/>
          <w:sz w:val="18"/>
          <w:szCs w:val="18"/>
        </w:rPr>
        <w:sectPr w:rsidR="00886EFE" w:rsidRPr="00F614F9" w:rsidSect="00732DE1">
          <w:pgSz w:w="16840" w:h="11905" w:orient="landscape"/>
          <w:pgMar w:top="1134" w:right="1440" w:bottom="1134" w:left="1440" w:header="850" w:footer="992" w:gutter="0"/>
          <w:cols w:space="720"/>
          <w:docGrid w:type="linesAndChars" w:linePitch="312"/>
        </w:sectPr>
      </w:pPr>
      <w:r w:rsidRPr="00F614F9">
        <w:rPr>
          <w:rFonts w:ascii="Times New Roman" w:hAnsi="Times New Roman" w:hint="eastAsia"/>
          <w:sz w:val="18"/>
          <w:szCs w:val="18"/>
        </w:rPr>
        <w:t>无</w:t>
      </w:r>
    </w:p>
    <w:p w14:paraId="577574B7" w14:textId="77777777" w:rsidR="00872599" w:rsidRPr="00F614F9" w:rsidRDefault="00872599">
      <w:pPr>
        <w:pStyle w:val="a3"/>
        <w:divId w:val="811950140"/>
        <w:rPr>
          <w:rFonts w:ascii="Times New Roman" w:hAnsi="Times New Roman"/>
          <w:sz w:val="18"/>
          <w:szCs w:val="18"/>
        </w:rPr>
      </w:pPr>
    </w:p>
    <w:p w14:paraId="500B879E" w14:textId="77777777" w:rsidR="001D26E7" w:rsidRPr="00F614F9" w:rsidRDefault="00000000">
      <w:pPr>
        <w:pStyle w:val="3"/>
        <w:spacing w:line="280" w:lineRule="exact"/>
        <w:jc w:val="left"/>
        <w:rPr>
          <w:rFonts w:ascii="Times New Roman" w:hAnsi="Times New Roman" w:cs="宋体"/>
          <w:b/>
          <w:bCs/>
        </w:rPr>
      </w:pPr>
      <w:bookmarkStart w:id="534" w:name="_Toc989380"/>
      <w:r w:rsidRPr="00F614F9">
        <w:rPr>
          <w:rFonts w:ascii="Times New Roman" w:hAnsi="Times New Roman" w:cs="宋体"/>
          <w:b/>
          <w:bCs/>
        </w:rPr>
        <w:t>2</w:t>
      </w:r>
      <w:r w:rsidRPr="00F614F9">
        <w:rPr>
          <w:rFonts w:ascii="Times New Roman" w:hAnsi="Times New Roman" w:cs="宋体"/>
          <w:b/>
          <w:bCs/>
        </w:rPr>
        <w:t>、在子公司的所有者权益份额发生变化且仍控制子公司的交易</w:t>
      </w:r>
      <w:bookmarkEnd w:id="534"/>
    </w:p>
    <w:p w14:paraId="655E8AE4"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535" w:name="_Toc989381"/>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在子公司所有者权益份额发生变化的情况说明</w:t>
      </w:r>
      <w:bookmarkEnd w:id="535"/>
    </w:p>
    <w:p w14:paraId="77034C81" w14:textId="77777777" w:rsidR="00872599" w:rsidRPr="002A34D2" w:rsidRDefault="00000000" w:rsidP="00295573">
      <w:pPr>
        <w:pStyle w:val="a3"/>
        <w:spacing w:before="0" w:beforeAutospacing="0" w:after="0" w:afterAutospacing="0" w:line="276" w:lineRule="auto"/>
        <w:ind w:firstLine="360"/>
        <w:jc w:val="both"/>
        <w:divId w:val="734015836"/>
        <w:rPr>
          <w:rFonts w:ascii="Times New Roman" w:hAnsi="Times New Roman" w:cs="Calibri"/>
          <w:sz w:val="18"/>
          <w:szCs w:val="18"/>
        </w:rPr>
      </w:pPr>
      <w:r w:rsidRPr="002A34D2">
        <w:rPr>
          <w:rFonts w:ascii="Times New Roman" w:hAnsi="Times New Roman" w:cs="Calibri"/>
          <w:sz w:val="18"/>
          <w:szCs w:val="18"/>
        </w:rPr>
        <w:t>2023</w:t>
      </w:r>
      <w:r w:rsidRPr="002A34D2">
        <w:rPr>
          <w:rFonts w:ascii="Times New Roman" w:hAnsi="Times New Roman" w:cs="Calibri"/>
          <w:sz w:val="18"/>
          <w:szCs w:val="18"/>
        </w:rPr>
        <w:t>年</w:t>
      </w:r>
      <w:r w:rsidRPr="002A34D2">
        <w:rPr>
          <w:rFonts w:ascii="Times New Roman" w:hAnsi="Times New Roman" w:cs="Calibri"/>
          <w:sz w:val="18"/>
          <w:szCs w:val="18"/>
        </w:rPr>
        <w:t>6</w:t>
      </w:r>
      <w:r w:rsidRPr="002A34D2">
        <w:rPr>
          <w:rFonts w:ascii="Times New Roman" w:hAnsi="Times New Roman" w:cs="Calibri"/>
          <w:sz w:val="18"/>
          <w:szCs w:val="18"/>
        </w:rPr>
        <w:t>月本公司以</w:t>
      </w:r>
      <w:r w:rsidRPr="002A34D2">
        <w:rPr>
          <w:rFonts w:ascii="Times New Roman" w:hAnsi="Times New Roman" w:cs="Calibri"/>
          <w:sz w:val="18"/>
          <w:szCs w:val="18"/>
        </w:rPr>
        <w:t>0</w:t>
      </w:r>
      <w:r w:rsidRPr="002A34D2">
        <w:rPr>
          <w:rFonts w:ascii="Times New Roman" w:hAnsi="Times New Roman" w:cs="Calibri"/>
          <w:sz w:val="18"/>
          <w:szCs w:val="18"/>
        </w:rPr>
        <w:t>元收购成都龙大肉食品有限公司少数股东</w:t>
      </w:r>
      <w:r w:rsidRPr="002A34D2">
        <w:rPr>
          <w:rFonts w:ascii="Times New Roman" w:hAnsi="Times New Roman" w:cs="Calibri"/>
          <w:sz w:val="18"/>
          <w:szCs w:val="18"/>
        </w:rPr>
        <w:t>20%</w:t>
      </w:r>
      <w:r w:rsidRPr="002A34D2">
        <w:rPr>
          <w:rFonts w:ascii="Times New Roman" w:hAnsi="Times New Roman" w:cs="Calibri"/>
          <w:sz w:val="18"/>
          <w:szCs w:val="18"/>
        </w:rPr>
        <w:t>的股权；</w:t>
      </w:r>
    </w:p>
    <w:p w14:paraId="549ADE7C" w14:textId="77777777" w:rsidR="00872599" w:rsidRPr="002A34D2" w:rsidRDefault="00000000" w:rsidP="00295573">
      <w:pPr>
        <w:pStyle w:val="a3"/>
        <w:spacing w:before="0" w:beforeAutospacing="0" w:after="0" w:afterAutospacing="0" w:line="276" w:lineRule="auto"/>
        <w:ind w:firstLine="360"/>
        <w:jc w:val="both"/>
        <w:divId w:val="734015836"/>
        <w:rPr>
          <w:rFonts w:ascii="Times New Roman" w:hAnsi="Times New Roman" w:cs="Calibri"/>
          <w:sz w:val="18"/>
          <w:szCs w:val="18"/>
        </w:rPr>
      </w:pPr>
      <w:r w:rsidRPr="002A34D2">
        <w:rPr>
          <w:rFonts w:ascii="Times New Roman" w:hAnsi="Times New Roman" w:cs="Calibri"/>
          <w:sz w:val="18"/>
          <w:szCs w:val="18"/>
        </w:rPr>
        <w:t>2023</w:t>
      </w:r>
      <w:r w:rsidRPr="002A34D2">
        <w:rPr>
          <w:rFonts w:ascii="Times New Roman" w:hAnsi="Times New Roman" w:cs="Calibri"/>
          <w:sz w:val="18"/>
          <w:szCs w:val="18"/>
        </w:rPr>
        <w:t>年</w:t>
      </w:r>
      <w:r w:rsidRPr="002A34D2">
        <w:rPr>
          <w:rFonts w:ascii="Times New Roman" w:hAnsi="Times New Roman" w:cs="Calibri"/>
          <w:sz w:val="18"/>
          <w:szCs w:val="18"/>
        </w:rPr>
        <w:t>8</w:t>
      </w:r>
      <w:r w:rsidRPr="002A34D2">
        <w:rPr>
          <w:rFonts w:ascii="Times New Roman" w:hAnsi="Times New Roman" w:cs="Calibri"/>
          <w:sz w:val="18"/>
          <w:szCs w:val="18"/>
        </w:rPr>
        <w:t>月本公司以</w:t>
      </w:r>
      <w:r w:rsidRPr="002A34D2">
        <w:rPr>
          <w:rFonts w:ascii="Times New Roman" w:hAnsi="Times New Roman" w:cs="Calibri"/>
          <w:sz w:val="18"/>
          <w:szCs w:val="18"/>
        </w:rPr>
        <w:t>68,600,000.00</w:t>
      </w:r>
      <w:r w:rsidRPr="002A34D2">
        <w:rPr>
          <w:rFonts w:ascii="Times New Roman" w:hAnsi="Times New Roman" w:cs="Calibri"/>
          <w:sz w:val="18"/>
          <w:szCs w:val="18"/>
        </w:rPr>
        <w:t>元收购江苏龙大沁侬食品有限公司少数股东</w:t>
      </w:r>
      <w:r w:rsidRPr="002A34D2">
        <w:rPr>
          <w:rFonts w:ascii="Times New Roman" w:hAnsi="Times New Roman" w:cs="Calibri"/>
          <w:sz w:val="18"/>
          <w:szCs w:val="18"/>
        </w:rPr>
        <w:t>49%</w:t>
      </w:r>
      <w:r w:rsidRPr="002A34D2">
        <w:rPr>
          <w:rFonts w:ascii="Times New Roman" w:hAnsi="Times New Roman" w:cs="Calibri"/>
          <w:sz w:val="18"/>
          <w:szCs w:val="18"/>
        </w:rPr>
        <w:t>的股权。</w:t>
      </w:r>
    </w:p>
    <w:p w14:paraId="54560AFF"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536" w:name="_Toc989382"/>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2</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交易对于少数股东权益及归属于母公司所有者权益的影响</w:t>
      </w:r>
      <w:bookmarkEnd w:id="536"/>
    </w:p>
    <w:p w14:paraId="03F0AB36"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1D26E7" w:rsidRPr="00F614F9" w14:paraId="07F3A451"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2E4F089" w14:textId="77777777" w:rsidR="001D26E7" w:rsidRPr="00F614F9" w:rsidRDefault="001D26E7">
            <w:pPr>
              <w:rPr>
                <w:rFonts w:ascii="Times New Roman" w:hAnsi="Times New Roman"/>
              </w:rPr>
            </w:pPr>
          </w:p>
        </w:tc>
        <w:tc>
          <w:tcPr>
            <w:tcW w:w="4820" w:type="dxa"/>
            <w:tcBorders>
              <w:top w:val="single" w:sz="2" w:space="0" w:color="auto"/>
              <w:left w:val="single" w:sz="2" w:space="0" w:color="auto"/>
              <w:bottom w:val="single" w:sz="2" w:space="0" w:color="auto"/>
              <w:right w:val="single" w:sz="2" w:space="0" w:color="auto"/>
            </w:tcBorders>
            <w:vAlign w:val="center"/>
          </w:tcPr>
          <w:p w14:paraId="63ECA144" w14:textId="77777777" w:rsidR="001D26E7" w:rsidRPr="00F614F9" w:rsidRDefault="001D26E7">
            <w:pPr>
              <w:spacing w:line="240" w:lineRule="exact"/>
              <w:jc w:val="center"/>
              <w:rPr>
                <w:rFonts w:ascii="Times New Roman" w:eastAsia="宋体" w:hAnsi="Times New Roman" w:cs="宋体"/>
                <w:sz w:val="18"/>
                <w:szCs w:val="18"/>
              </w:rPr>
            </w:pPr>
          </w:p>
        </w:tc>
      </w:tr>
      <w:tr w:rsidR="001D26E7" w:rsidRPr="00F614F9" w14:paraId="6DDCC72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8F37F8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购买成本</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处置对价</w:t>
            </w:r>
          </w:p>
        </w:tc>
        <w:tc>
          <w:tcPr>
            <w:tcW w:w="4820" w:type="dxa"/>
            <w:tcBorders>
              <w:top w:val="single" w:sz="2" w:space="0" w:color="auto"/>
              <w:left w:val="single" w:sz="2" w:space="0" w:color="auto"/>
              <w:bottom w:val="single" w:sz="2" w:space="0" w:color="auto"/>
              <w:right w:val="single" w:sz="2" w:space="0" w:color="auto"/>
            </w:tcBorders>
            <w:vAlign w:val="center"/>
          </w:tcPr>
          <w:p w14:paraId="206F6E07"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F165001"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9D1F1D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现金</w:t>
            </w:r>
          </w:p>
        </w:tc>
        <w:tc>
          <w:tcPr>
            <w:tcW w:w="4820" w:type="dxa"/>
            <w:tcBorders>
              <w:top w:val="single" w:sz="2" w:space="0" w:color="auto"/>
              <w:left w:val="single" w:sz="2" w:space="0" w:color="auto"/>
              <w:bottom w:val="single" w:sz="2" w:space="0" w:color="auto"/>
              <w:right w:val="single" w:sz="2" w:space="0" w:color="auto"/>
            </w:tcBorders>
            <w:vAlign w:val="center"/>
          </w:tcPr>
          <w:p w14:paraId="1638E0D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68,600,000.00</w:t>
            </w:r>
          </w:p>
        </w:tc>
      </w:tr>
      <w:tr w:rsidR="001D26E7" w:rsidRPr="00F614F9" w14:paraId="670E997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607FD2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非现金资产的公允价值</w:t>
            </w:r>
          </w:p>
        </w:tc>
        <w:tc>
          <w:tcPr>
            <w:tcW w:w="4820" w:type="dxa"/>
            <w:tcBorders>
              <w:top w:val="single" w:sz="2" w:space="0" w:color="auto"/>
              <w:left w:val="single" w:sz="2" w:space="0" w:color="auto"/>
              <w:bottom w:val="single" w:sz="2" w:space="0" w:color="auto"/>
              <w:right w:val="single" w:sz="2" w:space="0" w:color="auto"/>
            </w:tcBorders>
            <w:vAlign w:val="center"/>
          </w:tcPr>
          <w:p w14:paraId="6B884D69"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EE12CC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6229930" w14:textId="77777777" w:rsidR="001D26E7" w:rsidRPr="00F614F9" w:rsidRDefault="001D26E7">
            <w:pPr>
              <w:spacing w:line="240" w:lineRule="exact"/>
              <w:rPr>
                <w:rFonts w:ascii="Times New Roman" w:eastAsia="宋体" w:hAnsi="Times New Roman" w:cs="宋体"/>
                <w:sz w:val="18"/>
                <w:szCs w:val="18"/>
              </w:rPr>
            </w:pPr>
          </w:p>
        </w:tc>
        <w:tc>
          <w:tcPr>
            <w:tcW w:w="4820" w:type="dxa"/>
            <w:tcBorders>
              <w:top w:val="single" w:sz="2" w:space="0" w:color="auto"/>
              <w:left w:val="single" w:sz="2" w:space="0" w:color="auto"/>
              <w:bottom w:val="single" w:sz="2" w:space="0" w:color="auto"/>
              <w:right w:val="single" w:sz="2" w:space="0" w:color="auto"/>
            </w:tcBorders>
            <w:vAlign w:val="center"/>
          </w:tcPr>
          <w:p w14:paraId="685BA54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1171763"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F80864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购买成本</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处置对价合计</w:t>
            </w:r>
          </w:p>
        </w:tc>
        <w:tc>
          <w:tcPr>
            <w:tcW w:w="4820" w:type="dxa"/>
            <w:tcBorders>
              <w:top w:val="single" w:sz="2" w:space="0" w:color="auto"/>
              <w:left w:val="single" w:sz="2" w:space="0" w:color="auto"/>
              <w:bottom w:val="single" w:sz="2" w:space="0" w:color="auto"/>
              <w:right w:val="single" w:sz="2" w:space="0" w:color="auto"/>
            </w:tcBorders>
            <w:vAlign w:val="center"/>
          </w:tcPr>
          <w:p w14:paraId="40ACD2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68,600,000.00</w:t>
            </w:r>
          </w:p>
        </w:tc>
      </w:tr>
      <w:tr w:rsidR="001D26E7" w:rsidRPr="00F614F9" w14:paraId="57847E1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DE8FD78"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减：按取得</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处置的股权比例计算的子公司净资产份额</w:t>
            </w:r>
          </w:p>
        </w:tc>
        <w:tc>
          <w:tcPr>
            <w:tcW w:w="4820" w:type="dxa"/>
            <w:tcBorders>
              <w:top w:val="single" w:sz="2" w:space="0" w:color="auto"/>
              <w:left w:val="single" w:sz="2" w:space="0" w:color="auto"/>
              <w:bottom w:val="single" w:sz="2" w:space="0" w:color="auto"/>
              <w:right w:val="single" w:sz="2" w:space="0" w:color="auto"/>
            </w:tcBorders>
            <w:vAlign w:val="center"/>
          </w:tcPr>
          <w:p w14:paraId="5E50A98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61,537,704.55</w:t>
            </w:r>
          </w:p>
        </w:tc>
      </w:tr>
      <w:tr w:rsidR="001D26E7" w:rsidRPr="00F614F9" w14:paraId="50F3B85E"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0E59D8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差额</w:t>
            </w:r>
          </w:p>
        </w:tc>
        <w:tc>
          <w:tcPr>
            <w:tcW w:w="4820" w:type="dxa"/>
            <w:tcBorders>
              <w:top w:val="single" w:sz="2" w:space="0" w:color="auto"/>
              <w:left w:val="single" w:sz="2" w:space="0" w:color="auto"/>
              <w:bottom w:val="single" w:sz="2" w:space="0" w:color="auto"/>
              <w:right w:val="single" w:sz="2" w:space="0" w:color="auto"/>
            </w:tcBorders>
            <w:vAlign w:val="center"/>
          </w:tcPr>
          <w:p w14:paraId="53D9433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7,062,295.45</w:t>
            </w:r>
          </w:p>
        </w:tc>
      </w:tr>
      <w:tr w:rsidR="001D26E7" w:rsidRPr="00F614F9" w14:paraId="31BE97F7"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0F4DAD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其中：调整资本公积</w:t>
            </w:r>
          </w:p>
        </w:tc>
        <w:tc>
          <w:tcPr>
            <w:tcW w:w="4820" w:type="dxa"/>
            <w:tcBorders>
              <w:top w:val="single" w:sz="2" w:space="0" w:color="auto"/>
              <w:left w:val="single" w:sz="2" w:space="0" w:color="auto"/>
              <w:bottom w:val="single" w:sz="2" w:space="0" w:color="auto"/>
              <w:right w:val="single" w:sz="2" w:space="0" w:color="auto"/>
            </w:tcBorders>
            <w:vAlign w:val="center"/>
          </w:tcPr>
          <w:p w14:paraId="3C7D65F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7,062,295.45</w:t>
            </w:r>
          </w:p>
        </w:tc>
      </w:tr>
      <w:tr w:rsidR="001D26E7" w:rsidRPr="00F614F9" w14:paraId="6276C2B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7D8BEA3"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调整盈余公积</w:t>
            </w:r>
          </w:p>
        </w:tc>
        <w:tc>
          <w:tcPr>
            <w:tcW w:w="4820" w:type="dxa"/>
            <w:tcBorders>
              <w:top w:val="single" w:sz="2" w:space="0" w:color="auto"/>
              <w:left w:val="single" w:sz="2" w:space="0" w:color="auto"/>
              <w:bottom w:val="single" w:sz="2" w:space="0" w:color="auto"/>
              <w:right w:val="single" w:sz="2" w:space="0" w:color="auto"/>
            </w:tcBorders>
            <w:vAlign w:val="center"/>
          </w:tcPr>
          <w:p w14:paraId="5116603C"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96D87CB"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11926C0" w14:textId="77777777" w:rsidR="001D26E7" w:rsidRPr="00F614F9" w:rsidRDefault="00000000">
            <w:pPr>
              <w:spacing w:before="40" w:after="40" w:line="240" w:lineRule="exact"/>
              <w:ind w:firstLineChars="300" w:firstLine="540"/>
              <w:rPr>
                <w:rFonts w:ascii="Times New Roman" w:eastAsia="宋体" w:hAnsi="Times New Roman" w:cs="宋体"/>
                <w:sz w:val="18"/>
                <w:szCs w:val="18"/>
              </w:rPr>
            </w:pPr>
            <w:r w:rsidRPr="00F614F9">
              <w:rPr>
                <w:rFonts w:ascii="Times New Roman" w:eastAsia="宋体" w:hAnsi="Times New Roman" w:cs="宋体"/>
                <w:sz w:val="18"/>
                <w:szCs w:val="18"/>
              </w:rPr>
              <w:t>调整未分配利润</w:t>
            </w:r>
          </w:p>
        </w:tc>
        <w:tc>
          <w:tcPr>
            <w:tcW w:w="4820" w:type="dxa"/>
            <w:tcBorders>
              <w:top w:val="single" w:sz="2" w:space="0" w:color="auto"/>
              <w:left w:val="single" w:sz="2" w:space="0" w:color="auto"/>
              <w:bottom w:val="single" w:sz="2" w:space="0" w:color="auto"/>
              <w:right w:val="single" w:sz="2" w:space="0" w:color="auto"/>
            </w:tcBorders>
            <w:vAlign w:val="center"/>
          </w:tcPr>
          <w:p w14:paraId="3CF04AAC" w14:textId="77777777" w:rsidR="001D26E7" w:rsidRPr="00F614F9" w:rsidRDefault="001D26E7">
            <w:pPr>
              <w:spacing w:line="240" w:lineRule="exact"/>
              <w:jc w:val="right"/>
              <w:rPr>
                <w:rFonts w:ascii="Times New Roman" w:eastAsia="宋体" w:hAnsi="Times New Roman" w:cs="宋体"/>
                <w:sz w:val="18"/>
                <w:szCs w:val="18"/>
              </w:rPr>
            </w:pPr>
          </w:p>
        </w:tc>
      </w:tr>
    </w:tbl>
    <w:p w14:paraId="29FF5DD9"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44C02546" w14:textId="77777777" w:rsidR="00872599" w:rsidRPr="00F614F9" w:rsidRDefault="00000000">
      <w:pPr>
        <w:pStyle w:val="a3"/>
        <w:spacing w:before="0" w:beforeAutospacing="0" w:after="0" w:afterAutospacing="0"/>
        <w:ind w:firstLine="360"/>
        <w:jc w:val="both"/>
        <w:divId w:val="1176767201"/>
        <w:rPr>
          <w:rFonts w:ascii="Times New Roman" w:hAnsi="Times New Roman" w:cs="Calibri"/>
          <w:sz w:val="21"/>
          <w:szCs w:val="21"/>
        </w:rPr>
      </w:pPr>
      <w:r w:rsidRPr="00F614F9">
        <w:rPr>
          <w:rFonts w:ascii="Times New Roman" w:hAnsi="Times New Roman" w:cs="Calibri" w:hint="eastAsia"/>
          <w:sz w:val="18"/>
          <w:szCs w:val="18"/>
        </w:rPr>
        <w:t>无</w:t>
      </w:r>
    </w:p>
    <w:p w14:paraId="1A62C74C" w14:textId="77777777" w:rsidR="001D26E7" w:rsidRPr="00F614F9" w:rsidRDefault="00000000">
      <w:pPr>
        <w:pStyle w:val="3"/>
        <w:spacing w:line="280" w:lineRule="exact"/>
        <w:jc w:val="left"/>
        <w:rPr>
          <w:rFonts w:ascii="Times New Roman" w:hAnsi="Times New Roman" w:cs="宋体"/>
          <w:b/>
          <w:bCs/>
        </w:rPr>
      </w:pPr>
      <w:bookmarkStart w:id="537" w:name="_Toc989383"/>
      <w:r w:rsidRPr="00F614F9">
        <w:rPr>
          <w:rFonts w:ascii="Times New Roman" w:hAnsi="Times New Roman" w:cs="宋体"/>
          <w:b/>
          <w:bCs/>
        </w:rPr>
        <w:t>3</w:t>
      </w:r>
      <w:r w:rsidRPr="00F614F9">
        <w:rPr>
          <w:rFonts w:ascii="Times New Roman" w:hAnsi="Times New Roman" w:cs="宋体"/>
          <w:b/>
          <w:bCs/>
        </w:rPr>
        <w:t>、在合营安排或联营企业中的权益</w:t>
      </w:r>
      <w:bookmarkEnd w:id="537"/>
    </w:p>
    <w:p w14:paraId="5A84726B"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38" w:name="_Toc989384"/>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重要的合营企业或联营企业</w:t>
      </w:r>
      <w:bookmarkEnd w:id="538"/>
    </w:p>
    <w:p w14:paraId="26265B79" w14:textId="77777777" w:rsidR="001D26E7" w:rsidRPr="00F614F9" w:rsidRDefault="00295573" w:rsidP="00295573">
      <w:pPr>
        <w:ind w:firstLineChars="200" w:firstLine="360"/>
        <w:rPr>
          <w:rFonts w:ascii="Times New Roman" w:eastAsia="宋体" w:hAnsi="Times New Roman"/>
          <w:sz w:val="18"/>
          <w:szCs w:val="18"/>
        </w:rPr>
      </w:pPr>
      <w:r w:rsidRPr="00F614F9">
        <w:rPr>
          <w:rFonts w:ascii="Times New Roman" w:eastAsia="宋体" w:hAnsi="Times New Roman" w:hint="eastAsia"/>
          <w:sz w:val="18"/>
          <w:szCs w:val="18"/>
        </w:rPr>
        <w:t>无</w:t>
      </w:r>
    </w:p>
    <w:p w14:paraId="288FFA50"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39" w:name="_Toc989385"/>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重要合营企业的主要财务信息</w:t>
      </w:r>
      <w:bookmarkEnd w:id="539"/>
    </w:p>
    <w:p w14:paraId="3682A23C" w14:textId="77777777" w:rsidR="00872599" w:rsidRPr="00F614F9" w:rsidRDefault="00000000">
      <w:pPr>
        <w:pStyle w:val="a3"/>
        <w:spacing w:before="0" w:beforeAutospacing="0" w:after="0" w:afterAutospacing="0"/>
        <w:ind w:firstLine="360"/>
        <w:jc w:val="both"/>
        <w:divId w:val="909583719"/>
        <w:rPr>
          <w:rFonts w:ascii="Times New Roman" w:hAnsi="Times New Roman" w:cs="Calibri"/>
          <w:sz w:val="21"/>
          <w:szCs w:val="21"/>
        </w:rPr>
      </w:pPr>
      <w:r w:rsidRPr="00F614F9">
        <w:rPr>
          <w:rFonts w:ascii="Times New Roman" w:hAnsi="Times New Roman" w:cs="Calibri" w:hint="eastAsia"/>
          <w:sz w:val="18"/>
          <w:szCs w:val="18"/>
        </w:rPr>
        <w:t>无</w:t>
      </w:r>
    </w:p>
    <w:p w14:paraId="4C96A319"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40" w:name="_Toc989386"/>
      <w:r w:rsidRPr="00F614F9">
        <w:rPr>
          <w:rFonts w:ascii="Times New Roman" w:eastAsia="宋体" w:hAnsi="Times New Roman" w:cs="宋体"/>
          <w:b/>
          <w:bCs/>
          <w:szCs w:val="21"/>
        </w:rPr>
        <w:t>（</w:t>
      </w:r>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重要联营企业的主要财务信息</w:t>
      </w:r>
      <w:bookmarkEnd w:id="540"/>
    </w:p>
    <w:p w14:paraId="49FBE4FA" w14:textId="77777777" w:rsidR="00872599" w:rsidRPr="00F614F9" w:rsidRDefault="00000000">
      <w:pPr>
        <w:pStyle w:val="a3"/>
        <w:spacing w:before="0" w:beforeAutospacing="0" w:after="0" w:afterAutospacing="0"/>
        <w:ind w:firstLine="360"/>
        <w:jc w:val="both"/>
        <w:divId w:val="1846093803"/>
        <w:rPr>
          <w:rFonts w:ascii="Times New Roman" w:hAnsi="Times New Roman" w:cs="Calibri"/>
          <w:sz w:val="21"/>
          <w:szCs w:val="21"/>
        </w:rPr>
      </w:pPr>
      <w:r w:rsidRPr="00F614F9">
        <w:rPr>
          <w:rFonts w:ascii="Times New Roman" w:hAnsi="Times New Roman" w:cs="Calibri" w:hint="eastAsia"/>
          <w:sz w:val="18"/>
          <w:szCs w:val="18"/>
        </w:rPr>
        <w:t>无</w:t>
      </w:r>
    </w:p>
    <w:p w14:paraId="5F8C1E10"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41" w:name="_Toc989387"/>
      <w:r w:rsidRPr="00F614F9">
        <w:rPr>
          <w:rFonts w:ascii="Times New Roman" w:eastAsia="宋体" w:hAnsi="Times New Roman" w:cs="宋体"/>
          <w:b/>
          <w:bCs/>
          <w:szCs w:val="21"/>
        </w:rPr>
        <w:t>（</w:t>
      </w:r>
      <w:r w:rsidRPr="00F614F9">
        <w:rPr>
          <w:rFonts w:ascii="Times New Roman" w:eastAsia="宋体" w:hAnsi="Times New Roman" w:cs="宋体"/>
          <w:b/>
          <w:bCs/>
          <w:szCs w:val="21"/>
        </w:rPr>
        <w:t>4</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不重要的合营企业和联营企业的汇总财务信息</w:t>
      </w:r>
      <w:bookmarkEnd w:id="541"/>
    </w:p>
    <w:p w14:paraId="1D6A4473" w14:textId="77777777" w:rsidR="00872599" w:rsidRPr="00F614F9" w:rsidRDefault="00000000">
      <w:pPr>
        <w:pStyle w:val="a3"/>
        <w:spacing w:before="0" w:beforeAutospacing="0" w:after="0" w:afterAutospacing="0"/>
        <w:ind w:firstLine="360"/>
        <w:jc w:val="both"/>
        <w:divId w:val="522868665"/>
        <w:rPr>
          <w:rFonts w:ascii="Times New Roman" w:hAnsi="Times New Roman" w:cs="Calibri"/>
          <w:sz w:val="21"/>
          <w:szCs w:val="21"/>
        </w:rPr>
      </w:pPr>
      <w:r w:rsidRPr="00F614F9">
        <w:rPr>
          <w:rFonts w:ascii="Times New Roman" w:hAnsi="Times New Roman" w:cs="Calibri" w:hint="eastAsia"/>
          <w:sz w:val="18"/>
          <w:szCs w:val="18"/>
        </w:rPr>
        <w:t>无</w:t>
      </w:r>
    </w:p>
    <w:p w14:paraId="10D0B431"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42" w:name="_Toc989388"/>
      <w:r w:rsidRPr="00F614F9">
        <w:rPr>
          <w:rFonts w:ascii="Times New Roman" w:eastAsia="宋体" w:hAnsi="Times New Roman" w:cs="宋体"/>
          <w:b/>
          <w:bCs/>
          <w:szCs w:val="21"/>
        </w:rPr>
        <w:lastRenderedPageBreak/>
        <w:t>（</w:t>
      </w:r>
      <w:r w:rsidRPr="00F614F9">
        <w:rPr>
          <w:rFonts w:ascii="Times New Roman" w:eastAsia="宋体" w:hAnsi="Times New Roman" w:cs="宋体"/>
          <w:b/>
          <w:bCs/>
          <w:szCs w:val="21"/>
        </w:rPr>
        <w:t>5</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合营企业或联营企业向本公司转移资金的能力存在重大限制的说明</w:t>
      </w:r>
      <w:bookmarkEnd w:id="542"/>
    </w:p>
    <w:p w14:paraId="319D690F" w14:textId="77777777" w:rsidR="00872599" w:rsidRPr="00F614F9" w:rsidRDefault="00000000">
      <w:pPr>
        <w:pStyle w:val="a3"/>
        <w:spacing w:before="0" w:beforeAutospacing="0" w:after="0" w:afterAutospacing="0"/>
        <w:ind w:firstLine="360"/>
        <w:jc w:val="both"/>
        <w:divId w:val="1133867693"/>
        <w:rPr>
          <w:rFonts w:ascii="Times New Roman" w:hAnsi="Times New Roman" w:cs="Calibri"/>
          <w:sz w:val="21"/>
          <w:szCs w:val="21"/>
        </w:rPr>
      </w:pPr>
      <w:r w:rsidRPr="00F614F9">
        <w:rPr>
          <w:rFonts w:ascii="Times New Roman" w:hAnsi="Times New Roman" w:cs="Calibri" w:hint="eastAsia"/>
          <w:sz w:val="18"/>
          <w:szCs w:val="18"/>
        </w:rPr>
        <w:t>无</w:t>
      </w:r>
    </w:p>
    <w:p w14:paraId="7ED43332"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43" w:name="_Toc989389"/>
      <w:r w:rsidRPr="00F614F9">
        <w:rPr>
          <w:rFonts w:ascii="Times New Roman" w:eastAsia="宋体" w:hAnsi="Times New Roman" w:cs="宋体"/>
          <w:b/>
          <w:bCs/>
          <w:szCs w:val="21"/>
        </w:rPr>
        <w:t>（</w:t>
      </w:r>
      <w:r w:rsidRPr="00F614F9">
        <w:rPr>
          <w:rFonts w:ascii="Times New Roman" w:eastAsia="宋体" w:hAnsi="Times New Roman" w:cs="宋体"/>
          <w:b/>
          <w:bCs/>
          <w:szCs w:val="21"/>
        </w:rPr>
        <w:t>6</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合营企业或联营企业发生的超额亏损</w:t>
      </w:r>
      <w:bookmarkEnd w:id="543"/>
    </w:p>
    <w:p w14:paraId="2DBD01B2" w14:textId="77777777" w:rsidR="00872599" w:rsidRPr="00F614F9" w:rsidRDefault="00000000">
      <w:pPr>
        <w:pStyle w:val="a3"/>
        <w:spacing w:before="0" w:beforeAutospacing="0" w:after="0" w:afterAutospacing="0"/>
        <w:ind w:firstLine="360"/>
        <w:jc w:val="both"/>
        <w:divId w:val="209727903"/>
        <w:rPr>
          <w:rFonts w:ascii="Times New Roman" w:hAnsi="Times New Roman" w:cs="Calibri"/>
          <w:sz w:val="21"/>
          <w:szCs w:val="21"/>
        </w:rPr>
      </w:pPr>
      <w:r w:rsidRPr="00F614F9">
        <w:rPr>
          <w:rFonts w:ascii="Times New Roman" w:hAnsi="Times New Roman" w:cs="Calibri" w:hint="eastAsia"/>
          <w:sz w:val="18"/>
          <w:szCs w:val="18"/>
        </w:rPr>
        <w:t>无</w:t>
      </w:r>
    </w:p>
    <w:p w14:paraId="46F6DF4F"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44" w:name="_Toc989390"/>
      <w:r w:rsidRPr="00F614F9">
        <w:rPr>
          <w:rFonts w:ascii="Times New Roman" w:eastAsia="宋体" w:hAnsi="Times New Roman" w:cs="宋体"/>
          <w:b/>
          <w:bCs/>
          <w:szCs w:val="21"/>
        </w:rPr>
        <w:t>（</w:t>
      </w:r>
      <w:r w:rsidRPr="00F614F9">
        <w:rPr>
          <w:rFonts w:ascii="Times New Roman" w:eastAsia="宋体" w:hAnsi="Times New Roman" w:cs="宋体"/>
          <w:b/>
          <w:bCs/>
          <w:szCs w:val="21"/>
        </w:rPr>
        <w:t>7</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与合营企业投资相关的未确认承诺</w:t>
      </w:r>
      <w:bookmarkEnd w:id="544"/>
    </w:p>
    <w:p w14:paraId="07E1A4C8" w14:textId="77777777" w:rsidR="00872599" w:rsidRPr="00F614F9" w:rsidRDefault="00000000">
      <w:pPr>
        <w:pStyle w:val="a3"/>
        <w:spacing w:before="0" w:beforeAutospacing="0" w:after="0" w:afterAutospacing="0"/>
        <w:ind w:firstLine="360"/>
        <w:jc w:val="both"/>
        <w:divId w:val="1159468555"/>
        <w:rPr>
          <w:rFonts w:ascii="Times New Roman" w:hAnsi="Times New Roman" w:cs="Calibri"/>
          <w:sz w:val="21"/>
          <w:szCs w:val="21"/>
        </w:rPr>
      </w:pPr>
      <w:r w:rsidRPr="00F614F9">
        <w:rPr>
          <w:rFonts w:ascii="Times New Roman" w:hAnsi="Times New Roman" w:cs="Calibri" w:hint="eastAsia"/>
          <w:sz w:val="18"/>
          <w:szCs w:val="18"/>
        </w:rPr>
        <w:t>无</w:t>
      </w:r>
    </w:p>
    <w:p w14:paraId="767B4047"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45" w:name="_Toc989391"/>
      <w:r w:rsidRPr="00F614F9">
        <w:rPr>
          <w:rFonts w:ascii="Times New Roman" w:eastAsia="宋体" w:hAnsi="Times New Roman" w:cs="宋体"/>
          <w:b/>
          <w:bCs/>
          <w:szCs w:val="21"/>
        </w:rPr>
        <w:t>（</w:t>
      </w:r>
      <w:r w:rsidRPr="00F614F9">
        <w:rPr>
          <w:rFonts w:ascii="Times New Roman" w:eastAsia="宋体" w:hAnsi="Times New Roman" w:cs="宋体"/>
          <w:b/>
          <w:bCs/>
          <w:szCs w:val="21"/>
        </w:rPr>
        <w:t>8</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与合营企业或联营企业投资相关的或有负债</w:t>
      </w:r>
      <w:bookmarkEnd w:id="545"/>
    </w:p>
    <w:p w14:paraId="715DE9C3" w14:textId="77777777" w:rsidR="00872599" w:rsidRPr="00F614F9" w:rsidRDefault="00000000">
      <w:pPr>
        <w:pStyle w:val="a3"/>
        <w:spacing w:before="0" w:beforeAutospacing="0" w:after="0" w:afterAutospacing="0"/>
        <w:ind w:firstLine="360"/>
        <w:jc w:val="both"/>
        <w:divId w:val="928006276"/>
        <w:rPr>
          <w:rFonts w:ascii="Times New Roman" w:hAnsi="Times New Roman" w:cs="Calibri"/>
          <w:sz w:val="21"/>
          <w:szCs w:val="21"/>
        </w:rPr>
      </w:pPr>
      <w:r w:rsidRPr="00F614F9">
        <w:rPr>
          <w:rFonts w:ascii="Times New Roman" w:hAnsi="Times New Roman" w:cs="Calibri" w:hint="eastAsia"/>
          <w:sz w:val="18"/>
          <w:szCs w:val="18"/>
        </w:rPr>
        <w:t>无</w:t>
      </w:r>
    </w:p>
    <w:p w14:paraId="3ADDD55A" w14:textId="77777777" w:rsidR="001D26E7" w:rsidRPr="00F614F9" w:rsidRDefault="00000000">
      <w:pPr>
        <w:pStyle w:val="3"/>
        <w:spacing w:line="280" w:lineRule="exact"/>
        <w:jc w:val="left"/>
        <w:rPr>
          <w:rFonts w:ascii="Times New Roman" w:hAnsi="Times New Roman" w:cs="宋体"/>
          <w:b/>
          <w:bCs/>
        </w:rPr>
      </w:pPr>
      <w:bookmarkStart w:id="546" w:name="_Toc989392"/>
      <w:r w:rsidRPr="00F614F9">
        <w:rPr>
          <w:rFonts w:ascii="Times New Roman" w:hAnsi="Times New Roman" w:cs="宋体"/>
          <w:b/>
          <w:bCs/>
        </w:rPr>
        <w:t>4</w:t>
      </w:r>
      <w:r w:rsidRPr="00F614F9">
        <w:rPr>
          <w:rFonts w:ascii="Times New Roman" w:hAnsi="Times New Roman" w:cs="宋体"/>
          <w:b/>
          <w:bCs/>
        </w:rPr>
        <w:t>、重要的共同经营</w:t>
      </w:r>
      <w:bookmarkEnd w:id="546"/>
    </w:p>
    <w:p w14:paraId="6B4EACBE" w14:textId="77777777" w:rsidR="00872599" w:rsidRPr="00F614F9" w:rsidRDefault="00000000">
      <w:pPr>
        <w:pStyle w:val="a3"/>
        <w:spacing w:before="0" w:beforeAutospacing="0" w:after="0" w:afterAutospacing="0"/>
        <w:ind w:firstLine="360"/>
        <w:jc w:val="both"/>
        <w:divId w:val="1172456708"/>
        <w:rPr>
          <w:rFonts w:ascii="Times New Roman" w:hAnsi="Times New Roman" w:cs="Calibri"/>
          <w:sz w:val="21"/>
          <w:szCs w:val="21"/>
        </w:rPr>
      </w:pPr>
      <w:r w:rsidRPr="00F614F9">
        <w:rPr>
          <w:rFonts w:ascii="Times New Roman" w:hAnsi="Times New Roman" w:cs="Calibri" w:hint="eastAsia"/>
          <w:sz w:val="18"/>
          <w:szCs w:val="18"/>
        </w:rPr>
        <w:t>无</w:t>
      </w:r>
    </w:p>
    <w:p w14:paraId="4445E710" w14:textId="77777777" w:rsidR="001D26E7" w:rsidRPr="00F614F9" w:rsidRDefault="00000000">
      <w:pPr>
        <w:pStyle w:val="3"/>
        <w:spacing w:line="280" w:lineRule="exact"/>
        <w:jc w:val="left"/>
        <w:rPr>
          <w:rFonts w:ascii="Times New Roman" w:hAnsi="Times New Roman" w:cs="宋体"/>
          <w:b/>
          <w:bCs/>
        </w:rPr>
      </w:pPr>
      <w:bookmarkStart w:id="547" w:name="_Toc989393"/>
      <w:r w:rsidRPr="00F614F9">
        <w:rPr>
          <w:rFonts w:ascii="Times New Roman" w:hAnsi="Times New Roman" w:cs="宋体"/>
          <w:b/>
          <w:bCs/>
        </w:rPr>
        <w:t>5</w:t>
      </w:r>
      <w:r w:rsidRPr="00F614F9">
        <w:rPr>
          <w:rFonts w:ascii="Times New Roman" w:hAnsi="Times New Roman" w:cs="宋体"/>
          <w:b/>
          <w:bCs/>
        </w:rPr>
        <w:t>、在未纳入合并财务报表范围的结构化主体中的权益</w:t>
      </w:r>
      <w:bookmarkEnd w:id="547"/>
    </w:p>
    <w:p w14:paraId="48BE3C56" w14:textId="77777777" w:rsidR="00872599" w:rsidRPr="00F614F9" w:rsidRDefault="00000000">
      <w:pPr>
        <w:pStyle w:val="a3"/>
        <w:spacing w:before="0" w:beforeAutospacing="0" w:after="0" w:afterAutospacing="0"/>
        <w:ind w:firstLine="360"/>
        <w:jc w:val="both"/>
        <w:divId w:val="430905201"/>
        <w:rPr>
          <w:rFonts w:ascii="Times New Roman" w:hAnsi="Times New Roman" w:cs="Calibri"/>
          <w:sz w:val="21"/>
          <w:szCs w:val="21"/>
        </w:rPr>
      </w:pPr>
      <w:r w:rsidRPr="00F614F9">
        <w:rPr>
          <w:rFonts w:ascii="Times New Roman" w:hAnsi="Times New Roman" w:cs="Calibri" w:hint="eastAsia"/>
          <w:sz w:val="18"/>
          <w:szCs w:val="18"/>
        </w:rPr>
        <w:t>无</w:t>
      </w:r>
    </w:p>
    <w:p w14:paraId="451D7BD2" w14:textId="77777777" w:rsidR="001D26E7" w:rsidRPr="00F614F9" w:rsidRDefault="00000000">
      <w:pPr>
        <w:pStyle w:val="3"/>
        <w:spacing w:line="280" w:lineRule="exact"/>
        <w:jc w:val="left"/>
        <w:rPr>
          <w:rFonts w:ascii="Times New Roman" w:hAnsi="Times New Roman" w:cs="宋体"/>
          <w:b/>
          <w:bCs/>
        </w:rPr>
      </w:pPr>
      <w:bookmarkStart w:id="548" w:name="_Toc989394"/>
      <w:r w:rsidRPr="00F614F9">
        <w:rPr>
          <w:rFonts w:ascii="Times New Roman" w:hAnsi="Times New Roman" w:cs="宋体"/>
          <w:b/>
          <w:bCs/>
        </w:rPr>
        <w:t>6</w:t>
      </w:r>
      <w:r w:rsidRPr="00F614F9">
        <w:rPr>
          <w:rFonts w:ascii="Times New Roman" w:hAnsi="Times New Roman" w:cs="宋体"/>
          <w:b/>
          <w:bCs/>
        </w:rPr>
        <w:t>、其他</w:t>
      </w:r>
      <w:bookmarkEnd w:id="548"/>
    </w:p>
    <w:p w14:paraId="1723F332" w14:textId="77777777" w:rsidR="00872599" w:rsidRPr="00F614F9" w:rsidRDefault="00000000">
      <w:pPr>
        <w:pStyle w:val="a3"/>
        <w:spacing w:before="0" w:beforeAutospacing="0" w:after="0" w:afterAutospacing="0"/>
        <w:ind w:firstLine="360"/>
        <w:jc w:val="both"/>
        <w:divId w:val="928778052"/>
        <w:rPr>
          <w:rFonts w:ascii="Times New Roman" w:hAnsi="Times New Roman" w:cs="Calibri"/>
          <w:sz w:val="21"/>
          <w:szCs w:val="21"/>
        </w:rPr>
      </w:pPr>
      <w:r w:rsidRPr="00F614F9">
        <w:rPr>
          <w:rFonts w:ascii="Times New Roman" w:hAnsi="Times New Roman" w:cs="Calibri" w:hint="eastAsia"/>
          <w:sz w:val="18"/>
          <w:szCs w:val="18"/>
        </w:rPr>
        <w:t>无</w:t>
      </w:r>
    </w:p>
    <w:p w14:paraId="593578B7"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549" w:name="_Toc989395"/>
      <w:bookmarkStart w:id="550" w:name="_Toc164024832"/>
      <w:r w:rsidRPr="00F614F9">
        <w:rPr>
          <w:rFonts w:ascii="Times New Roman" w:eastAsia="宋体" w:hAnsi="Times New Roman" w:cs="宋体"/>
          <w:b/>
          <w:bCs/>
          <w:sz w:val="24"/>
          <w:szCs w:val="24"/>
        </w:rPr>
        <w:t>十一、政府补助</w:t>
      </w:r>
      <w:bookmarkEnd w:id="549"/>
      <w:bookmarkEnd w:id="550"/>
    </w:p>
    <w:p w14:paraId="7364DD1E" w14:textId="77777777" w:rsidR="001D26E7" w:rsidRPr="00F614F9" w:rsidRDefault="00000000">
      <w:pPr>
        <w:pStyle w:val="3"/>
        <w:spacing w:line="280" w:lineRule="exact"/>
        <w:jc w:val="left"/>
        <w:rPr>
          <w:rFonts w:ascii="Times New Roman" w:hAnsi="Times New Roman" w:cs="宋体"/>
          <w:b/>
          <w:bCs/>
        </w:rPr>
      </w:pPr>
      <w:bookmarkStart w:id="551" w:name="_Toc989396"/>
      <w:r w:rsidRPr="00F614F9">
        <w:rPr>
          <w:rFonts w:ascii="Times New Roman" w:hAnsi="Times New Roman" w:cs="宋体"/>
          <w:b/>
          <w:bCs/>
        </w:rPr>
        <w:t>1</w:t>
      </w:r>
      <w:r w:rsidRPr="00F614F9">
        <w:rPr>
          <w:rFonts w:ascii="Times New Roman" w:hAnsi="Times New Roman" w:cs="宋体"/>
          <w:b/>
          <w:bCs/>
        </w:rPr>
        <w:t>、报告期末按应收金额确认的政府补助</w:t>
      </w:r>
      <w:bookmarkEnd w:id="551"/>
    </w:p>
    <w:p w14:paraId="7F83C387"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7CF1072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未能在预计时点收到预计金额的政府补助的原因</w:t>
      </w:r>
    </w:p>
    <w:p w14:paraId="45AC5FC6"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00E30B78" w14:textId="77777777" w:rsidR="001D26E7" w:rsidRPr="00F614F9" w:rsidRDefault="00000000">
      <w:pPr>
        <w:pStyle w:val="3"/>
        <w:spacing w:line="280" w:lineRule="exact"/>
        <w:jc w:val="left"/>
        <w:rPr>
          <w:rFonts w:ascii="Times New Roman" w:hAnsi="Times New Roman" w:cs="宋体"/>
          <w:b/>
          <w:bCs/>
        </w:rPr>
      </w:pPr>
      <w:bookmarkStart w:id="552" w:name="_Toc989397"/>
      <w:r w:rsidRPr="00F614F9">
        <w:rPr>
          <w:rFonts w:ascii="Times New Roman" w:hAnsi="Times New Roman" w:cs="宋体"/>
          <w:b/>
          <w:bCs/>
        </w:rPr>
        <w:t>2</w:t>
      </w:r>
      <w:r w:rsidRPr="00F614F9">
        <w:rPr>
          <w:rFonts w:ascii="Times New Roman" w:hAnsi="Times New Roman" w:cs="宋体"/>
          <w:b/>
          <w:bCs/>
        </w:rPr>
        <w:t>、涉及政府补助的负债项目</w:t>
      </w:r>
      <w:bookmarkEnd w:id="552"/>
    </w:p>
    <w:p w14:paraId="213BBA9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0B71C49E"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205"/>
        <w:gridCol w:w="1205"/>
        <w:gridCol w:w="1205"/>
        <w:gridCol w:w="1205"/>
        <w:gridCol w:w="1205"/>
        <w:gridCol w:w="1205"/>
        <w:gridCol w:w="1205"/>
      </w:tblGrid>
      <w:tr w:rsidR="001D26E7" w:rsidRPr="00F614F9" w14:paraId="26224BE5"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2690A24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会计科目</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5AD3FF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327BA63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本期新增补助金额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CA5102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本期计入营业外收入金额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736A24F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本期转入其他收益金额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A17EF2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本期其他变动</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33E1DE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510E215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与资产</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收益相关</w:t>
            </w:r>
          </w:p>
        </w:tc>
      </w:tr>
      <w:tr w:rsidR="001D26E7" w:rsidRPr="00F614F9" w14:paraId="2389FE15"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0CC64DA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递延收益</w:t>
            </w:r>
          </w:p>
        </w:tc>
        <w:tc>
          <w:tcPr>
            <w:tcW w:w="1205" w:type="dxa"/>
            <w:tcBorders>
              <w:top w:val="single" w:sz="2" w:space="0" w:color="auto"/>
              <w:left w:val="single" w:sz="2" w:space="0" w:color="auto"/>
              <w:bottom w:val="single" w:sz="2" w:space="0" w:color="auto"/>
              <w:right w:val="single" w:sz="2" w:space="0" w:color="auto"/>
            </w:tcBorders>
            <w:vAlign w:val="center"/>
          </w:tcPr>
          <w:p w14:paraId="2E9D179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46,570,043.69</w:t>
            </w:r>
          </w:p>
        </w:tc>
        <w:tc>
          <w:tcPr>
            <w:tcW w:w="1205" w:type="dxa"/>
            <w:tcBorders>
              <w:top w:val="single" w:sz="2" w:space="0" w:color="auto"/>
              <w:left w:val="single" w:sz="2" w:space="0" w:color="auto"/>
              <w:bottom w:val="single" w:sz="2" w:space="0" w:color="auto"/>
              <w:right w:val="single" w:sz="2" w:space="0" w:color="auto"/>
            </w:tcBorders>
            <w:vAlign w:val="center"/>
          </w:tcPr>
          <w:p w14:paraId="5B9EF09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2,010,000.00</w:t>
            </w:r>
          </w:p>
        </w:tc>
        <w:tc>
          <w:tcPr>
            <w:tcW w:w="1205" w:type="dxa"/>
            <w:tcBorders>
              <w:top w:val="single" w:sz="2" w:space="0" w:color="auto"/>
              <w:left w:val="single" w:sz="2" w:space="0" w:color="auto"/>
              <w:bottom w:val="single" w:sz="2" w:space="0" w:color="auto"/>
              <w:right w:val="single" w:sz="2" w:space="0" w:color="auto"/>
            </w:tcBorders>
            <w:vAlign w:val="center"/>
          </w:tcPr>
          <w:p w14:paraId="7B80D0E8" w14:textId="77777777" w:rsidR="001D26E7" w:rsidRPr="00F614F9" w:rsidRDefault="001D26E7">
            <w:pPr>
              <w:spacing w:line="240" w:lineRule="exact"/>
              <w:jc w:val="right"/>
              <w:rPr>
                <w:rFonts w:ascii="Times New Roman" w:eastAsia="宋体" w:hAnsi="Times New Roman"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7DB3E6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3,968,000.45</w:t>
            </w:r>
          </w:p>
        </w:tc>
        <w:tc>
          <w:tcPr>
            <w:tcW w:w="1205" w:type="dxa"/>
            <w:tcBorders>
              <w:top w:val="single" w:sz="2" w:space="0" w:color="auto"/>
              <w:left w:val="single" w:sz="2" w:space="0" w:color="auto"/>
              <w:bottom w:val="single" w:sz="2" w:space="0" w:color="auto"/>
              <w:right w:val="single" w:sz="2" w:space="0" w:color="auto"/>
            </w:tcBorders>
            <w:vAlign w:val="center"/>
          </w:tcPr>
          <w:p w14:paraId="50F4F0D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5,000,000.00</w:t>
            </w:r>
          </w:p>
        </w:tc>
        <w:tc>
          <w:tcPr>
            <w:tcW w:w="1205" w:type="dxa"/>
            <w:tcBorders>
              <w:top w:val="single" w:sz="2" w:space="0" w:color="auto"/>
              <w:left w:val="single" w:sz="2" w:space="0" w:color="auto"/>
              <w:bottom w:val="single" w:sz="2" w:space="0" w:color="auto"/>
              <w:right w:val="single" w:sz="2" w:space="0" w:color="auto"/>
            </w:tcBorders>
            <w:vAlign w:val="center"/>
          </w:tcPr>
          <w:p w14:paraId="5FC9687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39,612,043.24</w:t>
            </w:r>
          </w:p>
        </w:tc>
        <w:tc>
          <w:tcPr>
            <w:tcW w:w="1205" w:type="dxa"/>
            <w:tcBorders>
              <w:top w:val="single" w:sz="2" w:space="0" w:color="auto"/>
              <w:left w:val="single" w:sz="2" w:space="0" w:color="auto"/>
              <w:bottom w:val="single" w:sz="2" w:space="0" w:color="auto"/>
              <w:right w:val="single" w:sz="2" w:space="0" w:color="auto"/>
            </w:tcBorders>
            <w:vAlign w:val="center"/>
          </w:tcPr>
          <w:p w14:paraId="4CBA563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与资产相关</w:t>
            </w:r>
          </w:p>
        </w:tc>
      </w:tr>
    </w:tbl>
    <w:p w14:paraId="7FE52266" w14:textId="77777777" w:rsidR="001D26E7" w:rsidRPr="00F614F9" w:rsidRDefault="00000000">
      <w:pPr>
        <w:pStyle w:val="3"/>
        <w:spacing w:line="280" w:lineRule="exact"/>
        <w:jc w:val="left"/>
        <w:rPr>
          <w:rFonts w:ascii="Times New Roman" w:hAnsi="Times New Roman" w:cs="宋体"/>
          <w:b/>
          <w:bCs/>
        </w:rPr>
      </w:pPr>
      <w:bookmarkStart w:id="553" w:name="_Toc989398"/>
      <w:r w:rsidRPr="00F614F9">
        <w:rPr>
          <w:rFonts w:ascii="Times New Roman" w:hAnsi="Times New Roman" w:cs="宋体"/>
          <w:b/>
          <w:bCs/>
        </w:rPr>
        <w:lastRenderedPageBreak/>
        <w:t>3</w:t>
      </w:r>
      <w:r w:rsidRPr="00F614F9">
        <w:rPr>
          <w:rFonts w:ascii="Times New Roman" w:hAnsi="Times New Roman" w:cs="宋体"/>
          <w:b/>
          <w:bCs/>
        </w:rPr>
        <w:t>、计入当期损益的政府补助</w:t>
      </w:r>
      <w:bookmarkEnd w:id="553"/>
    </w:p>
    <w:p w14:paraId="14659AC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18F01B6A"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3452B7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5877C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会计科目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F868C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D7B54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0405160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4534E2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6AE8FBB0" w14:textId="77777777" w:rsidR="001D26E7" w:rsidRPr="00F614F9" w:rsidRDefault="00B77F5F">
            <w:pPr>
              <w:spacing w:line="240" w:lineRule="exact"/>
              <w:jc w:val="right"/>
              <w:rPr>
                <w:rFonts w:ascii="Times New Roman" w:eastAsia="宋体" w:hAnsi="Times New Roman" w:cs="宋体"/>
                <w:sz w:val="18"/>
                <w:szCs w:val="18"/>
              </w:rPr>
            </w:pPr>
            <w:r w:rsidRPr="00B77F5F">
              <w:rPr>
                <w:rFonts w:ascii="Times New Roman" w:eastAsia="宋体" w:hAnsi="Times New Roman" w:cs="宋体"/>
                <w:sz w:val="18"/>
                <w:szCs w:val="18"/>
              </w:rPr>
              <w:t>19,539,669.33</w:t>
            </w:r>
          </w:p>
        </w:tc>
        <w:tc>
          <w:tcPr>
            <w:tcW w:w="3213" w:type="dxa"/>
            <w:tcBorders>
              <w:top w:val="single" w:sz="2" w:space="0" w:color="auto"/>
              <w:left w:val="single" w:sz="2" w:space="0" w:color="auto"/>
              <w:bottom w:val="single" w:sz="2" w:space="0" w:color="auto"/>
              <w:right w:val="single" w:sz="2" w:space="0" w:color="auto"/>
            </w:tcBorders>
            <w:vAlign w:val="center"/>
          </w:tcPr>
          <w:p w14:paraId="070C758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14,917,893.50</w:t>
            </w:r>
          </w:p>
        </w:tc>
      </w:tr>
      <w:tr w:rsidR="001D26E7" w:rsidRPr="00F614F9" w14:paraId="59965ED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22BED6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7A3F6BD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3,968,000.45</w:t>
            </w:r>
          </w:p>
        </w:tc>
        <w:tc>
          <w:tcPr>
            <w:tcW w:w="3213" w:type="dxa"/>
            <w:tcBorders>
              <w:top w:val="single" w:sz="2" w:space="0" w:color="auto"/>
              <w:left w:val="single" w:sz="2" w:space="0" w:color="auto"/>
              <w:bottom w:val="single" w:sz="2" w:space="0" w:color="auto"/>
              <w:right w:val="single" w:sz="2" w:space="0" w:color="auto"/>
            </w:tcBorders>
            <w:vAlign w:val="center"/>
          </w:tcPr>
          <w:p w14:paraId="6E193F1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3,620,695.08</w:t>
            </w:r>
          </w:p>
        </w:tc>
      </w:tr>
      <w:tr w:rsidR="001D26E7" w:rsidRPr="00F614F9" w14:paraId="5B17132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8C190A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4D77777" w14:textId="77777777" w:rsidR="001D26E7" w:rsidRPr="00F614F9" w:rsidRDefault="00B77F5F">
            <w:pPr>
              <w:spacing w:line="240" w:lineRule="exact"/>
              <w:jc w:val="right"/>
              <w:rPr>
                <w:rFonts w:ascii="Times New Roman" w:eastAsia="宋体" w:hAnsi="Times New Roman" w:cs="宋体"/>
                <w:sz w:val="18"/>
                <w:szCs w:val="18"/>
              </w:rPr>
            </w:pPr>
            <w:r w:rsidRPr="00B77F5F">
              <w:rPr>
                <w:rFonts w:ascii="Times New Roman" w:eastAsia="宋体" w:hAnsi="Times New Roman" w:cs="宋体"/>
                <w:sz w:val="18"/>
                <w:szCs w:val="18"/>
              </w:rPr>
              <w:t>23,507,669.78</w:t>
            </w:r>
          </w:p>
        </w:tc>
        <w:tc>
          <w:tcPr>
            <w:tcW w:w="3213" w:type="dxa"/>
            <w:tcBorders>
              <w:top w:val="single" w:sz="2" w:space="0" w:color="auto"/>
              <w:left w:val="single" w:sz="2" w:space="0" w:color="auto"/>
              <w:bottom w:val="single" w:sz="2" w:space="0" w:color="auto"/>
              <w:right w:val="single" w:sz="2" w:space="0" w:color="auto"/>
            </w:tcBorders>
            <w:vAlign w:val="center"/>
          </w:tcPr>
          <w:p w14:paraId="490EE29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18,538,588.58</w:t>
            </w:r>
          </w:p>
        </w:tc>
      </w:tr>
    </w:tbl>
    <w:p w14:paraId="1F4641F1"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655C89AC" w14:textId="77777777" w:rsidR="00872599" w:rsidRPr="00F614F9" w:rsidRDefault="00000000">
      <w:pPr>
        <w:pStyle w:val="a3"/>
        <w:divId w:val="790395730"/>
        <w:rPr>
          <w:rFonts w:ascii="Times New Roman" w:hAnsi="Times New Roman"/>
          <w:sz w:val="18"/>
          <w:szCs w:val="18"/>
        </w:rPr>
      </w:pPr>
      <w:r w:rsidRPr="00F614F9">
        <w:rPr>
          <w:rFonts w:ascii="Times New Roman" w:hAnsi="Times New Roman" w:hint="eastAsia"/>
          <w:sz w:val="18"/>
          <w:szCs w:val="18"/>
        </w:rPr>
        <w:t>无</w:t>
      </w:r>
    </w:p>
    <w:p w14:paraId="2A1A847F"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554" w:name="_Toc989399"/>
      <w:bookmarkStart w:id="555" w:name="_Toc164024833"/>
      <w:r w:rsidRPr="00F614F9">
        <w:rPr>
          <w:rFonts w:ascii="Times New Roman" w:eastAsia="宋体" w:hAnsi="Times New Roman" w:cs="宋体"/>
          <w:b/>
          <w:bCs/>
          <w:sz w:val="24"/>
          <w:szCs w:val="24"/>
        </w:rPr>
        <w:t>十二、与金融工具相关的风险</w:t>
      </w:r>
      <w:bookmarkEnd w:id="554"/>
      <w:bookmarkEnd w:id="555"/>
    </w:p>
    <w:p w14:paraId="5659BD06" w14:textId="77777777" w:rsidR="001D26E7" w:rsidRPr="00F614F9" w:rsidRDefault="00000000">
      <w:pPr>
        <w:pStyle w:val="3"/>
        <w:spacing w:line="280" w:lineRule="exact"/>
        <w:jc w:val="left"/>
        <w:rPr>
          <w:rFonts w:ascii="Times New Roman" w:hAnsi="Times New Roman" w:cs="宋体"/>
          <w:b/>
          <w:bCs/>
        </w:rPr>
      </w:pPr>
      <w:bookmarkStart w:id="556" w:name="_Toc989400"/>
      <w:r w:rsidRPr="00F614F9">
        <w:rPr>
          <w:rFonts w:ascii="Times New Roman" w:hAnsi="Times New Roman" w:cs="宋体"/>
          <w:b/>
          <w:bCs/>
        </w:rPr>
        <w:t>1</w:t>
      </w:r>
      <w:r w:rsidRPr="00F614F9">
        <w:rPr>
          <w:rFonts w:ascii="Times New Roman" w:hAnsi="Times New Roman" w:cs="宋体"/>
          <w:b/>
          <w:bCs/>
        </w:rPr>
        <w:t>、金融工具产生的各类风险</w:t>
      </w:r>
      <w:bookmarkEnd w:id="556"/>
    </w:p>
    <w:p w14:paraId="4BB5748F" w14:textId="77777777" w:rsidR="00B77F5F" w:rsidRPr="00B77F5F" w:rsidRDefault="00B77F5F" w:rsidP="00B77F5F">
      <w:pPr>
        <w:spacing w:line="276" w:lineRule="auto"/>
        <w:ind w:firstLineChars="200" w:firstLine="360"/>
        <w:rPr>
          <w:rFonts w:ascii="Times New Roman" w:eastAsia="宋体" w:hAnsi="Times New Roman"/>
          <w:sz w:val="18"/>
          <w:szCs w:val="18"/>
        </w:rPr>
      </w:pPr>
      <w:bookmarkStart w:id="557" w:name="_Toc989401"/>
      <w:r w:rsidRPr="00B77F5F">
        <w:rPr>
          <w:rFonts w:ascii="Times New Roman" w:eastAsia="宋体" w:hAnsi="Times New Roman" w:hint="eastAsia"/>
          <w:sz w:val="18"/>
          <w:szCs w:val="18"/>
        </w:rPr>
        <w:t>本集团的主要金融工具包括股权投资、债权投资、借款、应收款项、应付账款、可转换债券等，各项金融工具的详细情况说明见本附注</w:t>
      </w:r>
      <w:proofErr w:type="gramStart"/>
      <w:r w:rsidRPr="00B77F5F">
        <w:rPr>
          <w:rFonts w:ascii="Times New Roman" w:eastAsia="宋体" w:hAnsi="Times New Roman" w:hint="eastAsia"/>
          <w:sz w:val="18"/>
          <w:szCs w:val="18"/>
        </w:rPr>
        <w:t>六相关</w:t>
      </w:r>
      <w:proofErr w:type="gramEnd"/>
      <w:r w:rsidRPr="00B77F5F">
        <w:rPr>
          <w:rFonts w:ascii="Times New Roman" w:eastAsia="宋体" w:hAnsi="Times New Roman" w:hint="eastAsia"/>
          <w:sz w:val="18"/>
          <w:szCs w:val="18"/>
        </w:rPr>
        <w:t>项目。本集团从事风险管理的目标是在风险和收益之间取得适当的平衡，将风险对本集团经营业绩的负面影响降低到最低水平，使股东及其他权益投资者的利益最大化。基于该风险管理目标，本集团风险管理的基本策略是确定和分析本集团所面临的各种风险，建立适当的风险承受底线和进行风险管理，并及时可靠地对各种风险进行监督，将风险控制在限定的范围之内。</w:t>
      </w:r>
    </w:p>
    <w:p w14:paraId="0B456293" w14:textId="77777777" w:rsidR="00B77F5F" w:rsidRPr="00B77F5F" w:rsidRDefault="002B3EAC" w:rsidP="00B77F5F">
      <w:pPr>
        <w:spacing w:line="276" w:lineRule="auto"/>
        <w:ind w:firstLineChars="200" w:firstLine="360"/>
        <w:rPr>
          <w:rFonts w:ascii="Times New Roman" w:eastAsia="宋体" w:hAnsi="Times New Roman"/>
          <w:sz w:val="18"/>
          <w:szCs w:val="18"/>
        </w:rPr>
      </w:pPr>
      <w:r>
        <w:rPr>
          <w:rFonts w:ascii="Times New Roman" w:eastAsia="宋体" w:hAnsi="Times New Roman" w:hint="eastAsia"/>
          <w:sz w:val="18"/>
          <w:szCs w:val="18"/>
        </w:rPr>
        <w:t>（</w:t>
      </w:r>
      <w:r>
        <w:rPr>
          <w:rFonts w:ascii="Times New Roman" w:eastAsia="宋体" w:hAnsi="Times New Roman" w:hint="eastAsia"/>
          <w:sz w:val="18"/>
          <w:szCs w:val="18"/>
        </w:rPr>
        <w:t>1</w:t>
      </w:r>
      <w:r>
        <w:rPr>
          <w:rFonts w:ascii="Times New Roman" w:eastAsia="宋体" w:hAnsi="Times New Roman" w:hint="eastAsia"/>
          <w:sz w:val="18"/>
          <w:szCs w:val="18"/>
        </w:rPr>
        <w:t>）</w:t>
      </w:r>
      <w:r w:rsidR="00B77F5F" w:rsidRPr="00B77F5F">
        <w:rPr>
          <w:rFonts w:ascii="Times New Roman" w:eastAsia="宋体" w:hAnsi="Times New Roman"/>
          <w:sz w:val="18"/>
          <w:szCs w:val="18"/>
        </w:rPr>
        <w:t>  </w:t>
      </w:r>
      <w:r w:rsidR="00B77F5F" w:rsidRPr="00B77F5F">
        <w:rPr>
          <w:rFonts w:ascii="Times New Roman" w:eastAsia="宋体" w:hAnsi="Times New Roman" w:hint="eastAsia"/>
          <w:sz w:val="18"/>
          <w:szCs w:val="18"/>
        </w:rPr>
        <w:t>市场风险</w:t>
      </w:r>
    </w:p>
    <w:p w14:paraId="7FE365F5" w14:textId="77777777" w:rsidR="00B77F5F" w:rsidRPr="00B77F5F" w:rsidRDefault="00B77F5F" w:rsidP="00B77F5F">
      <w:pPr>
        <w:spacing w:line="276" w:lineRule="auto"/>
        <w:ind w:firstLineChars="200" w:firstLine="360"/>
        <w:rPr>
          <w:rFonts w:ascii="Times New Roman" w:eastAsia="宋体" w:hAnsi="Times New Roman"/>
          <w:sz w:val="18"/>
          <w:szCs w:val="18"/>
        </w:rPr>
      </w:pPr>
      <w:r w:rsidRPr="00B77F5F">
        <w:rPr>
          <w:rFonts w:ascii="Times New Roman" w:eastAsia="宋体" w:hAnsi="Times New Roman" w:hint="eastAsia"/>
          <w:sz w:val="18"/>
          <w:szCs w:val="18"/>
        </w:rPr>
        <w:t>金融工具的市场风险，是指金融工具的公允价值或未来现金流量因市场价格变动而发生波动的风险，包括汇率风险、利率风险和其他价格风险。</w:t>
      </w:r>
    </w:p>
    <w:p w14:paraId="51CB6FEC" w14:textId="77777777" w:rsidR="00B77F5F" w:rsidRPr="00B77F5F" w:rsidRDefault="00B77F5F" w:rsidP="00B77F5F">
      <w:pPr>
        <w:spacing w:line="276" w:lineRule="auto"/>
        <w:ind w:firstLineChars="200" w:firstLine="360"/>
        <w:rPr>
          <w:rFonts w:ascii="Times New Roman" w:eastAsia="宋体" w:hAnsi="Times New Roman"/>
          <w:sz w:val="18"/>
          <w:szCs w:val="18"/>
        </w:rPr>
      </w:pPr>
      <w:r w:rsidRPr="00B77F5F">
        <w:rPr>
          <w:rFonts w:ascii="Times New Roman" w:eastAsia="宋体" w:hAnsi="Times New Roman" w:hint="eastAsia"/>
          <w:sz w:val="18"/>
          <w:szCs w:val="18"/>
        </w:rPr>
        <w:t>本集团采用敏感性分析技术分析市场风险相关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14:paraId="04919DC2" w14:textId="77777777" w:rsidR="00B77F5F" w:rsidRPr="00B77F5F" w:rsidRDefault="002B3EAC" w:rsidP="00B77F5F">
      <w:pPr>
        <w:spacing w:line="276" w:lineRule="auto"/>
        <w:ind w:firstLineChars="200" w:firstLine="360"/>
        <w:rPr>
          <w:rFonts w:ascii="Times New Roman" w:eastAsia="宋体" w:hAnsi="Times New Roman"/>
          <w:sz w:val="18"/>
          <w:szCs w:val="18"/>
        </w:rPr>
      </w:pPr>
      <w:r>
        <w:rPr>
          <w:rFonts w:ascii="Times New Roman" w:eastAsia="宋体" w:hAnsi="Times New Roman" w:hint="eastAsia"/>
          <w:sz w:val="18"/>
          <w:szCs w:val="18"/>
        </w:rPr>
        <w:t>（</w:t>
      </w:r>
      <w:r>
        <w:rPr>
          <w:rFonts w:ascii="Times New Roman" w:eastAsia="宋体" w:hAnsi="Times New Roman" w:hint="eastAsia"/>
          <w:sz w:val="18"/>
          <w:szCs w:val="18"/>
        </w:rPr>
        <w:t>1</w:t>
      </w:r>
      <w:r w:rsidR="00B77F5F">
        <w:rPr>
          <w:rFonts w:ascii="Times New Roman" w:eastAsia="宋体" w:hAnsi="Times New Roman" w:hint="eastAsia"/>
          <w:sz w:val="18"/>
          <w:szCs w:val="18"/>
        </w:rPr>
        <w:t>）</w:t>
      </w:r>
      <w:r w:rsidR="00B77F5F" w:rsidRPr="00B77F5F">
        <w:rPr>
          <w:rFonts w:ascii="Times New Roman" w:eastAsia="宋体" w:hAnsi="Times New Roman" w:hint="eastAsia"/>
          <w:sz w:val="18"/>
          <w:szCs w:val="18"/>
        </w:rPr>
        <w:t>汇率风险</w:t>
      </w:r>
    </w:p>
    <w:p w14:paraId="615DD9F7" w14:textId="77777777" w:rsidR="00B77F5F" w:rsidRPr="00B77F5F" w:rsidRDefault="00B77F5F" w:rsidP="00B77F5F">
      <w:pPr>
        <w:spacing w:line="276" w:lineRule="auto"/>
        <w:ind w:firstLineChars="200" w:firstLine="360"/>
        <w:rPr>
          <w:rFonts w:ascii="Times New Roman" w:eastAsia="宋体" w:hAnsi="Times New Roman"/>
          <w:sz w:val="18"/>
          <w:szCs w:val="18"/>
        </w:rPr>
      </w:pPr>
      <w:r w:rsidRPr="00B77F5F">
        <w:rPr>
          <w:rFonts w:ascii="Times New Roman" w:eastAsia="宋体" w:hAnsi="Times New Roman" w:hint="eastAsia"/>
          <w:sz w:val="18"/>
          <w:szCs w:val="18"/>
        </w:rPr>
        <w:t>汇率风险，是指金融工具的公允价值或未来现金流量因外汇汇率变动而发生波动的风险。本集团承受外汇风险主要与美元、欧元、日元有关，除本集团的几个下属子公司以美元、欧元、日元进行采购和销售外，本集团的其他主要业务活动以人民币计价结算。汇率风险对本集团的交易及境外经营的业绩均构成影响。于</w:t>
      </w:r>
      <w:r w:rsidRPr="00B77F5F">
        <w:rPr>
          <w:rFonts w:ascii="Times New Roman" w:eastAsia="宋体" w:hAnsi="Times New Roman"/>
          <w:sz w:val="18"/>
          <w:szCs w:val="18"/>
        </w:rPr>
        <w:t>2023</w:t>
      </w:r>
      <w:r w:rsidRPr="00B77F5F">
        <w:rPr>
          <w:rFonts w:ascii="Times New Roman" w:eastAsia="宋体" w:hAnsi="Times New Roman" w:hint="eastAsia"/>
          <w:sz w:val="18"/>
          <w:szCs w:val="18"/>
        </w:rPr>
        <w:t>年</w:t>
      </w:r>
      <w:r w:rsidRPr="00B77F5F">
        <w:rPr>
          <w:rFonts w:ascii="Times New Roman" w:eastAsia="宋体" w:hAnsi="Times New Roman"/>
          <w:sz w:val="18"/>
          <w:szCs w:val="18"/>
        </w:rPr>
        <w:t>12</w:t>
      </w:r>
      <w:r w:rsidRPr="00B77F5F">
        <w:rPr>
          <w:rFonts w:ascii="Times New Roman" w:eastAsia="宋体" w:hAnsi="Times New Roman" w:hint="eastAsia"/>
          <w:sz w:val="18"/>
          <w:szCs w:val="18"/>
        </w:rPr>
        <w:t>月</w:t>
      </w:r>
      <w:r w:rsidRPr="00B77F5F">
        <w:rPr>
          <w:rFonts w:ascii="Times New Roman" w:eastAsia="宋体" w:hAnsi="Times New Roman"/>
          <w:sz w:val="18"/>
          <w:szCs w:val="18"/>
        </w:rPr>
        <w:t>31</w:t>
      </w:r>
      <w:r w:rsidRPr="00B77F5F">
        <w:rPr>
          <w:rFonts w:ascii="Times New Roman" w:eastAsia="宋体" w:hAnsi="Times New Roman" w:hint="eastAsia"/>
          <w:sz w:val="18"/>
          <w:szCs w:val="18"/>
        </w:rPr>
        <w:t>日，本集团的外币货币性项目余额参见本附注</w:t>
      </w:r>
      <w:r w:rsidR="003D5963">
        <w:rPr>
          <w:rFonts w:ascii="Times New Roman" w:eastAsia="宋体" w:hAnsi="Times New Roman" w:hint="eastAsia"/>
          <w:sz w:val="18"/>
          <w:szCs w:val="18"/>
        </w:rPr>
        <w:t>七</w:t>
      </w:r>
      <w:r w:rsidRPr="00B77F5F">
        <w:rPr>
          <w:rFonts w:ascii="Times New Roman" w:eastAsia="宋体" w:hAnsi="Times New Roman" w:hint="eastAsia"/>
          <w:sz w:val="18"/>
          <w:szCs w:val="18"/>
        </w:rPr>
        <w:t>、</w:t>
      </w:r>
      <w:r w:rsidR="003D5963">
        <w:rPr>
          <w:rFonts w:ascii="Times New Roman" w:eastAsia="宋体" w:hAnsi="Times New Roman" w:hint="eastAsia"/>
          <w:sz w:val="18"/>
          <w:szCs w:val="18"/>
        </w:rPr>
        <w:t>81</w:t>
      </w:r>
      <w:r w:rsidRPr="00B77F5F">
        <w:rPr>
          <w:rFonts w:ascii="Times New Roman" w:eastAsia="宋体" w:hAnsi="Times New Roman"/>
          <w:sz w:val="18"/>
          <w:szCs w:val="18"/>
        </w:rPr>
        <w:t>    “</w:t>
      </w:r>
      <w:r w:rsidRPr="00B77F5F">
        <w:rPr>
          <w:rFonts w:ascii="Times New Roman" w:eastAsia="宋体" w:hAnsi="Times New Roman" w:hint="eastAsia"/>
          <w:sz w:val="18"/>
          <w:szCs w:val="18"/>
        </w:rPr>
        <w:t>外币货币性项目</w:t>
      </w:r>
      <w:r w:rsidRPr="00B77F5F">
        <w:rPr>
          <w:rFonts w:ascii="Times New Roman" w:eastAsia="宋体" w:hAnsi="Times New Roman"/>
          <w:sz w:val="18"/>
          <w:szCs w:val="18"/>
        </w:rPr>
        <w:t>”</w:t>
      </w:r>
      <w:r w:rsidRPr="00B77F5F">
        <w:rPr>
          <w:rFonts w:ascii="Times New Roman" w:eastAsia="宋体" w:hAnsi="Times New Roman" w:hint="eastAsia"/>
          <w:sz w:val="18"/>
          <w:szCs w:val="18"/>
        </w:rPr>
        <w:t>。</w:t>
      </w:r>
    </w:p>
    <w:p w14:paraId="687FC54D" w14:textId="77777777" w:rsidR="00B77F5F" w:rsidRPr="00B77F5F" w:rsidRDefault="00B77F5F" w:rsidP="00B77F5F">
      <w:pPr>
        <w:spacing w:line="276" w:lineRule="auto"/>
        <w:ind w:firstLineChars="200" w:firstLine="360"/>
        <w:rPr>
          <w:rFonts w:ascii="Times New Roman" w:eastAsia="宋体" w:hAnsi="Times New Roman"/>
          <w:sz w:val="18"/>
          <w:szCs w:val="18"/>
        </w:rPr>
      </w:pPr>
      <w:r w:rsidRPr="00B77F5F">
        <w:rPr>
          <w:rFonts w:ascii="Times New Roman" w:eastAsia="宋体" w:hAnsi="Times New Roman" w:hint="eastAsia"/>
          <w:sz w:val="18"/>
          <w:szCs w:val="18"/>
        </w:rPr>
        <w:t>本集团密切关注汇率变动对本</w:t>
      </w:r>
      <w:proofErr w:type="gramStart"/>
      <w:r w:rsidRPr="00B77F5F">
        <w:rPr>
          <w:rFonts w:ascii="Times New Roman" w:eastAsia="宋体" w:hAnsi="Times New Roman" w:hint="eastAsia"/>
          <w:sz w:val="18"/>
          <w:szCs w:val="18"/>
        </w:rPr>
        <w:t>集团汇率</w:t>
      </w:r>
      <w:proofErr w:type="gramEnd"/>
      <w:r w:rsidRPr="00B77F5F">
        <w:rPr>
          <w:rFonts w:ascii="Times New Roman" w:eastAsia="宋体" w:hAnsi="Times New Roman" w:hint="eastAsia"/>
          <w:sz w:val="18"/>
          <w:szCs w:val="18"/>
        </w:rPr>
        <w:t>风险的影响。本集团目前并未采取任何措施规避汇率风险。</w:t>
      </w:r>
    </w:p>
    <w:p w14:paraId="08C0FC62" w14:textId="77777777" w:rsidR="00B77F5F" w:rsidRPr="00B77F5F" w:rsidRDefault="00B77F5F" w:rsidP="00B77F5F">
      <w:pPr>
        <w:spacing w:line="276" w:lineRule="auto"/>
        <w:ind w:firstLineChars="200" w:firstLine="360"/>
        <w:rPr>
          <w:rFonts w:ascii="Times New Roman" w:eastAsia="宋体" w:hAnsi="Times New Roman"/>
          <w:sz w:val="18"/>
          <w:szCs w:val="18"/>
        </w:rPr>
      </w:pPr>
      <w:r w:rsidRPr="00B77F5F">
        <w:rPr>
          <w:rFonts w:ascii="Times New Roman" w:eastAsia="宋体" w:hAnsi="Times New Roman" w:hint="eastAsia"/>
          <w:sz w:val="18"/>
          <w:szCs w:val="18"/>
        </w:rPr>
        <w:t>汇率风险的敏感性分析见下表，反映了在其他变量不变的假设下，以下所</w:t>
      </w:r>
      <w:proofErr w:type="gramStart"/>
      <w:r w:rsidRPr="00B77F5F">
        <w:rPr>
          <w:rFonts w:ascii="Times New Roman" w:eastAsia="宋体" w:hAnsi="Times New Roman" w:hint="eastAsia"/>
          <w:sz w:val="18"/>
          <w:szCs w:val="18"/>
        </w:rPr>
        <w:t>列外</w:t>
      </w:r>
      <w:proofErr w:type="gramEnd"/>
      <w:r w:rsidRPr="00B77F5F">
        <w:rPr>
          <w:rFonts w:ascii="Times New Roman" w:eastAsia="宋体" w:hAnsi="Times New Roman" w:hint="eastAsia"/>
          <w:sz w:val="18"/>
          <w:szCs w:val="18"/>
        </w:rPr>
        <w:t>币汇率发生合理、可能的变动时，由于货币性资产和货币性负债的公允价值变化将对净利润和股东权益产生的影响。</w:t>
      </w:r>
      <w:r w:rsidRPr="00B77F5F">
        <w:rPr>
          <w:rFonts w:ascii="Times New Roman" w:eastAsia="宋体" w:hAnsi="Times New Roman"/>
          <w:sz w:val="18"/>
          <w:szCs w:val="18"/>
        </w:rPr>
        <w:br/>
      </w:r>
    </w:p>
    <w:tbl>
      <w:tblPr>
        <w:tblW w:w="5000" w:type="pct"/>
        <w:tblCellMar>
          <w:left w:w="0" w:type="dxa"/>
          <w:right w:w="0" w:type="dxa"/>
        </w:tblCellMar>
        <w:tblLook w:val="04A0" w:firstRow="1" w:lastRow="0" w:firstColumn="1" w:lastColumn="0" w:noHBand="0" w:noVBand="1"/>
      </w:tblPr>
      <w:tblGrid>
        <w:gridCol w:w="4079"/>
        <w:gridCol w:w="1360"/>
        <w:gridCol w:w="1458"/>
        <w:gridCol w:w="1360"/>
        <w:gridCol w:w="1360"/>
      </w:tblGrid>
      <w:tr w:rsidR="00B77F5F" w:rsidRPr="00B77F5F" w14:paraId="07D69486" w14:textId="77777777" w:rsidTr="00B77F5F">
        <w:trPr>
          <w:trHeight w:val="340"/>
          <w:tblHeader/>
        </w:trPr>
        <w:tc>
          <w:tcPr>
            <w:tcW w:w="21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9EF42B"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项目</w:t>
            </w:r>
          </w:p>
        </w:tc>
        <w:tc>
          <w:tcPr>
            <w:tcW w:w="14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0A1B24" w14:textId="77777777" w:rsidR="00B77F5F" w:rsidRPr="00B77F5F" w:rsidRDefault="00B77F5F" w:rsidP="002B3EAC">
            <w:pPr>
              <w:jc w:val="center"/>
              <w:rPr>
                <w:rFonts w:ascii="Times New Roman" w:eastAsia="宋体" w:hAnsi="Times New Roman"/>
                <w:sz w:val="18"/>
                <w:szCs w:val="18"/>
              </w:rPr>
            </w:pPr>
            <w:r w:rsidRPr="00B77F5F">
              <w:rPr>
                <w:rFonts w:ascii="Times New Roman" w:eastAsia="宋体" w:hAnsi="Times New Roman" w:hint="eastAsia"/>
                <w:sz w:val="18"/>
                <w:szCs w:val="18"/>
              </w:rPr>
              <w:t>本年</w:t>
            </w:r>
          </w:p>
        </w:tc>
        <w:tc>
          <w:tcPr>
            <w:tcW w:w="14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C0284B" w14:textId="77777777" w:rsidR="00B77F5F" w:rsidRPr="00B77F5F" w:rsidRDefault="00B77F5F" w:rsidP="002B3EAC">
            <w:pPr>
              <w:jc w:val="center"/>
              <w:rPr>
                <w:rFonts w:ascii="Times New Roman" w:eastAsia="宋体" w:hAnsi="Times New Roman"/>
                <w:sz w:val="18"/>
                <w:szCs w:val="18"/>
              </w:rPr>
            </w:pPr>
            <w:r w:rsidRPr="00B77F5F">
              <w:rPr>
                <w:rFonts w:ascii="Times New Roman" w:eastAsia="宋体" w:hAnsi="Times New Roman" w:hint="eastAsia"/>
                <w:sz w:val="18"/>
                <w:szCs w:val="18"/>
              </w:rPr>
              <w:t>上年</w:t>
            </w:r>
          </w:p>
        </w:tc>
      </w:tr>
      <w:tr w:rsidR="00B77F5F" w:rsidRPr="00B77F5F" w14:paraId="35105B5C" w14:textId="77777777" w:rsidTr="00B77F5F">
        <w:trPr>
          <w:trHeight w:val="34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E0C92E6" w14:textId="77777777" w:rsidR="00B77F5F" w:rsidRPr="00B77F5F" w:rsidRDefault="00B77F5F" w:rsidP="00B77F5F">
            <w:pPr>
              <w:rPr>
                <w:rFonts w:ascii="Times New Roman" w:eastAsia="宋体" w:hAnsi="Times New Roman"/>
                <w:sz w:val="18"/>
                <w:szCs w:val="18"/>
              </w:rPr>
            </w:pPr>
          </w:p>
        </w:tc>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6C6090" w14:textId="77777777" w:rsidR="00B77F5F" w:rsidRPr="00B77F5F" w:rsidRDefault="00B77F5F" w:rsidP="002B3EAC">
            <w:pPr>
              <w:jc w:val="center"/>
              <w:rPr>
                <w:rFonts w:ascii="Times New Roman" w:eastAsia="宋体" w:hAnsi="Times New Roman"/>
                <w:sz w:val="18"/>
                <w:szCs w:val="18"/>
              </w:rPr>
            </w:pPr>
            <w:r w:rsidRPr="00B77F5F">
              <w:rPr>
                <w:rFonts w:ascii="Times New Roman" w:eastAsia="宋体" w:hAnsi="Times New Roman" w:hint="eastAsia"/>
                <w:sz w:val="18"/>
                <w:szCs w:val="18"/>
              </w:rPr>
              <w:t>对利润的影响</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15A70" w14:textId="77777777" w:rsidR="00B77F5F" w:rsidRPr="00B77F5F" w:rsidRDefault="00B77F5F" w:rsidP="002B3EAC">
            <w:pPr>
              <w:jc w:val="center"/>
              <w:rPr>
                <w:rFonts w:ascii="Times New Roman" w:eastAsia="宋体" w:hAnsi="Times New Roman"/>
                <w:sz w:val="18"/>
                <w:szCs w:val="18"/>
              </w:rPr>
            </w:pPr>
            <w:r w:rsidRPr="00B77F5F">
              <w:rPr>
                <w:rFonts w:ascii="Times New Roman" w:eastAsia="宋体" w:hAnsi="Times New Roman" w:hint="eastAsia"/>
                <w:sz w:val="18"/>
                <w:szCs w:val="18"/>
              </w:rPr>
              <w:t>对股东权益的影响</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B76AA2" w14:textId="77777777" w:rsidR="00B77F5F" w:rsidRPr="00B77F5F" w:rsidRDefault="00B77F5F" w:rsidP="002B3EAC">
            <w:pPr>
              <w:jc w:val="center"/>
              <w:rPr>
                <w:rFonts w:ascii="Times New Roman" w:eastAsia="宋体" w:hAnsi="Times New Roman"/>
                <w:sz w:val="18"/>
                <w:szCs w:val="18"/>
              </w:rPr>
            </w:pPr>
            <w:r w:rsidRPr="00B77F5F">
              <w:rPr>
                <w:rFonts w:ascii="Times New Roman" w:eastAsia="宋体" w:hAnsi="Times New Roman" w:hint="eastAsia"/>
                <w:sz w:val="18"/>
                <w:szCs w:val="18"/>
              </w:rPr>
              <w:t>对利润的影响</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828AB7" w14:textId="77777777" w:rsidR="00B77F5F" w:rsidRPr="00B77F5F" w:rsidRDefault="00B77F5F" w:rsidP="002B3EAC">
            <w:pPr>
              <w:jc w:val="center"/>
              <w:rPr>
                <w:rFonts w:ascii="Times New Roman" w:eastAsia="宋体" w:hAnsi="Times New Roman"/>
                <w:sz w:val="18"/>
                <w:szCs w:val="18"/>
              </w:rPr>
            </w:pPr>
            <w:r w:rsidRPr="00B77F5F">
              <w:rPr>
                <w:rFonts w:ascii="Times New Roman" w:eastAsia="宋体" w:hAnsi="Times New Roman" w:hint="eastAsia"/>
                <w:sz w:val="18"/>
                <w:szCs w:val="18"/>
              </w:rPr>
              <w:t>对股东权益的影响</w:t>
            </w:r>
          </w:p>
        </w:tc>
      </w:tr>
      <w:tr w:rsidR="00B77F5F" w:rsidRPr="00B77F5F" w14:paraId="0CC3FD9C" w14:textId="77777777" w:rsidTr="00B77F5F">
        <w:trPr>
          <w:trHeight w:val="340"/>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D99D5"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人民币对美元汇率增加</w:t>
            </w:r>
            <w:r w:rsidRPr="00B77F5F">
              <w:rPr>
                <w:rFonts w:ascii="Times New Roman" w:eastAsia="宋体" w:hAnsi="Times New Roman"/>
                <w:sz w:val="18"/>
                <w:szCs w:val="18"/>
              </w:rPr>
              <w:t>100</w:t>
            </w:r>
            <w:r w:rsidRPr="00B77F5F">
              <w:rPr>
                <w:rFonts w:ascii="Times New Roman" w:eastAsia="宋体" w:hAnsi="Times New Roman" w:hint="eastAsia"/>
                <w:sz w:val="18"/>
                <w:szCs w:val="18"/>
              </w:rPr>
              <w:t>个基准点</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653702D"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62.61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4A03221F"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62.61</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0ECCE"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-14,195.83</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98A1A"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-14,195.83</w:t>
            </w:r>
          </w:p>
        </w:tc>
      </w:tr>
      <w:tr w:rsidR="00B77F5F" w:rsidRPr="00B77F5F" w14:paraId="059012C3" w14:textId="77777777" w:rsidTr="00B77F5F">
        <w:trPr>
          <w:trHeight w:val="340"/>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E50E4E"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人民币对欧元汇率增加</w:t>
            </w:r>
            <w:r w:rsidRPr="00B77F5F">
              <w:rPr>
                <w:rFonts w:ascii="Times New Roman" w:eastAsia="宋体" w:hAnsi="Times New Roman"/>
                <w:sz w:val="18"/>
                <w:szCs w:val="18"/>
              </w:rPr>
              <w:t>100</w:t>
            </w:r>
            <w:r w:rsidRPr="00B77F5F">
              <w:rPr>
                <w:rFonts w:ascii="Times New Roman" w:eastAsia="宋体" w:hAnsi="Times New Roman" w:hint="eastAsia"/>
                <w:sz w:val="18"/>
                <w:szCs w:val="18"/>
              </w:rPr>
              <w:t>个基准点</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4F62AEDC"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0.00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17DB16AD"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019BC7"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958.10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C1EC39"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958.10</w:t>
            </w:r>
          </w:p>
        </w:tc>
      </w:tr>
      <w:tr w:rsidR="00B77F5F" w:rsidRPr="00B77F5F" w14:paraId="119AD5EF" w14:textId="77777777" w:rsidTr="00B77F5F">
        <w:trPr>
          <w:trHeight w:val="340"/>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2C8455"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人民币对日元汇率增加</w:t>
            </w:r>
            <w:r w:rsidRPr="00B77F5F">
              <w:rPr>
                <w:rFonts w:ascii="Times New Roman" w:eastAsia="宋体" w:hAnsi="Times New Roman"/>
                <w:sz w:val="18"/>
                <w:szCs w:val="18"/>
              </w:rPr>
              <w:t>100</w:t>
            </w:r>
            <w:r w:rsidRPr="00B77F5F">
              <w:rPr>
                <w:rFonts w:ascii="Times New Roman" w:eastAsia="宋体" w:hAnsi="Times New Roman" w:hint="eastAsia"/>
                <w:sz w:val="18"/>
                <w:szCs w:val="18"/>
              </w:rPr>
              <w:t>个基准点</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5DDD5AEA"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18,200.00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FF59908"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18,200.00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FC801A"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8,500.00</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B4821"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8,500.00</w:t>
            </w:r>
          </w:p>
        </w:tc>
      </w:tr>
    </w:tbl>
    <w:p w14:paraId="7C0DF149" w14:textId="77777777" w:rsidR="00B77F5F" w:rsidRPr="00B77F5F" w:rsidRDefault="00B77F5F" w:rsidP="002B3EAC">
      <w:pPr>
        <w:spacing w:line="276" w:lineRule="auto"/>
        <w:ind w:firstLineChars="200" w:firstLine="360"/>
        <w:rPr>
          <w:rFonts w:ascii="Times New Roman" w:eastAsia="宋体" w:hAnsi="Times New Roman"/>
          <w:sz w:val="18"/>
          <w:szCs w:val="18"/>
        </w:rPr>
      </w:pPr>
      <w:r w:rsidRPr="00B77F5F">
        <w:rPr>
          <w:rFonts w:ascii="Times New Roman" w:eastAsia="宋体" w:hAnsi="Times New Roman" w:hint="eastAsia"/>
          <w:sz w:val="18"/>
          <w:szCs w:val="18"/>
        </w:rPr>
        <w:lastRenderedPageBreak/>
        <w:t>注</w:t>
      </w:r>
      <w:r w:rsidRPr="00B77F5F">
        <w:rPr>
          <w:rFonts w:ascii="Times New Roman" w:eastAsia="宋体" w:hAnsi="Times New Roman"/>
          <w:sz w:val="18"/>
          <w:szCs w:val="18"/>
        </w:rPr>
        <w:t>1</w:t>
      </w:r>
      <w:r w:rsidRPr="00B77F5F">
        <w:rPr>
          <w:rFonts w:ascii="Times New Roman" w:eastAsia="宋体" w:hAnsi="Times New Roman" w:hint="eastAsia"/>
          <w:sz w:val="18"/>
          <w:szCs w:val="18"/>
        </w:rPr>
        <w:t>：上表以正数表示增加，以负数表示减少。</w:t>
      </w:r>
    </w:p>
    <w:p w14:paraId="3DEE8374" w14:textId="77777777" w:rsidR="00B77F5F" w:rsidRPr="00B77F5F" w:rsidRDefault="00B77F5F" w:rsidP="002B3EAC">
      <w:pPr>
        <w:spacing w:line="276" w:lineRule="auto"/>
        <w:ind w:firstLineChars="200" w:firstLine="360"/>
        <w:rPr>
          <w:rFonts w:ascii="Times New Roman" w:eastAsia="宋体" w:hAnsi="Times New Roman"/>
          <w:sz w:val="18"/>
          <w:szCs w:val="18"/>
        </w:rPr>
      </w:pPr>
      <w:r w:rsidRPr="00B77F5F">
        <w:rPr>
          <w:rFonts w:ascii="Times New Roman" w:eastAsia="宋体" w:hAnsi="Times New Roman" w:hint="eastAsia"/>
          <w:sz w:val="18"/>
          <w:szCs w:val="18"/>
        </w:rPr>
        <w:t>注</w:t>
      </w:r>
      <w:r w:rsidRPr="00B77F5F">
        <w:rPr>
          <w:rFonts w:ascii="Times New Roman" w:eastAsia="宋体" w:hAnsi="Times New Roman"/>
          <w:sz w:val="18"/>
          <w:szCs w:val="18"/>
        </w:rPr>
        <w:t>2</w:t>
      </w:r>
      <w:r w:rsidRPr="00B77F5F">
        <w:rPr>
          <w:rFonts w:ascii="Times New Roman" w:eastAsia="宋体" w:hAnsi="Times New Roman" w:hint="eastAsia"/>
          <w:sz w:val="18"/>
          <w:szCs w:val="18"/>
        </w:rPr>
        <w:t>：上表的股东权益变动不包括留存收益。</w:t>
      </w:r>
    </w:p>
    <w:p w14:paraId="0235DA07" w14:textId="77777777" w:rsidR="00B77F5F" w:rsidRPr="00B77F5F" w:rsidRDefault="002B3EAC" w:rsidP="002B3EAC">
      <w:pPr>
        <w:spacing w:line="276" w:lineRule="auto"/>
        <w:ind w:firstLineChars="200" w:firstLine="360"/>
        <w:rPr>
          <w:rFonts w:ascii="Times New Roman" w:eastAsia="宋体" w:hAnsi="Times New Roman"/>
          <w:sz w:val="18"/>
          <w:szCs w:val="18"/>
        </w:rPr>
      </w:pPr>
      <w:r>
        <w:rPr>
          <w:rFonts w:ascii="Times New Roman" w:eastAsia="宋体" w:hAnsi="Times New Roman" w:hint="eastAsia"/>
          <w:sz w:val="18"/>
          <w:szCs w:val="18"/>
        </w:rPr>
        <w:t>2</w:t>
      </w:r>
      <w:r>
        <w:rPr>
          <w:rFonts w:ascii="Times New Roman" w:eastAsia="宋体" w:hAnsi="Times New Roman" w:hint="eastAsia"/>
          <w:sz w:val="18"/>
          <w:szCs w:val="18"/>
        </w:rPr>
        <w:t>）</w:t>
      </w:r>
      <w:r w:rsidR="00B77F5F" w:rsidRPr="00B77F5F">
        <w:rPr>
          <w:rFonts w:ascii="Times New Roman" w:eastAsia="宋体" w:hAnsi="Times New Roman" w:hint="eastAsia"/>
          <w:sz w:val="18"/>
          <w:szCs w:val="18"/>
        </w:rPr>
        <w:t>利率风险</w:t>
      </w:r>
    </w:p>
    <w:p w14:paraId="66F9ECB2" w14:textId="77777777" w:rsidR="00B77F5F" w:rsidRPr="00B77F5F" w:rsidRDefault="00B77F5F" w:rsidP="002B3EAC">
      <w:pPr>
        <w:spacing w:line="276" w:lineRule="auto"/>
        <w:ind w:firstLineChars="200" w:firstLine="360"/>
        <w:rPr>
          <w:rFonts w:ascii="Times New Roman" w:eastAsia="宋体" w:hAnsi="Times New Roman"/>
          <w:sz w:val="18"/>
          <w:szCs w:val="18"/>
        </w:rPr>
      </w:pPr>
      <w:r w:rsidRPr="00B77F5F">
        <w:rPr>
          <w:rFonts w:ascii="Times New Roman" w:eastAsia="宋体" w:hAnsi="Times New Roman" w:hint="eastAsia"/>
          <w:sz w:val="18"/>
          <w:szCs w:val="18"/>
        </w:rPr>
        <w:t>利率风险，是指金融工具的公允价值或未来现金流量因市场利率变动而发生波动的风险。本集团的利率风险产生于银行借款及应付债券等带息债务。浮动利率的金融负债使本集团面临现金流量利率风险，固定利率的金融负债使本集团面临公允价值利率风险。本集团根据当时的市场环境来决定固定利率及浮动利率合同的相对比例。于</w:t>
      </w:r>
      <w:r w:rsidRPr="00B77F5F">
        <w:rPr>
          <w:rFonts w:ascii="Times New Roman" w:eastAsia="宋体" w:hAnsi="Times New Roman"/>
          <w:sz w:val="18"/>
          <w:szCs w:val="18"/>
        </w:rPr>
        <w:t>2023</w:t>
      </w:r>
      <w:r w:rsidRPr="00B77F5F">
        <w:rPr>
          <w:rFonts w:ascii="Times New Roman" w:eastAsia="宋体" w:hAnsi="Times New Roman" w:hint="eastAsia"/>
          <w:sz w:val="18"/>
          <w:szCs w:val="18"/>
        </w:rPr>
        <w:t>年</w:t>
      </w:r>
      <w:r w:rsidRPr="00B77F5F">
        <w:rPr>
          <w:rFonts w:ascii="Times New Roman" w:eastAsia="宋体" w:hAnsi="Times New Roman"/>
          <w:sz w:val="18"/>
          <w:szCs w:val="18"/>
        </w:rPr>
        <w:t>12</w:t>
      </w:r>
      <w:r w:rsidRPr="00B77F5F">
        <w:rPr>
          <w:rFonts w:ascii="Times New Roman" w:eastAsia="宋体" w:hAnsi="Times New Roman" w:hint="eastAsia"/>
          <w:sz w:val="18"/>
          <w:szCs w:val="18"/>
        </w:rPr>
        <w:t>月</w:t>
      </w:r>
      <w:r w:rsidRPr="00B77F5F">
        <w:rPr>
          <w:rFonts w:ascii="Times New Roman" w:eastAsia="宋体" w:hAnsi="Times New Roman"/>
          <w:sz w:val="18"/>
          <w:szCs w:val="18"/>
        </w:rPr>
        <w:t>31</w:t>
      </w:r>
      <w:r w:rsidRPr="00B77F5F">
        <w:rPr>
          <w:rFonts w:ascii="Times New Roman" w:eastAsia="宋体" w:hAnsi="Times New Roman" w:hint="eastAsia"/>
          <w:sz w:val="18"/>
          <w:szCs w:val="18"/>
        </w:rPr>
        <w:t>日，本集团的带息债务主要为浮动利率借款合同，金额合计为</w:t>
      </w:r>
      <w:r w:rsidRPr="00B77F5F">
        <w:rPr>
          <w:rFonts w:ascii="Times New Roman" w:eastAsia="宋体" w:hAnsi="Times New Roman"/>
          <w:sz w:val="18"/>
          <w:szCs w:val="18"/>
        </w:rPr>
        <w:t>381,212,925.48</w:t>
      </w:r>
      <w:r w:rsidRPr="00B77F5F">
        <w:rPr>
          <w:rFonts w:ascii="Times New Roman" w:eastAsia="宋体" w:hAnsi="Times New Roman" w:hint="eastAsia"/>
          <w:sz w:val="18"/>
          <w:szCs w:val="18"/>
        </w:rPr>
        <w:t>元，及固定利率合同金额为</w:t>
      </w:r>
      <w:r w:rsidRPr="00B77F5F">
        <w:rPr>
          <w:rFonts w:ascii="Times New Roman" w:eastAsia="宋体" w:hAnsi="Times New Roman"/>
          <w:sz w:val="18"/>
          <w:szCs w:val="18"/>
        </w:rPr>
        <w:t>2,795,076,315.70 </w:t>
      </w:r>
      <w:r w:rsidRPr="00B77F5F">
        <w:rPr>
          <w:rFonts w:ascii="Times New Roman" w:eastAsia="宋体" w:hAnsi="Times New Roman" w:hint="eastAsia"/>
          <w:sz w:val="18"/>
          <w:szCs w:val="18"/>
        </w:rPr>
        <w:t>元。</w:t>
      </w:r>
    </w:p>
    <w:p w14:paraId="1CFA64AD" w14:textId="77777777" w:rsidR="00B77F5F" w:rsidRPr="00B77F5F" w:rsidRDefault="00B77F5F" w:rsidP="002B3EAC">
      <w:pPr>
        <w:spacing w:line="276" w:lineRule="auto"/>
        <w:ind w:firstLineChars="200" w:firstLine="360"/>
        <w:rPr>
          <w:rFonts w:ascii="Times New Roman" w:eastAsia="宋体" w:hAnsi="Times New Roman"/>
          <w:sz w:val="18"/>
          <w:szCs w:val="18"/>
        </w:rPr>
      </w:pPr>
      <w:r w:rsidRPr="00B77F5F">
        <w:rPr>
          <w:rFonts w:ascii="Times New Roman" w:eastAsia="宋体" w:hAnsi="Times New Roman" w:hint="eastAsia"/>
          <w:sz w:val="18"/>
          <w:szCs w:val="18"/>
        </w:rPr>
        <w:t>利率风险的敏感性分析见下表，反映了在其他变量不变的假设下，浮动利率金融资产和负债的利率发生合理、可能的变动时，将对净利润和股东权益产生的影响。</w:t>
      </w:r>
    </w:p>
    <w:tbl>
      <w:tblPr>
        <w:tblW w:w="4950" w:type="pct"/>
        <w:tblCellMar>
          <w:left w:w="0" w:type="dxa"/>
          <w:right w:w="0" w:type="dxa"/>
        </w:tblCellMar>
        <w:tblLook w:val="04A0" w:firstRow="1" w:lastRow="0" w:firstColumn="1" w:lastColumn="0" w:noHBand="0" w:noVBand="1"/>
      </w:tblPr>
      <w:tblGrid>
        <w:gridCol w:w="3596"/>
        <w:gridCol w:w="1360"/>
        <w:gridCol w:w="1457"/>
        <w:gridCol w:w="1554"/>
        <w:gridCol w:w="1554"/>
      </w:tblGrid>
      <w:tr w:rsidR="00B77F5F" w:rsidRPr="00B77F5F" w14:paraId="650A4F99" w14:textId="77777777" w:rsidTr="00B77F5F">
        <w:trPr>
          <w:trHeight w:val="340"/>
          <w:tblHeader/>
        </w:trPr>
        <w:tc>
          <w:tcPr>
            <w:tcW w:w="18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F4FC91"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项目</w:t>
            </w:r>
          </w:p>
        </w:tc>
        <w:tc>
          <w:tcPr>
            <w:tcW w:w="14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8A1799"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本年</w:t>
            </w:r>
          </w:p>
        </w:tc>
        <w:tc>
          <w:tcPr>
            <w:tcW w:w="16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B82903"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上年</w:t>
            </w:r>
          </w:p>
        </w:tc>
      </w:tr>
      <w:tr w:rsidR="00B77F5F" w:rsidRPr="00B77F5F" w14:paraId="4F2285CD" w14:textId="77777777" w:rsidTr="00B77F5F">
        <w:trPr>
          <w:trHeight w:val="34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79C95EB" w14:textId="77777777" w:rsidR="00B77F5F" w:rsidRPr="00B77F5F" w:rsidRDefault="00B77F5F" w:rsidP="00B77F5F">
            <w:pPr>
              <w:rPr>
                <w:rFonts w:ascii="Times New Roman" w:eastAsia="宋体" w:hAnsi="Times New Roman"/>
                <w:sz w:val="18"/>
                <w:szCs w:val="18"/>
              </w:rPr>
            </w:pPr>
          </w:p>
        </w:tc>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304372"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对利润的影响</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98358C"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对股东权益的影响</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AFA1F"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对利润的影响</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6A754B"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对股东权益的影响</w:t>
            </w:r>
          </w:p>
        </w:tc>
      </w:tr>
      <w:tr w:rsidR="00B77F5F" w:rsidRPr="00B77F5F" w14:paraId="40B8ECFC" w14:textId="77777777" w:rsidTr="002B3EAC">
        <w:trPr>
          <w:trHeight w:val="340"/>
        </w:trPr>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73F537"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人民币基准利率增加</w:t>
            </w:r>
            <w:r w:rsidRPr="00B77F5F">
              <w:rPr>
                <w:rFonts w:ascii="Times New Roman" w:eastAsia="宋体" w:hAnsi="Times New Roman"/>
                <w:sz w:val="18"/>
                <w:szCs w:val="18"/>
              </w:rPr>
              <w:t>25</w:t>
            </w:r>
            <w:r w:rsidRPr="00B77F5F">
              <w:rPr>
                <w:rFonts w:ascii="Times New Roman" w:eastAsia="宋体" w:hAnsi="Times New Roman" w:hint="eastAsia"/>
                <w:sz w:val="18"/>
                <w:szCs w:val="18"/>
              </w:rPr>
              <w:t>个基准点</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9346D3" w14:textId="77777777" w:rsidR="00B77F5F" w:rsidRPr="00B77F5F" w:rsidRDefault="00B77F5F" w:rsidP="002B3EAC">
            <w:pPr>
              <w:jc w:val="right"/>
              <w:rPr>
                <w:rFonts w:ascii="Times New Roman" w:eastAsia="宋体" w:hAnsi="Times New Roman"/>
                <w:sz w:val="18"/>
                <w:szCs w:val="18"/>
              </w:rPr>
            </w:pPr>
            <w:r w:rsidRPr="00B77F5F">
              <w:rPr>
                <w:rFonts w:ascii="Times New Roman" w:eastAsia="宋体" w:hAnsi="Times New Roman"/>
                <w:sz w:val="18"/>
                <w:szCs w:val="18"/>
              </w:rPr>
              <w:t>-902,274.23</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10F2A2" w14:textId="77777777" w:rsidR="00B77F5F" w:rsidRPr="00B77F5F" w:rsidRDefault="00B77F5F" w:rsidP="002B3EAC">
            <w:pPr>
              <w:jc w:val="right"/>
              <w:rPr>
                <w:rFonts w:ascii="Times New Roman" w:eastAsia="宋体" w:hAnsi="Times New Roman"/>
                <w:sz w:val="18"/>
                <w:szCs w:val="18"/>
              </w:rPr>
            </w:pPr>
            <w:r w:rsidRPr="00B77F5F">
              <w:rPr>
                <w:rFonts w:ascii="Times New Roman" w:eastAsia="宋体" w:hAnsi="Times New Roman"/>
                <w:sz w:val="18"/>
                <w:szCs w:val="18"/>
              </w:rPr>
              <w:t>-902,274.23</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8EC7E" w14:textId="77777777" w:rsidR="00B77F5F" w:rsidRPr="00B77F5F" w:rsidRDefault="00B77F5F" w:rsidP="002B3EAC">
            <w:pPr>
              <w:jc w:val="right"/>
              <w:rPr>
                <w:rFonts w:ascii="Times New Roman" w:eastAsia="宋体" w:hAnsi="Times New Roman"/>
                <w:sz w:val="18"/>
                <w:szCs w:val="18"/>
              </w:rPr>
            </w:pPr>
            <w:r w:rsidRPr="00B77F5F">
              <w:rPr>
                <w:rFonts w:ascii="Times New Roman" w:eastAsia="宋体" w:hAnsi="Times New Roman"/>
                <w:sz w:val="18"/>
                <w:szCs w:val="18"/>
              </w:rPr>
              <w:t>-597,187.50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D58E17" w14:textId="77777777" w:rsidR="00B77F5F" w:rsidRPr="00B77F5F" w:rsidRDefault="00B77F5F" w:rsidP="002B3EAC">
            <w:pPr>
              <w:jc w:val="right"/>
              <w:rPr>
                <w:rFonts w:ascii="Times New Roman" w:eastAsia="宋体" w:hAnsi="Times New Roman"/>
                <w:sz w:val="18"/>
                <w:szCs w:val="18"/>
              </w:rPr>
            </w:pPr>
            <w:r w:rsidRPr="00B77F5F">
              <w:rPr>
                <w:rFonts w:ascii="Times New Roman" w:eastAsia="宋体" w:hAnsi="Times New Roman"/>
                <w:sz w:val="18"/>
                <w:szCs w:val="18"/>
              </w:rPr>
              <w:t>-597,187.50</w:t>
            </w:r>
          </w:p>
        </w:tc>
      </w:tr>
      <w:tr w:rsidR="00B77F5F" w:rsidRPr="00B77F5F" w14:paraId="4D4FD55F" w14:textId="77777777" w:rsidTr="002B3EAC">
        <w:trPr>
          <w:trHeight w:val="340"/>
        </w:trPr>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685737"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人民币基准利率降低</w:t>
            </w:r>
            <w:r w:rsidRPr="00B77F5F">
              <w:rPr>
                <w:rFonts w:ascii="Times New Roman" w:eastAsia="宋体" w:hAnsi="Times New Roman"/>
                <w:sz w:val="18"/>
                <w:szCs w:val="18"/>
              </w:rPr>
              <w:t>25</w:t>
            </w:r>
            <w:r w:rsidRPr="00B77F5F">
              <w:rPr>
                <w:rFonts w:ascii="Times New Roman" w:eastAsia="宋体" w:hAnsi="Times New Roman" w:hint="eastAsia"/>
                <w:sz w:val="18"/>
                <w:szCs w:val="18"/>
              </w:rPr>
              <w:t>个基准点</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A063" w14:textId="77777777" w:rsidR="00B77F5F" w:rsidRPr="00B77F5F" w:rsidRDefault="00B77F5F" w:rsidP="002B3EAC">
            <w:pPr>
              <w:jc w:val="right"/>
              <w:rPr>
                <w:rFonts w:ascii="Times New Roman" w:eastAsia="宋体" w:hAnsi="Times New Roman"/>
                <w:sz w:val="18"/>
                <w:szCs w:val="18"/>
              </w:rPr>
            </w:pPr>
            <w:r w:rsidRPr="00B77F5F">
              <w:rPr>
                <w:rFonts w:ascii="Times New Roman" w:eastAsia="宋体" w:hAnsi="Times New Roman"/>
                <w:sz w:val="18"/>
                <w:szCs w:val="18"/>
              </w:rPr>
              <w:t>902,274.23</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A3D3C7" w14:textId="77777777" w:rsidR="00B77F5F" w:rsidRPr="00B77F5F" w:rsidRDefault="00B77F5F" w:rsidP="002B3EAC">
            <w:pPr>
              <w:jc w:val="right"/>
              <w:rPr>
                <w:rFonts w:ascii="Times New Roman" w:eastAsia="宋体" w:hAnsi="Times New Roman"/>
                <w:sz w:val="18"/>
                <w:szCs w:val="18"/>
              </w:rPr>
            </w:pPr>
            <w:r w:rsidRPr="00B77F5F">
              <w:rPr>
                <w:rFonts w:ascii="Times New Roman" w:eastAsia="宋体" w:hAnsi="Times New Roman"/>
                <w:sz w:val="18"/>
                <w:szCs w:val="18"/>
              </w:rPr>
              <w:t>902,274.23</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003CA8" w14:textId="77777777" w:rsidR="00B77F5F" w:rsidRPr="00B77F5F" w:rsidRDefault="00B77F5F" w:rsidP="002B3EAC">
            <w:pPr>
              <w:jc w:val="right"/>
              <w:rPr>
                <w:rFonts w:ascii="Times New Roman" w:eastAsia="宋体" w:hAnsi="Times New Roman"/>
                <w:sz w:val="18"/>
                <w:szCs w:val="18"/>
              </w:rPr>
            </w:pPr>
            <w:r w:rsidRPr="00B77F5F">
              <w:rPr>
                <w:rFonts w:ascii="Times New Roman" w:eastAsia="宋体" w:hAnsi="Times New Roman"/>
                <w:sz w:val="18"/>
                <w:szCs w:val="18"/>
              </w:rPr>
              <w:t>597,187.50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3B7D2" w14:textId="77777777" w:rsidR="00B77F5F" w:rsidRPr="00B77F5F" w:rsidRDefault="00B77F5F" w:rsidP="002B3EAC">
            <w:pPr>
              <w:jc w:val="right"/>
              <w:rPr>
                <w:rFonts w:ascii="Times New Roman" w:eastAsia="宋体" w:hAnsi="Times New Roman"/>
                <w:sz w:val="18"/>
                <w:szCs w:val="18"/>
              </w:rPr>
            </w:pPr>
            <w:r w:rsidRPr="00B77F5F">
              <w:rPr>
                <w:rFonts w:ascii="Times New Roman" w:eastAsia="宋体" w:hAnsi="Times New Roman"/>
                <w:sz w:val="18"/>
                <w:szCs w:val="18"/>
              </w:rPr>
              <w:t>597,187.50</w:t>
            </w:r>
          </w:p>
        </w:tc>
      </w:tr>
    </w:tbl>
    <w:p w14:paraId="0AB96E70"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注</w:t>
      </w:r>
      <w:r w:rsidRPr="00B77F5F">
        <w:rPr>
          <w:rFonts w:ascii="Times New Roman" w:eastAsia="宋体" w:hAnsi="Times New Roman"/>
          <w:sz w:val="18"/>
          <w:szCs w:val="18"/>
        </w:rPr>
        <w:t>1</w:t>
      </w:r>
      <w:r w:rsidRPr="00B77F5F">
        <w:rPr>
          <w:rFonts w:ascii="Times New Roman" w:eastAsia="宋体" w:hAnsi="Times New Roman" w:hint="eastAsia"/>
          <w:sz w:val="18"/>
          <w:szCs w:val="18"/>
        </w:rPr>
        <w:t>：上表以正数表示增加，以负数表示减少。</w:t>
      </w:r>
    </w:p>
    <w:p w14:paraId="06CE78C3" w14:textId="77777777" w:rsidR="00B77F5F" w:rsidRPr="00B77F5F" w:rsidRDefault="00B77F5F" w:rsidP="002B3EAC">
      <w:pPr>
        <w:spacing w:line="276" w:lineRule="auto"/>
        <w:ind w:firstLineChars="200" w:firstLine="360"/>
        <w:rPr>
          <w:rFonts w:ascii="Times New Roman" w:eastAsia="宋体" w:hAnsi="Times New Roman"/>
          <w:sz w:val="18"/>
          <w:szCs w:val="18"/>
        </w:rPr>
      </w:pPr>
      <w:r w:rsidRPr="00B77F5F">
        <w:rPr>
          <w:rFonts w:ascii="Times New Roman" w:eastAsia="宋体" w:hAnsi="Times New Roman" w:hint="eastAsia"/>
          <w:sz w:val="18"/>
          <w:szCs w:val="18"/>
        </w:rPr>
        <w:t>注</w:t>
      </w:r>
      <w:r w:rsidRPr="00B77F5F">
        <w:rPr>
          <w:rFonts w:ascii="Times New Roman" w:eastAsia="宋体" w:hAnsi="Times New Roman"/>
          <w:sz w:val="18"/>
          <w:szCs w:val="18"/>
        </w:rPr>
        <w:t>2</w:t>
      </w:r>
      <w:r w:rsidRPr="00B77F5F">
        <w:rPr>
          <w:rFonts w:ascii="Times New Roman" w:eastAsia="宋体" w:hAnsi="Times New Roman" w:hint="eastAsia"/>
          <w:sz w:val="18"/>
          <w:szCs w:val="18"/>
        </w:rPr>
        <w:t>：上表的股东权益变动不包括留存收益。</w:t>
      </w:r>
    </w:p>
    <w:p w14:paraId="39FB7B8D" w14:textId="77777777" w:rsidR="00B77F5F" w:rsidRPr="00B77F5F" w:rsidRDefault="00B77F5F" w:rsidP="002B3EAC">
      <w:pPr>
        <w:spacing w:line="276" w:lineRule="auto"/>
        <w:ind w:firstLineChars="200" w:firstLine="360"/>
        <w:rPr>
          <w:rFonts w:ascii="Times New Roman" w:eastAsia="宋体" w:hAnsi="Times New Roman"/>
          <w:sz w:val="18"/>
          <w:szCs w:val="18"/>
        </w:rPr>
      </w:pPr>
      <w:r w:rsidRPr="00B77F5F">
        <w:rPr>
          <w:rFonts w:ascii="Times New Roman" w:eastAsia="宋体" w:hAnsi="Times New Roman" w:hint="eastAsia"/>
          <w:sz w:val="18"/>
          <w:szCs w:val="18"/>
        </w:rPr>
        <w:t>其他价格风险，是指金融工具的公允价值或未来现金流量因汇率风险和利率风险以外的市场价格变动而发生波动的风险，无论这些变动是由于与单项金融工具或其发行方有关的因素而引起的，还是由于与市场内交易的所有类似金融工具有关的因素而引起的。本集团持有的分类为以公允价值计量且其变动计入当期损益、以公允价值计量且其变动计入其他综合收益的金融资产的投资在资产负债表日以公允价值计量。因此，本集团承担着证券市场价格变动的风险。本集团采取持有多种权益证券组合的方式降低权益证券投资的价格风险。</w:t>
      </w:r>
    </w:p>
    <w:p w14:paraId="7FBF983A" w14:textId="77777777" w:rsidR="00B77F5F" w:rsidRPr="00B77F5F" w:rsidRDefault="00B77F5F" w:rsidP="002B3EAC">
      <w:pPr>
        <w:spacing w:line="276" w:lineRule="auto"/>
        <w:ind w:firstLineChars="200" w:firstLine="360"/>
        <w:rPr>
          <w:rFonts w:ascii="Times New Roman" w:eastAsia="宋体" w:hAnsi="Times New Roman"/>
          <w:sz w:val="18"/>
          <w:szCs w:val="18"/>
        </w:rPr>
      </w:pPr>
      <w:r w:rsidRPr="00B77F5F">
        <w:rPr>
          <w:rFonts w:ascii="Times New Roman" w:eastAsia="宋体" w:hAnsi="Times New Roman" w:hint="eastAsia"/>
          <w:sz w:val="18"/>
          <w:szCs w:val="18"/>
        </w:rPr>
        <w:t>本集团无高风险投资，无重大的其他市场风险。</w:t>
      </w:r>
    </w:p>
    <w:p w14:paraId="743FD843" w14:textId="77777777" w:rsidR="00B77F5F" w:rsidRPr="00B77F5F" w:rsidRDefault="002B3EAC" w:rsidP="002B3EAC">
      <w:pPr>
        <w:spacing w:line="276" w:lineRule="auto"/>
        <w:ind w:firstLineChars="200" w:firstLine="360"/>
        <w:rPr>
          <w:rFonts w:ascii="Times New Roman" w:eastAsia="宋体" w:hAnsi="Times New Roman"/>
          <w:sz w:val="18"/>
          <w:szCs w:val="18"/>
        </w:rPr>
      </w:pPr>
      <w:r>
        <w:rPr>
          <w:rFonts w:ascii="Times New Roman" w:eastAsia="宋体" w:hAnsi="Times New Roman" w:hint="eastAsia"/>
          <w:sz w:val="18"/>
          <w:szCs w:val="18"/>
        </w:rPr>
        <w:t>（</w:t>
      </w:r>
      <w:r>
        <w:rPr>
          <w:rFonts w:ascii="Times New Roman" w:eastAsia="宋体" w:hAnsi="Times New Roman" w:hint="eastAsia"/>
          <w:sz w:val="18"/>
          <w:szCs w:val="18"/>
        </w:rPr>
        <w:t>2</w:t>
      </w:r>
      <w:r>
        <w:rPr>
          <w:rFonts w:ascii="Times New Roman" w:eastAsia="宋体" w:hAnsi="Times New Roman" w:hint="eastAsia"/>
          <w:sz w:val="18"/>
          <w:szCs w:val="18"/>
        </w:rPr>
        <w:t>）</w:t>
      </w:r>
      <w:r w:rsidR="00B77F5F" w:rsidRPr="00B77F5F">
        <w:rPr>
          <w:rFonts w:ascii="Times New Roman" w:eastAsia="宋体" w:hAnsi="Times New Roman"/>
          <w:sz w:val="18"/>
          <w:szCs w:val="18"/>
        </w:rPr>
        <w:t> </w:t>
      </w:r>
      <w:r w:rsidR="00B77F5F" w:rsidRPr="00B77F5F">
        <w:rPr>
          <w:rFonts w:ascii="Times New Roman" w:eastAsia="宋体" w:hAnsi="Times New Roman" w:hint="eastAsia"/>
          <w:sz w:val="18"/>
          <w:szCs w:val="18"/>
        </w:rPr>
        <w:t>信用风险</w:t>
      </w:r>
    </w:p>
    <w:p w14:paraId="50587175" w14:textId="77777777" w:rsidR="00B77F5F" w:rsidRPr="00B77F5F" w:rsidRDefault="00B77F5F" w:rsidP="002B3EAC">
      <w:pPr>
        <w:spacing w:line="276" w:lineRule="auto"/>
        <w:ind w:firstLineChars="200" w:firstLine="360"/>
        <w:rPr>
          <w:rFonts w:ascii="Times New Roman" w:eastAsia="宋体" w:hAnsi="Times New Roman"/>
          <w:sz w:val="18"/>
          <w:szCs w:val="18"/>
        </w:rPr>
      </w:pPr>
      <w:r w:rsidRPr="00B77F5F">
        <w:rPr>
          <w:rFonts w:ascii="Times New Roman" w:eastAsia="宋体" w:hAnsi="Times New Roman" w:hint="eastAsia"/>
          <w:sz w:val="18"/>
          <w:szCs w:val="18"/>
        </w:rPr>
        <w:t>信用风险，是指金融工具的一方不能履行义务，造成另一方发生财务损失的风险。</w:t>
      </w:r>
    </w:p>
    <w:p w14:paraId="6C057DBA" w14:textId="77777777" w:rsidR="00B77F5F" w:rsidRPr="00B77F5F" w:rsidRDefault="00B77F5F" w:rsidP="002B3EAC">
      <w:pPr>
        <w:spacing w:line="276" w:lineRule="auto"/>
        <w:ind w:firstLineChars="200" w:firstLine="360"/>
        <w:rPr>
          <w:rFonts w:ascii="Times New Roman" w:eastAsia="宋体" w:hAnsi="Times New Roman"/>
          <w:sz w:val="18"/>
          <w:szCs w:val="18"/>
        </w:rPr>
      </w:pPr>
      <w:r w:rsidRPr="00B77F5F">
        <w:rPr>
          <w:rFonts w:ascii="Times New Roman" w:eastAsia="宋体" w:hAnsi="Times New Roman" w:hint="eastAsia"/>
          <w:sz w:val="18"/>
          <w:szCs w:val="18"/>
        </w:rPr>
        <w:t>于</w:t>
      </w:r>
      <w:r w:rsidRPr="00B77F5F">
        <w:rPr>
          <w:rFonts w:ascii="Times New Roman" w:eastAsia="宋体" w:hAnsi="Times New Roman"/>
          <w:sz w:val="18"/>
          <w:szCs w:val="18"/>
        </w:rPr>
        <w:t>2023</w:t>
      </w:r>
      <w:r w:rsidRPr="00B77F5F">
        <w:rPr>
          <w:rFonts w:ascii="Times New Roman" w:eastAsia="宋体" w:hAnsi="Times New Roman" w:hint="eastAsia"/>
          <w:sz w:val="18"/>
          <w:szCs w:val="18"/>
        </w:rPr>
        <w:t>年</w:t>
      </w:r>
      <w:r w:rsidRPr="00B77F5F">
        <w:rPr>
          <w:rFonts w:ascii="Times New Roman" w:eastAsia="宋体" w:hAnsi="Times New Roman"/>
          <w:sz w:val="18"/>
          <w:szCs w:val="18"/>
        </w:rPr>
        <w:t>12</w:t>
      </w:r>
      <w:r w:rsidRPr="00B77F5F">
        <w:rPr>
          <w:rFonts w:ascii="Times New Roman" w:eastAsia="宋体" w:hAnsi="Times New Roman" w:hint="eastAsia"/>
          <w:sz w:val="18"/>
          <w:szCs w:val="18"/>
        </w:rPr>
        <w:t>月</w:t>
      </w:r>
      <w:r w:rsidRPr="00B77F5F">
        <w:rPr>
          <w:rFonts w:ascii="Times New Roman" w:eastAsia="宋体" w:hAnsi="Times New Roman"/>
          <w:sz w:val="18"/>
          <w:szCs w:val="18"/>
        </w:rPr>
        <w:t>31</w:t>
      </w:r>
      <w:r w:rsidRPr="00B77F5F">
        <w:rPr>
          <w:rFonts w:ascii="Times New Roman" w:eastAsia="宋体" w:hAnsi="Times New Roman" w:hint="eastAsia"/>
          <w:sz w:val="18"/>
          <w:szCs w:val="18"/>
        </w:rPr>
        <w:t>日，本集团的信用风险主要来自于本集团确认的金融资产以及本集团承担的财务担保，具体包括：</w:t>
      </w:r>
    </w:p>
    <w:p w14:paraId="29B53BD0" w14:textId="77777777" w:rsidR="00B77F5F" w:rsidRPr="00B77F5F" w:rsidRDefault="00B77F5F" w:rsidP="002B3EAC">
      <w:pPr>
        <w:spacing w:line="276" w:lineRule="auto"/>
        <w:ind w:firstLineChars="200" w:firstLine="360"/>
        <w:rPr>
          <w:rFonts w:ascii="Times New Roman" w:eastAsia="宋体" w:hAnsi="Times New Roman"/>
          <w:sz w:val="18"/>
          <w:szCs w:val="18"/>
        </w:rPr>
      </w:pPr>
      <w:r w:rsidRPr="00B77F5F">
        <w:rPr>
          <w:rFonts w:ascii="Times New Roman" w:eastAsia="宋体" w:hAnsi="Times New Roman" w:hint="eastAsia"/>
          <w:sz w:val="18"/>
          <w:szCs w:val="18"/>
        </w:rPr>
        <w:t>合并资产负债表中已确认的金融资产的账面金额；对于以公允价值计量的金融工具而言，账面价值反映了其风险敞口，但并非最大风险敞口，其最大风险敞口将随着未来公允价值的变化而改变。</w:t>
      </w:r>
    </w:p>
    <w:p w14:paraId="28C45C20" w14:textId="77777777" w:rsidR="00B77F5F" w:rsidRPr="00B77F5F" w:rsidRDefault="00B77F5F" w:rsidP="002B3EAC">
      <w:pPr>
        <w:spacing w:line="276" w:lineRule="auto"/>
        <w:ind w:firstLineChars="200" w:firstLine="360"/>
        <w:rPr>
          <w:rFonts w:ascii="Times New Roman" w:eastAsia="宋体" w:hAnsi="Times New Roman"/>
          <w:sz w:val="18"/>
          <w:szCs w:val="18"/>
        </w:rPr>
      </w:pPr>
      <w:r w:rsidRPr="00B77F5F">
        <w:rPr>
          <w:rFonts w:ascii="Times New Roman" w:eastAsia="宋体" w:hAnsi="Times New Roman" w:hint="eastAsia"/>
          <w:sz w:val="18"/>
          <w:szCs w:val="18"/>
        </w:rPr>
        <w:t>本集团的流动资金存放在信用评级较高的银行，故流动资金的信用风险较低。本集团与客户间的贸易条款以信用交易为主，且一般要求新客户预付款或采取货到付款方式进行。信用期通常为</w:t>
      </w:r>
      <w:r w:rsidRPr="00B77F5F">
        <w:rPr>
          <w:rFonts w:ascii="Times New Roman" w:eastAsia="宋体" w:hAnsi="Times New Roman"/>
          <w:sz w:val="18"/>
          <w:szCs w:val="18"/>
        </w:rPr>
        <w:t>1</w:t>
      </w:r>
      <w:r w:rsidRPr="00B77F5F">
        <w:rPr>
          <w:rFonts w:ascii="Times New Roman" w:eastAsia="宋体" w:hAnsi="Times New Roman" w:hint="eastAsia"/>
          <w:sz w:val="18"/>
          <w:szCs w:val="18"/>
        </w:rPr>
        <w:t>个月，主要客户可以延长至</w:t>
      </w:r>
      <w:r w:rsidRPr="00B77F5F">
        <w:rPr>
          <w:rFonts w:ascii="Times New Roman" w:eastAsia="宋体" w:hAnsi="Times New Roman"/>
          <w:sz w:val="18"/>
          <w:szCs w:val="18"/>
        </w:rPr>
        <w:t>3-6</w:t>
      </w:r>
      <w:r w:rsidRPr="00B77F5F">
        <w:rPr>
          <w:rFonts w:ascii="Times New Roman" w:eastAsia="宋体" w:hAnsi="Times New Roman" w:hint="eastAsia"/>
          <w:sz w:val="18"/>
          <w:szCs w:val="18"/>
        </w:rPr>
        <w:t>个月，交易记录良好的客户可获得比较长的信贷期。由于本集团仅与经认可的且信誉良好的第三方进行交易，所以无需担保物。</w:t>
      </w:r>
    </w:p>
    <w:p w14:paraId="100F0EFF" w14:textId="77777777" w:rsidR="00B77F5F" w:rsidRPr="00B77F5F" w:rsidRDefault="00B77F5F" w:rsidP="002B3EAC">
      <w:pPr>
        <w:spacing w:line="276" w:lineRule="auto"/>
        <w:ind w:firstLineChars="200" w:firstLine="360"/>
        <w:rPr>
          <w:rFonts w:ascii="Times New Roman" w:eastAsia="宋体" w:hAnsi="Times New Roman"/>
          <w:sz w:val="18"/>
          <w:szCs w:val="18"/>
        </w:rPr>
      </w:pPr>
      <w:r w:rsidRPr="00B77F5F">
        <w:rPr>
          <w:rFonts w:ascii="Times New Roman" w:eastAsia="宋体" w:hAnsi="Times New Roman" w:hint="eastAsia"/>
          <w:sz w:val="18"/>
          <w:szCs w:val="18"/>
        </w:rPr>
        <w:t>本集团评估信用风险自初始确认后是否已增加的方法、确定金融资产已发生信用减值的依据、划分组合为基础评估预期信用风险的金融工具的组合方法、</w:t>
      </w:r>
      <w:proofErr w:type="gramStart"/>
      <w:r w:rsidRPr="00B77F5F">
        <w:rPr>
          <w:rFonts w:ascii="Times New Roman" w:eastAsia="宋体" w:hAnsi="Times New Roman" w:hint="eastAsia"/>
          <w:sz w:val="18"/>
          <w:szCs w:val="18"/>
        </w:rPr>
        <w:t>直接减记金融工具</w:t>
      </w:r>
      <w:proofErr w:type="gramEnd"/>
      <w:r w:rsidRPr="00B77F5F">
        <w:rPr>
          <w:rFonts w:ascii="Times New Roman" w:eastAsia="宋体" w:hAnsi="Times New Roman" w:hint="eastAsia"/>
          <w:sz w:val="18"/>
          <w:szCs w:val="18"/>
        </w:rPr>
        <w:t>的政策等，参见本附注</w:t>
      </w:r>
      <w:r w:rsidR="0001660E">
        <w:rPr>
          <w:rFonts w:ascii="Times New Roman" w:eastAsia="宋体" w:hAnsi="Times New Roman" w:hint="eastAsia"/>
          <w:sz w:val="18"/>
          <w:szCs w:val="18"/>
        </w:rPr>
        <w:t>五</w:t>
      </w:r>
      <w:r w:rsidRPr="00B77F5F">
        <w:rPr>
          <w:rFonts w:ascii="Times New Roman" w:eastAsia="宋体" w:hAnsi="Times New Roman" w:hint="eastAsia"/>
          <w:sz w:val="18"/>
          <w:szCs w:val="18"/>
        </w:rPr>
        <w:t>、</w:t>
      </w:r>
      <w:r w:rsidRPr="00B77F5F">
        <w:rPr>
          <w:rFonts w:ascii="Times New Roman" w:eastAsia="宋体" w:hAnsi="Times New Roman"/>
          <w:sz w:val="18"/>
          <w:szCs w:val="18"/>
        </w:rPr>
        <w:t>1</w:t>
      </w:r>
      <w:r w:rsidR="0001660E">
        <w:rPr>
          <w:rFonts w:ascii="Times New Roman" w:eastAsia="宋体" w:hAnsi="Times New Roman" w:hint="eastAsia"/>
          <w:sz w:val="18"/>
          <w:szCs w:val="18"/>
        </w:rPr>
        <w:t>1</w:t>
      </w:r>
      <w:r w:rsidRPr="00B77F5F">
        <w:rPr>
          <w:rFonts w:ascii="Times New Roman" w:eastAsia="宋体" w:hAnsi="Times New Roman" w:hint="eastAsia"/>
          <w:sz w:val="18"/>
          <w:szCs w:val="18"/>
        </w:rPr>
        <w:t>。</w:t>
      </w:r>
    </w:p>
    <w:p w14:paraId="2CBEF82C" w14:textId="77777777" w:rsidR="00B77F5F" w:rsidRPr="00B77F5F" w:rsidRDefault="00B77F5F" w:rsidP="002B3EAC">
      <w:pPr>
        <w:spacing w:line="276" w:lineRule="auto"/>
        <w:ind w:firstLineChars="200" w:firstLine="360"/>
        <w:rPr>
          <w:rFonts w:ascii="Times New Roman" w:eastAsia="宋体" w:hAnsi="Times New Roman"/>
          <w:sz w:val="18"/>
          <w:szCs w:val="18"/>
        </w:rPr>
      </w:pPr>
      <w:r w:rsidRPr="00B77F5F">
        <w:rPr>
          <w:rFonts w:ascii="Times New Roman" w:eastAsia="宋体" w:hAnsi="Times New Roman" w:hint="eastAsia"/>
          <w:sz w:val="18"/>
          <w:szCs w:val="18"/>
        </w:rPr>
        <w:t>本集团对不同的资产分别以</w:t>
      </w:r>
      <w:r w:rsidRPr="00B77F5F">
        <w:rPr>
          <w:rFonts w:ascii="Times New Roman" w:eastAsia="宋体" w:hAnsi="Times New Roman"/>
          <w:sz w:val="18"/>
          <w:szCs w:val="18"/>
        </w:rPr>
        <w:t>12</w:t>
      </w:r>
      <w:r w:rsidRPr="00B77F5F">
        <w:rPr>
          <w:rFonts w:ascii="Times New Roman" w:eastAsia="宋体" w:hAnsi="Times New Roman" w:hint="eastAsia"/>
          <w:sz w:val="18"/>
          <w:szCs w:val="18"/>
        </w:rPr>
        <w:t>个月或整个存续期的预期信用损失计量减值准备。预期信用损失计量的关键参数包括违约概率、违约损失率和违约风险敞口。本集团考虑历史统计数据</w:t>
      </w:r>
      <w:r w:rsidRPr="00B77F5F">
        <w:rPr>
          <w:rFonts w:ascii="Times New Roman" w:eastAsia="宋体" w:hAnsi="Times New Roman"/>
          <w:sz w:val="18"/>
          <w:szCs w:val="18"/>
        </w:rPr>
        <w:t>(</w:t>
      </w:r>
      <w:r w:rsidRPr="00B77F5F">
        <w:rPr>
          <w:rFonts w:ascii="Times New Roman" w:eastAsia="宋体" w:hAnsi="Times New Roman" w:hint="eastAsia"/>
          <w:sz w:val="18"/>
          <w:szCs w:val="18"/>
        </w:rPr>
        <w:t>如交易对手评级、担保</w:t>
      </w:r>
      <w:proofErr w:type="gramStart"/>
      <w:r w:rsidRPr="00B77F5F">
        <w:rPr>
          <w:rFonts w:ascii="Times New Roman" w:eastAsia="宋体" w:hAnsi="Times New Roman" w:hint="eastAsia"/>
          <w:sz w:val="18"/>
          <w:szCs w:val="18"/>
        </w:rPr>
        <w:t>方式及抵质押</w:t>
      </w:r>
      <w:proofErr w:type="gramEnd"/>
      <w:r w:rsidRPr="00B77F5F">
        <w:rPr>
          <w:rFonts w:ascii="Times New Roman" w:eastAsia="宋体" w:hAnsi="Times New Roman" w:hint="eastAsia"/>
          <w:sz w:val="18"/>
          <w:szCs w:val="18"/>
        </w:rPr>
        <w:t>物类别、还款方式等</w:t>
      </w:r>
      <w:r w:rsidRPr="00B77F5F">
        <w:rPr>
          <w:rFonts w:ascii="Times New Roman" w:eastAsia="宋体" w:hAnsi="Times New Roman"/>
          <w:sz w:val="18"/>
          <w:szCs w:val="18"/>
        </w:rPr>
        <w:t>)</w:t>
      </w:r>
      <w:r w:rsidRPr="00B77F5F">
        <w:rPr>
          <w:rFonts w:ascii="Times New Roman" w:eastAsia="宋体" w:hAnsi="Times New Roman" w:hint="eastAsia"/>
          <w:sz w:val="18"/>
          <w:szCs w:val="18"/>
        </w:rPr>
        <w:t>的定量分析及前瞻性信息，建立违约概率、违约损失率及违约风险敞口模型。</w:t>
      </w:r>
    </w:p>
    <w:p w14:paraId="354377EB" w14:textId="77777777" w:rsidR="00B77F5F" w:rsidRPr="00B77F5F" w:rsidRDefault="00B77F5F" w:rsidP="002B3EAC">
      <w:pPr>
        <w:spacing w:line="276" w:lineRule="auto"/>
        <w:ind w:firstLineChars="200" w:firstLine="360"/>
        <w:rPr>
          <w:rFonts w:ascii="Times New Roman" w:eastAsia="宋体" w:hAnsi="Times New Roman"/>
          <w:sz w:val="18"/>
          <w:szCs w:val="18"/>
        </w:rPr>
      </w:pPr>
      <w:r w:rsidRPr="00B77F5F">
        <w:rPr>
          <w:rFonts w:ascii="Times New Roman" w:eastAsia="宋体" w:hAnsi="Times New Roman" w:hint="eastAsia"/>
          <w:sz w:val="18"/>
          <w:szCs w:val="18"/>
        </w:rPr>
        <w:t>前瞻性信息信用风险显著增加的评估及预期信用损失的计算均涉及前瞻性信息。本集团通过进行历史数据分析，识别</w:t>
      </w:r>
      <w:proofErr w:type="gramStart"/>
      <w:r w:rsidRPr="00B77F5F">
        <w:rPr>
          <w:rFonts w:ascii="Times New Roman" w:eastAsia="宋体" w:hAnsi="Times New Roman" w:hint="eastAsia"/>
          <w:sz w:val="18"/>
          <w:szCs w:val="18"/>
        </w:rPr>
        <w:t>出影响</w:t>
      </w:r>
      <w:proofErr w:type="gramEnd"/>
      <w:r w:rsidRPr="00B77F5F">
        <w:rPr>
          <w:rFonts w:ascii="Times New Roman" w:eastAsia="宋体" w:hAnsi="Times New Roman" w:hint="eastAsia"/>
          <w:sz w:val="18"/>
          <w:szCs w:val="18"/>
        </w:rPr>
        <w:t>各业务类型信用风险及预期信用损失的关键经济指标。</w:t>
      </w:r>
    </w:p>
    <w:p w14:paraId="785C343B" w14:textId="77777777" w:rsidR="00B77F5F" w:rsidRPr="00B77F5F" w:rsidRDefault="00B77F5F" w:rsidP="002B3EAC">
      <w:pPr>
        <w:spacing w:line="276" w:lineRule="auto"/>
        <w:ind w:firstLineChars="200" w:firstLine="360"/>
        <w:rPr>
          <w:rFonts w:ascii="Times New Roman" w:eastAsia="宋体" w:hAnsi="Times New Roman"/>
          <w:sz w:val="18"/>
          <w:szCs w:val="18"/>
        </w:rPr>
      </w:pPr>
      <w:r w:rsidRPr="00B77F5F">
        <w:rPr>
          <w:rFonts w:ascii="Times New Roman" w:eastAsia="宋体" w:hAnsi="Times New Roman" w:hint="eastAsia"/>
          <w:sz w:val="18"/>
          <w:szCs w:val="18"/>
        </w:rPr>
        <w:t>本集团因应收账款、其他应收</w:t>
      </w:r>
      <w:proofErr w:type="gramStart"/>
      <w:r w:rsidRPr="00B77F5F">
        <w:rPr>
          <w:rFonts w:ascii="Times New Roman" w:eastAsia="宋体" w:hAnsi="Times New Roman" w:hint="eastAsia"/>
          <w:sz w:val="18"/>
          <w:szCs w:val="18"/>
        </w:rPr>
        <w:t>款产生</w:t>
      </w:r>
      <w:proofErr w:type="gramEnd"/>
      <w:r w:rsidRPr="00B77F5F">
        <w:rPr>
          <w:rFonts w:ascii="Times New Roman" w:eastAsia="宋体" w:hAnsi="Times New Roman" w:hint="eastAsia"/>
          <w:sz w:val="18"/>
          <w:szCs w:val="18"/>
        </w:rPr>
        <w:t>的信用风险敞口、损失准备的量化数据，参见附注</w:t>
      </w:r>
      <w:r w:rsidR="0001660E">
        <w:rPr>
          <w:rFonts w:ascii="Times New Roman" w:eastAsia="宋体" w:hAnsi="Times New Roman" w:hint="eastAsia"/>
          <w:sz w:val="18"/>
          <w:szCs w:val="18"/>
        </w:rPr>
        <w:t>七</w:t>
      </w:r>
      <w:r w:rsidRPr="00B77F5F">
        <w:rPr>
          <w:rFonts w:ascii="Times New Roman" w:eastAsia="宋体" w:hAnsi="Times New Roman" w:hint="eastAsia"/>
          <w:sz w:val="18"/>
          <w:szCs w:val="18"/>
        </w:rPr>
        <w:t>、</w:t>
      </w:r>
      <w:r w:rsidR="0001660E">
        <w:rPr>
          <w:rFonts w:ascii="Times New Roman" w:eastAsia="宋体" w:hAnsi="Times New Roman" w:hint="eastAsia"/>
          <w:sz w:val="18"/>
          <w:szCs w:val="18"/>
        </w:rPr>
        <w:t>5</w:t>
      </w:r>
      <w:r w:rsidRPr="00B77F5F">
        <w:rPr>
          <w:rFonts w:ascii="Times New Roman" w:eastAsia="宋体" w:hAnsi="Times New Roman" w:hint="eastAsia"/>
          <w:sz w:val="18"/>
          <w:szCs w:val="18"/>
        </w:rPr>
        <w:t>，附注</w:t>
      </w:r>
      <w:r w:rsidR="0001660E">
        <w:rPr>
          <w:rFonts w:ascii="Times New Roman" w:eastAsia="宋体" w:hAnsi="Times New Roman" w:hint="eastAsia"/>
          <w:sz w:val="18"/>
          <w:szCs w:val="18"/>
        </w:rPr>
        <w:t>七</w:t>
      </w:r>
      <w:r w:rsidRPr="00B77F5F">
        <w:rPr>
          <w:rFonts w:ascii="Times New Roman" w:eastAsia="宋体" w:hAnsi="Times New Roman" w:hint="eastAsia"/>
          <w:sz w:val="18"/>
          <w:szCs w:val="18"/>
        </w:rPr>
        <w:t>、</w:t>
      </w:r>
      <w:r w:rsidR="0001660E">
        <w:rPr>
          <w:rFonts w:ascii="Times New Roman" w:eastAsia="宋体" w:hAnsi="Times New Roman" w:hint="eastAsia"/>
          <w:sz w:val="18"/>
          <w:szCs w:val="18"/>
        </w:rPr>
        <w:t>8</w:t>
      </w:r>
      <w:r w:rsidRPr="00B77F5F">
        <w:rPr>
          <w:rFonts w:ascii="Times New Roman" w:eastAsia="宋体" w:hAnsi="Times New Roman" w:hint="eastAsia"/>
          <w:sz w:val="18"/>
          <w:szCs w:val="18"/>
        </w:rPr>
        <w:t>的披露。</w:t>
      </w:r>
    </w:p>
    <w:p w14:paraId="044CAEAD"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sz w:val="18"/>
          <w:szCs w:val="18"/>
        </w:rPr>
        <w:t> </w:t>
      </w:r>
    </w:p>
    <w:p w14:paraId="0CD5E46A" w14:textId="77777777" w:rsidR="00B77F5F" w:rsidRPr="00B77F5F" w:rsidRDefault="00B77F5F" w:rsidP="00B77F5F">
      <w:pPr>
        <w:rPr>
          <w:rFonts w:ascii="Times New Roman" w:eastAsia="宋体" w:hAnsi="Times New Roman"/>
          <w:sz w:val="18"/>
          <w:szCs w:val="18"/>
        </w:rPr>
      </w:pPr>
    </w:p>
    <w:p w14:paraId="04A86784" w14:textId="77777777" w:rsidR="00B77F5F" w:rsidRPr="00B77F5F" w:rsidRDefault="00B77F5F" w:rsidP="00B77F5F">
      <w:pPr>
        <w:rPr>
          <w:rFonts w:ascii="Times New Roman" w:eastAsia="宋体" w:hAnsi="Times New Roman"/>
          <w:sz w:val="18"/>
          <w:szCs w:val="18"/>
        </w:rPr>
      </w:pPr>
    </w:p>
    <w:p w14:paraId="4B97DE7C" w14:textId="77777777" w:rsidR="00B77F5F" w:rsidRPr="00B77F5F" w:rsidRDefault="002B3EAC" w:rsidP="002B3EAC">
      <w:pPr>
        <w:spacing w:line="276" w:lineRule="auto"/>
        <w:ind w:firstLineChars="200" w:firstLine="360"/>
        <w:rPr>
          <w:rFonts w:ascii="Times New Roman" w:eastAsia="宋体" w:hAnsi="Times New Roman"/>
          <w:sz w:val="18"/>
          <w:szCs w:val="18"/>
        </w:rPr>
      </w:pPr>
      <w:r>
        <w:rPr>
          <w:rFonts w:ascii="Times New Roman" w:eastAsia="宋体" w:hAnsi="Times New Roman" w:hint="eastAsia"/>
          <w:sz w:val="18"/>
          <w:szCs w:val="18"/>
        </w:rPr>
        <w:t>（</w:t>
      </w:r>
      <w:r>
        <w:rPr>
          <w:rFonts w:ascii="Times New Roman" w:eastAsia="宋体" w:hAnsi="Times New Roman" w:hint="eastAsia"/>
          <w:sz w:val="18"/>
          <w:szCs w:val="18"/>
        </w:rPr>
        <w:t>3</w:t>
      </w:r>
      <w:r>
        <w:rPr>
          <w:rFonts w:ascii="Times New Roman" w:eastAsia="宋体" w:hAnsi="Times New Roman" w:hint="eastAsia"/>
          <w:sz w:val="18"/>
          <w:szCs w:val="18"/>
        </w:rPr>
        <w:t>）</w:t>
      </w:r>
      <w:r w:rsidR="00B77F5F" w:rsidRPr="00B77F5F">
        <w:rPr>
          <w:rFonts w:ascii="Times New Roman" w:eastAsia="宋体" w:hAnsi="Times New Roman" w:hint="eastAsia"/>
          <w:sz w:val="18"/>
          <w:szCs w:val="18"/>
        </w:rPr>
        <w:t>流动性风险</w:t>
      </w:r>
    </w:p>
    <w:p w14:paraId="1C3F2958" w14:textId="77777777" w:rsidR="00B77F5F" w:rsidRPr="00B77F5F" w:rsidRDefault="00B77F5F" w:rsidP="002B3EAC">
      <w:pPr>
        <w:spacing w:line="276" w:lineRule="auto"/>
        <w:ind w:firstLineChars="200" w:firstLine="360"/>
        <w:rPr>
          <w:rFonts w:ascii="Times New Roman" w:eastAsia="宋体" w:hAnsi="Times New Roman"/>
          <w:sz w:val="18"/>
          <w:szCs w:val="18"/>
        </w:rPr>
      </w:pPr>
      <w:r w:rsidRPr="00B77F5F">
        <w:rPr>
          <w:rFonts w:ascii="Times New Roman" w:eastAsia="宋体" w:hAnsi="Times New Roman" w:hint="eastAsia"/>
          <w:sz w:val="18"/>
          <w:szCs w:val="18"/>
        </w:rPr>
        <w:t>流动性风险，是指企业在履行以交付现金或其他金融资产的方式结算的义务时发生资金短缺的风险。</w:t>
      </w:r>
    </w:p>
    <w:p w14:paraId="3E21D6D5" w14:textId="77777777" w:rsidR="00B77F5F" w:rsidRPr="00B77F5F" w:rsidRDefault="00B77F5F" w:rsidP="002B3EAC">
      <w:pPr>
        <w:spacing w:line="276" w:lineRule="auto"/>
        <w:ind w:firstLineChars="200" w:firstLine="360"/>
        <w:rPr>
          <w:rFonts w:ascii="Times New Roman" w:eastAsia="宋体" w:hAnsi="Times New Roman"/>
          <w:sz w:val="18"/>
          <w:szCs w:val="18"/>
        </w:rPr>
      </w:pPr>
      <w:r w:rsidRPr="00B77F5F">
        <w:rPr>
          <w:rFonts w:ascii="Times New Roman" w:eastAsia="宋体" w:hAnsi="Times New Roman" w:hint="eastAsia"/>
          <w:sz w:val="18"/>
          <w:szCs w:val="18"/>
        </w:rPr>
        <w:t>管理流动性风险时，本集团保持管理层认为充分的现金及现金等价物并对其进行监控，以满足本集团经营需要，并降低现金流量波动的影响。本集团管理层对银行借款的使用情况进行监控并确保遵守借款协议：</w:t>
      </w:r>
    </w:p>
    <w:tbl>
      <w:tblPr>
        <w:tblW w:w="5000" w:type="pct"/>
        <w:tblCellMar>
          <w:left w:w="0" w:type="dxa"/>
          <w:right w:w="0" w:type="dxa"/>
        </w:tblCellMar>
        <w:tblLook w:val="04A0" w:firstRow="1" w:lastRow="0" w:firstColumn="1" w:lastColumn="0" w:noHBand="0" w:noVBand="1"/>
      </w:tblPr>
      <w:tblGrid>
        <w:gridCol w:w="2553"/>
        <w:gridCol w:w="1766"/>
        <w:gridCol w:w="1766"/>
        <w:gridCol w:w="1766"/>
        <w:gridCol w:w="1766"/>
      </w:tblGrid>
      <w:tr w:rsidR="00B77F5F" w:rsidRPr="00B77F5F" w14:paraId="7AC938E7" w14:textId="77777777" w:rsidTr="00B77F5F">
        <w:trPr>
          <w:trHeight w:val="340"/>
          <w:tblHeader/>
        </w:trPr>
        <w:tc>
          <w:tcPr>
            <w:tcW w:w="1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3B7642"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项目</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348364"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sz w:val="18"/>
                <w:szCs w:val="18"/>
              </w:rPr>
              <w:t>1</w:t>
            </w:r>
            <w:r w:rsidRPr="00B77F5F">
              <w:rPr>
                <w:rFonts w:ascii="Times New Roman" w:eastAsia="宋体" w:hAnsi="Times New Roman" w:hint="eastAsia"/>
                <w:sz w:val="18"/>
                <w:szCs w:val="18"/>
              </w:rPr>
              <w:t>年以内（含</w:t>
            </w:r>
            <w:r w:rsidRPr="00B77F5F">
              <w:rPr>
                <w:rFonts w:ascii="Times New Roman" w:eastAsia="宋体" w:hAnsi="Times New Roman"/>
                <w:sz w:val="18"/>
                <w:szCs w:val="18"/>
              </w:rPr>
              <w:t>1</w:t>
            </w:r>
            <w:r w:rsidRPr="00B77F5F">
              <w:rPr>
                <w:rFonts w:ascii="Times New Roman" w:eastAsia="宋体" w:hAnsi="Times New Roman" w:hint="eastAsia"/>
                <w:sz w:val="18"/>
                <w:szCs w:val="18"/>
              </w:rPr>
              <w:t>年）</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A15CC1"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sz w:val="18"/>
                <w:szCs w:val="18"/>
              </w:rPr>
              <w:t>1-3</w:t>
            </w:r>
            <w:r w:rsidRPr="00B77F5F">
              <w:rPr>
                <w:rFonts w:ascii="Times New Roman" w:eastAsia="宋体" w:hAnsi="Times New Roman" w:hint="eastAsia"/>
                <w:sz w:val="18"/>
                <w:szCs w:val="18"/>
              </w:rPr>
              <w:t>年（含</w:t>
            </w:r>
            <w:r w:rsidRPr="00B77F5F">
              <w:rPr>
                <w:rFonts w:ascii="Times New Roman" w:eastAsia="宋体" w:hAnsi="Times New Roman"/>
                <w:sz w:val="18"/>
                <w:szCs w:val="18"/>
              </w:rPr>
              <w:t>3</w:t>
            </w:r>
            <w:r w:rsidRPr="00B77F5F">
              <w:rPr>
                <w:rFonts w:ascii="Times New Roman" w:eastAsia="宋体" w:hAnsi="Times New Roman" w:hint="eastAsia"/>
                <w:sz w:val="18"/>
                <w:szCs w:val="18"/>
              </w:rPr>
              <w:t>年）</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70589D"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sz w:val="18"/>
                <w:szCs w:val="18"/>
              </w:rPr>
              <w:t>3-5</w:t>
            </w:r>
            <w:r w:rsidRPr="00B77F5F">
              <w:rPr>
                <w:rFonts w:ascii="Times New Roman" w:eastAsia="宋体" w:hAnsi="Times New Roman" w:hint="eastAsia"/>
                <w:sz w:val="18"/>
                <w:szCs w:val="18"/>
              </w:rPr>
              <w:t>年（含</w:t>
            </w:r>
            <w:r w:rsidRPr="00B77F5F">
              <w:rPr>
                <w:rFonts w:ascii="Times New Roman" w:eastAsia="宋体" w:hAnsi="Times New Roman"/>
                <w:sz w:val="18"/>
                <w:szCs w:val="18"/>
              </w:rPr>
              <w:t>5</w:t>
            </w:r>
            <w:r w:rsidRPr="00B77F5F">
              <w:rPr>
                <w:rFonts w:ascii="Times New Roman" w:eastAsia="宋体" w:hAnsi="Times New Roman" w:hint="eastAsia"/>
                <w:sz w:val="18"/>
                <w:szCs w:val="18"/>
              </w:rPr>
              <w:t>年）</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046CA8"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sz w:val="18"/>
                <w:szCs w:val="18"/>
              </w:rPr>
              <w:t>5</w:t>
            </w:r>
            <w:r w:rsidRPr="00B77F5F">
              <w:rPr>
                <w:rFonts w:ascii="Times New Roman" w:eastAsia="宋体" w:hAnsi="Times New Roman" w:hint="eastAsia"/>
                <w:sz w:val="18"/>
                <w:szCs w:val="18"/>
              </w:rPr>
              <w:t>年以上</w:t>
            </w:r>
          </w:p>
        </w:tc>
      </w:tr>
      <w:tr w:rsidR="00B77F5F" w:rsidRPr="00B77F5F" w14:paraId="3683C2DA" w14:textId="77777777" w:rsidTr="00B77F5F">
        <w:trPr>
          <w:trHeight w:val="340"/>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98E7E3"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短期借款</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904AD95"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1,829,267,478.71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5383F6DC"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08A22593"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F882F19"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r>
      <w:tr w:rsidR="00B77F5F" w:rsidRPr="00B77F5F" w14:paraId="7E1A517F" w14:textId="77777777" w:rsidTr="00B77F5F">
        <w:trPr>
          <w:trHeight w:val="340"/>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6E6D4"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应付票据</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0A6257B8"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446,125,801.99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9CBD554"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1BC3ED28"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66DD1E6"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r>
      <w:tr w:rsidR="00B77F5F" w:rsidRPr="00B77F5F" w14:paraId="55DA6EDD" w14:textId="77777777" w:rsidTr="00B77F5F">
        <w:trPr>
          <w:trHeight w:val="340"/>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57962"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应付账款</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16FE955F"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421,839,401.99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3FB51F26"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2278D324"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1048D9DB"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r>
      <w:tr w:rsidR="00B77F5F" w:rsidRPr="00B77F5F" w14:paraId="1282CE11" w14:textId="77777777" w:rsidTr="00B77F5F">
        <w:trPr>
          <w:trHeight w:val="340"/>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DBF8FD"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其他应付款</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0CEBE08C"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261,910,919.18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50121E25"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621B4FA0"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CCA9354"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r>
      <w:tr w:rsidR="00B77F5F" w:rsidRPr="00B77F5F" w14:paraId="13872918" w14:textId="77777777" w:rsidTr="00B77F5F">
        <w:trPr>
          <w:trHeight w:val="340"/>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281FC4"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一年内到期的非流动负债</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015787E3"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179,429,646.55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1604AF3D"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CC36B3C"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FF5CB5A"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r>
      <w:tr w:rsidR="00B77F5F" w:rsidRPr="00B77F5F" w14:paraId="2DD85B04" w14:textId="77777777" w:rsidTr="00B77F5F">
        <w:trPr>
          <w:trHeight w:val="340"/>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4038B0"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长期借款</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11CB8FE8"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95C7433"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214,202,925.48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AE295DA"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57,000,000.00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619BB76A"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55,000,000.00</w:t>
            </w:r>
          </w:p>
        </w:tc>
      </w:tr>
      <w:tr w:rsidR="00B77F5F" w:rsidRPr="00B77F5F" w14:paraId="5ABB0975" w14:textId="77777777" w:rsidTr="00B77F5F">
        <w:trPr>
          <w:trHeight w:val="340"/>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286571"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应付债券</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08C89AB6"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12E3F8DC"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899,039,265.74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ECEC100"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6CCEF5DD"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r>
      <w:tr w:rsidR="00B77F5F" w:rsidRPr="00B77F5F" w14:paraId="783140F2" w14:textId="77777777" w:rsidTr="00B77F5F">
        <w:trPr>
          <w:trHeight w:val="340"/>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66B62E"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租赁负债</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0367D30A"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117CF52"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5,313,002.45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9794877"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6,620,981.84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CDDE89A"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33,262,092.17</w:t>
            </w:r>
          </w:p>
        </w:tc>
      </w:tr>
      <w:tr w:rsidR="00B77F5F" w:rsidRPr="00B77F5F" w14:paraId="2B764742" w14:textId="77777777" w:rsidTr="00B77F5F">
        <w:trPr>
          <w:trHeight w:val="340"/>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957E6D" w14:textId="77777777" w:rsidR="00B77F5F" w:rsidRPr="00B77F5F" w:rsidRDefault="00B77F5F" w:rsidP="00B77F5F">
            <w:pPr>
              <w:rPr>
                <w:rFonts w:ascii="Times New Roman" w:eastAsia="宋体" w:hAnsi="Times New Roman"/>
                <w:sz w:val="18"/>
                <w:szCs w:val="18"/>
              </w:rPr>
            </w:pPr>
            <w:r w:rsidRPr="00B77F5F">
              <w:rPr>
                <w:rFonts w:ascii="Times New Roman" w:eastAsia="宋体" w:hAnsi="Times New Roman" w:hint="eastAsia"/>
                <w:sz w:val="18"/>
                <w:szCs w:val="18"/>
              </w:rPr>
              <w:t>长期应付款</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61FCE79"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D40DE9C"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5,370,867.01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CA8DAAB"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04D99D5A" w14:textId="77777777" w:rsidR="00B77F5F" w:rsidRPr="00B77F5F" w:rsidRDefault="00B77F5F" w:rsidP="00B77F5F">
            <w:pPr>
              <w:jc w:val="right"/>
              <w:rPr>
                <w:rFonts w:ascii="Times New Roman" w:eastAsia="宋体" w:hAnsi="Times New Roman"/>
                <w:sz w:val="18"/>
                <w:szCs w:val="18"/>
              </w:rPr>
            </w:pPr>
            <w:r w:rsidRPr="00B77F5F">
              <w:rPr>
                <w:rFonts w:ascii="Times New Roman" w:eastAsia="宋体" w:hAnsi="Times New Roman"/>
                <w:sz w:val="18"/>
                <w:szCs w:val="18"/>
              </w:rPr>
              <w:t> </w:t>
            </w:r>
          </w:p>
        </w:tc>
      </w:tr>
    </w:tbl>
    <w:p w14:paraId="73988657" w14:textId="77777777" w:rsidR="001D26E7" w:rsidRPr="00F614F9" w:rsidRDefault="00000000">
      <w:pPr>
        <w:pStyle w:val="3"/>
        <w:spacing w:line="280" w:lineRule="exact"/>
        <w:jc w:val="left"/>
        <w:rPr>
          <w:rFonts w:ascii="Times New Roman" w:hAnsi="Times New Roman" w:cs="宋体"/>
          <w:b/>
          <w:bCs/>
        </w:rPr>
      </w:pPr>
      <w:r w:rsidRPr="00F614F9">
        <w:rPr>
          <w:rFonts w:ascii="Times New Roman" w:hAnsi="Times New Roman" w:cs="宋体"/>
          <w:b/>
          <w:bCs/>
        </w:rPr>
        <w:t>2</w:t>
      </w:r>
      <w:r w:rsidRPr="00F614F9">
        <w:rPr>
          <w:rFonts w:ascii="Times New Roman" w:hAnsi="Times New Roman" w:cs="宋体"/>
          <w:b/>
          <w:bCs/>
        </w:rPr>
        <w:t>、套期</w:t>
      </w:r>
      <w:bookmarkEnd w:id="557"/>
    </w:p>
    <w:p w14:paraId="3D66AFDE" w14:textId="77777777" w:rsidR="001D26E7" w:rsidRPr="00F614F9" w:rsidRDefault="00000000">
      <w:pPr>
        <w:keepNext/>
        <w:keepLines/>
        <w:spacing w:before="300" w:after="300" w:line="280" w:lineRule="exact"/>
        <w:outlineLvl w:val="4"/>
        <w:rPr>
          <w:rFonts w:ascii="Times New Roman" w:eastAsia="宋体" w:hAnsi="Times New Roman" w:cs="宋体"/>
          <w:b/>
          <w:bCs/>
          <w:sz w:val="18"/>
          <w:szCs w:val="18"/>
        </w:rPr>
      </w:pPr>
      <w:bookmarkStart w:id="558" w:name="_Toc989402"/>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公司开展套期业务进行风险管理</w:t>
      </w:r>
      <w:bookmarkEnd w:id="558"/>
    </w:p>
    <w:p w14:paraId="27759FA8"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667AB8DC" w14:textId="77777777" w:rsidR="001D26E7" w:rsidRPr="00F614F9" w:rsidRDefault="00000000">
      <w:pPr>
        <w:keepNext/>
        <w:keepLines/>
        <w:spacing w:before="300" w:after="300" w:line="280" w:lineRule="exact"/>
        <w:outlineLvl w:val="4"/>
        <w:rPr>
          <w:rFonts w:ascii="Times New Roman" w:eastAsia="宋体" w:hAnsi="Times New Roman" w:cs="宋体"/>
          <w:b/>
          <w:bCs/>
          <w:sz w:val="18"/>
          <w:szCs w:val="18"/>
        </w:rPr>
      </w:pPr>
      <w:bookmarkStart w:id="559" w:name="_Toc989403"/>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2</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公司开展符合条件套期业务并应用套期会计</w:t>
      </w:r>
      <w:bookmarkEnd w:id="559"/>
    </w:p>
    <w:p w14:paraId="0D12BF0B" w14:textId="77777777" w:rsidR="00872599" w:rsidRPr="00F614F9" w:rsidRDefault="00000000">
      <w:pPr>
        <w:pStyle w:val="a3"/>
        <w:divId w:val="1980919164"/>
        <w:rPr>
          <w:rFonts w:ascii="Times New Roman" w:hAnsi="Times New Roman"/>
          <w:sz w:val="18"/>
          <w:szCs w:val="18"/>
        </w:rPr>
      </w:pPr>
      <w:r w:rsidRPr="00F614F9">
        <w:rPr>
          <w:rFonts w:ascii="Times New Roman" w:hAnsi="Times New Roman" w:hint="eastAsia"/>
          <w:sz w:val="18"/>
          <w:szCs w:val="18"/>
        </w:rPr>
        <w:t>无</w:t>
      </w:r>
    </w:p>
    <w:p w14:paraId="2337CAC9"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560" w:name="_Toc989404"/>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3</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公司开展套期业务进行风险管理、预期能实现风险管理目标但未应用套期会计</w:t>
      </w:r>
      <w:bookmarkEnd w:id="560"/>
    </w:p>
    <w:p w14:paraId="2E6B46EE"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648CDDFE" w14:textId="77777777" w:rsidR="001D26E7" w:rsidRPr="00F614F9" w:rsidRDefault="00000000">
      <w:pPr>
        <w:pStyle w:val="3"/>
        <w:spacing w:line="280" w:lineRule="exact"/>
        <w:jc w:val="left"/>
        <w:rPr>
          <w:rFonts w:ascii="Times New Roman" w:hAnsi="Times New Roman" w:cs="宋体"/>
          <w:b/>
          <w:bCs/>
        </w:rPr>
      </w:pPr>
      <w:bookmarkStart w:id="561" w:name="_Toc989405"/>
      <w:r w:rsidRPr="00F614F9">
        <w:rPr>
          <w:rFonts w:ascii="Times New Roman" w:hAnsi="Times New Roman" w:cs="宋体"/>
          <w:b/>
          <w:bCs/>
        </w:rPr>
        <w:t>3</w:t>
      </w:r>
      <w:r w:rsidRPr="00F614F9">
        <w:rPr>
          <w:rFonts w:ascii="Times New Roman" w:hAnsi="Times New Roman" w:cs="宋体"/>
          <w:b/>
          <w:bCs/>
        </w:rPr>
        <w:t>、金融资产</w:t>
      </w:r>
      <w:bookmarkEnd w:id="561"/>
    </w:p>
    <w:p w14:paraId="0B2D48B2"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562" w:name="_Toc989406"/>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转移方式分类</w:t>
      </w:r>
      <w:bookmarkEnd w:id="562"/>
    </w:p>
    <w:p w14:paraId="634A8BF6"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3DE83828"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563" w:name="_Toc989407"/>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2</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因转移而终止确认的金融资产</w:t>
      </w:r>
      <w:bookmarkEnd w:id="563"/>
    </w:p>
    <w:p w14:paraId="10BF1D91"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0EDDFEA6"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564" w:name="_Toc989408"/>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3</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继续涉入的资产转移金融资产</w:t>
      </w:r>
      <w:bookmarkEnd w:id="564"/>
    </w:p>
    <w:p w14:paraId="757ED7E7"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1E2DC290"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5C8DDBB6" w14:textId="77777777" w:rsidR="00872599" w:rsidRPr="00F614F9" w:rsidRDefault="00000000">
      <w:pPr>
        <w:pStyle w:val="a3"/>
        <w:divId w:val="934098781"/>
        <w:rPr>
          <w:rFonts w:ascii="Times New Roman" w:hAnsi="Times New Roman"/>
          <w:sz w:val="18"/>
          <w:szCs w:val="18"/>
        </w:rPr>
      </w:pPr>
      <w:r w:rsidRPr="00F614F9">
        <w:rPr>
          <w:rFonts w:ascii="Times New Roman" w:hAnsi="Times New Roman" w:hint="eastAsia"/>
          <w:sz w:val="18"/>
          <w:szCs w:val="18"/>
        </w:rPr>
        <w:lastRenderedPageBreak/>
        <w:t>无</w:t>
      </w:r>
    </w:p>
    <w:p w14:paraId="4932C74F"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565" w:name="_Toc989409"/>
      <w:bookmarkStart w:id="566" w:name="_Toc164024834"/>
      <w:r w:rsidRPr="00F614F9">
        <w:rPr>
          <w:rFonts w:ascii="Times New Roman" w:eastAsia="宋体" w:hAnsi="Times New Roman" w:cs="宋体"/>
          <w:b/>
          <w:bCs/>
          <w:sz w:val="24"/>
          <w:szCs w:val="24"/>
        </w:rPr>
        <w:t>十三、公允价值的披露</w:t>
      </w:r>
      <w:bookmarkEnd w:id="565"/>
      <w:bookmarkEnd w:id="566"/>
    </w:p>
    <w:p w14:paraId="3C14F4A5" w14:textId="77777777" w:rsidR="001D26E7" w:rsidRPr="00F614F9" w:rsidRDefault="00000000">
      <w:pPr>
        <w:pStyle w:val="3"/>
        <w:spacing w:line="280" w:lineRule="exact"/>
        <w:jc w:val="left"/>
        <w:rPr>
          <w:rFonts w:ascii="Times New Roman" w:hAnsi="Times New Roman" w:cs="宋体"/>
          <w:b/>
          <w:bCs/>
        </w:rPr>
      </w:pPr>
      <w:bookmarkStart w:id="567" w:name="_Toc989410"/>
      <w:r w:rsidRPr="00F614F9">
        <w:rPr>
          <w:rFonts w:ascii="Times New Roman" w:hAnsi="Times New Roman" w:cs="宋体"/>
          <w:b/>
          <w:bCs/>
        </w:rPr>
        <w:t>1</w:t>
      </w:r>
      <w:r w:rsidRPr="00F614F9">
        <w:rPr>
          <w:rFonts w:ascii="Times New Roman" w:hAnsi="Times New Roman" w:cs="宋体"/>
          <w:b/>
          <w:bCs/>
        </w:rPr>
        <w:t>、以公允价值计量的资产和负债的期末公允价值</w:t>
      </w:r>
      <w:bookmarkEnd w:id="567"/>
    </w:p>
    <w:p w14:paraId="0AFA3AB5" w14:textId="77777777" w:rsidR="001D26E7" w:rsidRPr="00F614F9" w:rsidRDefault="00295573" w:rsidP="00295573">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hint="eastAsia"/>
          <w:sz w:val="18"/>
          <w:szCs w:val="18"/>
        </w:rPr>
        <w:t>无</w:t>
      </w:r>
    </w:p>
    <w:p w14:paraId="3CAAE049" w14:textId="77777777" w:rsidR="001D26E7" w:rsidRPr="00F614F9" w:rsidRDefault="00000000">
      <w:pPr>
        <w:pStyle w:val="3"/>
        <w:spacing w:line="280" w:lineRule="exact"/>
        <w:jc w:val="left"/>
        <w:rPr>
          <w:rFonts w:ascii="Times New Roman" w:hAnsi="Times New Roman" w:cs="宋体"/>
          <w:b/>
          <w:bCs/>
        </w:rPr>
      </w:pPr>
      <w:bookmarkStart w:id="568" w:name="_Toc989411"/>
      <w:r w:rsidRPr="00F614F9">
        <w:rPr>
          <w:rFonts w:ascii="Times New Roman" w:hAnsi="Times New Roman" w:cs="宋体"/>
          <w:b/>
          <w:bCs/>
        </w:rPr>
        <w:t>2</w:t>
      </w:r>
      <w:r w:rsidRPr="00F614F9">
        <w:rPr>
          <w:rFonts w:ascii="Times New Roman" w:hAnsi="Times New Roman" w:cs="宋体"/>
          <w:b/>
          <w:bCs/>
        </w:rPr>
        <w:t>、持续和非持续第一层次公允价值计量项目市价的确定依据</w:t>
      </w:r>
      <w:bookmarkEnd w:id="568"/>
    </w:p>
    <w:p w14:paraId="026B22A5" w14:textId="77777777" w:rsidR="00872599" w:rsidRPr="00F614F9" w:rsidRDefault="00000000">
      <w:pPr>
        <w:pStyle w:val="a3"/>
        <w:spacing w:before="0" w:beforeAutospacing="0" w:after="0" w:afterAutospacing="0"/>
        <w:ind w:firstLine="360"/>
        <w:jc w:val="both"/>
        <w:divId w:val="1993869656"/>
        <w:rPr>
          <w:rFonts w:ascii="Times New Roman" w:hAnsi="Times New Roman" w:cs="Calibri"/>
          <w:sz w:val="21"/>
          <w:szCs w:val="21"/>
        </w:rPr>
      </w:pPr>
      <w:r w:rsidRPr="00F614F9">
        <w:rPr>
          <w:rFonts w:ascii="Times New Roman" w:hAnsi="Times New Roman" w:cs="Calibri" w:hint="eastAsia"/>
          <w:sz w:val="18"/>
          <w:szCs w:val="18"/>
        </w:rPr>
        <w:t>无</w:t>
      </w:r>
    </w:p>
    <w:p w14:paraId="631CCA6A" w14:textId="77777777" w:rsidR="001D26E7" w:rsidRPr="00F614F9" w:rsidRDefault="00000000">
      <w:pPr>
        <w:pStyle w:val="3"/>
        <w:spacing w:line="280" w:lineRule="exact"/>
        <w:jc w:val="left"/>
        <w:rPr>
          <w:rFonts w:ascii="Times New Roman" w:hAnsi="Times New Roman" w:cs="宋体"/>
          <w:b/>
          <w:bCs/>
        </w:rPr>
      </w:pPr>
      <w:bookmarkStart w:id="569" w:name="_Toc989412"/>
      <w:r w:rsidRPr="00F614F9">
        <w:rPr>
          <w:rFonts w:ascii="Times New Roman" w:hAnsi="Times New Roman" w:cs="宋体"/>
          <w:b/>
          <w:bCs/>
        </w:rPr>
        <w:t>3</w:t>
      </w:r>
      <w:r w:rsidRPr="00F614F9">
        <w:rPr>
          <w:rFonts w:ascii="Times New Roman" w:hAnsi="Times New Roman" w:cs="宋体"/>
          <w:b/>
          <w:bCs/>
        </w:rPr>
        <w:t>、持续和非持续第二层次公允价值计量项目，采用的估值技术和重要参数的定性及定量信息</w:t>
      </w:r>
      <w:bookmarkEnd w:id="569"/>
    </w:p>
    <w:p w14:paraId="628E205F" w14:textId="77777777" w:rsidR="00872599" w:rsidRPr="00F614F9" w:rsidRDefault="00000000">
      <w:pPr>
        <w:pStyle w:val="a3"/>
        <w:spacing w:before="0" w:beforeAutospacing="0" w:after="0" w:afterAutospacing="0"/>
        <w:ind w:firstLine="360"/>
        <w:jc w:val="both"/>
        <w:divId w:val="1128083380"/>
        <w:rPr>
          <w:rFonts w:ascii="Times New Roman" w:hAnsi="Times New Roman" w:cs="Calibri"/>
          <w:sz w:val="21"/>
          <w:szCs w:val="21"/>
        </w:rPr>
      </w:pPr>
      <w:r w:rsidRPr="00F614F9">
        <w:rPr>
          <w:rFonts w:ascii="Times New Roman" w:hAnsi="Times New Roman" w:cs="Calibri" w:hint="eastAsia"/>
          <w:sz w:val="18"/>
          <w:szCs w:val="18"/>
        </w:rPr>
        <w:t>无</w:t>
      </w:r>
    </w:p>
    <w:p w14:paraId="017CC185" w14:textId="77777777" w:rsidR="001D26E7" w:rsidRPr="00F614F9" w:rsidRDefault="00000000">
      <w:pPr>
        <w:pStyle w:val="3"/>
        <w:spacing w:line="280" w:lineRule="exact"/>
        <w:jc w:val="left"/>
        <w:rPr>
          <w:rFonts w:ascii="Times New Roman" w:hAnsi="Times New Roman" w:cs="宋体"/>
          <w:b/>
          <w:bCs/>
        </w:rPr>
      </w:pPr>
      <w:bookmarkStart w:id="570" w:name="_Toc989413"/>
      <w:r w:rsidRPr="00F614F9">
        <w:rPr>
          <w:rFonts w:ascii="Times New Roman" w:hAnsi="Times New Roman" w:cs="宋体"/>
          <w:b/>
          <w:bCs/>
        </w:rPr>
        <w:t>4</w:t>
      </w:r>
      <w:r w:rsidRPr="00F614F9">
        <w:rPr>
          <w:rFonts w:ascii="Times New Roman" w:hAnsi="Times New Roman" w:cs="宋体"/>
          <w:b/>
          <w:bCs/>
        </w:rPr>
        <w:t>、持续和非持续第三层次公允价值计量项目，采用的估值技术和重要参数的定性及定量信息</w:t>
      </w:r>
      <w:bookmarkEnd w:id="570"/>
    </w:p>
    <w:p w14:paraId="2A18B919" w14:textId="77777777" w:rsidR="00872599" w:rsidRPr="00F614F9" w:rsidRDefault="00000000" w:rsidP="00295573">
      <w:pPr>
        <w:pStyle w:val="a3"/>
        <w:spacing w:before="0" w:beforeAutospacing="0" w:after="0" w:afterAutospacing="0" w:line="276" w:lineRule="auto"/>
        <w:jc w:val="both"/>
        <w:divId w:val="1483277246"/>
        <w:rPr>
          <w:rFonts w:ascii="Times New Roman" w:hAnsi="Times New Roman" w:cs="Times New Roman"/>
          <w:sz w:val="18"/>
          <w:szCs w:val="18"/>
        </w:rPr>
      </w:pPr>
      <w:r w:rsidRPr="00F614F9">
        <w:rPr>
          <w:rFonts w:ascii="Times New Roman" w:hAnsi="Times New Roman" w:cs="Times New Roman" w:hint="eastAsia"/>
          <w:sz w:val="18"/>
          <w:szCs w:val="18"/>
        </w:rPr>
        <w:t> </w:t>
      </w:r>
      <w:r w:rsidR="00295573" w:rsidRPr="00F614F9">
        <w:rPr>
          <w:rFonts w:ascii="Times New Roman" w:hAnsi="Times New Roman" w:cs="Times New Roman" w:hint="eastAsia"/>
          <w:sz w:val="18"/>
          <w:szCs w:val="18"/>
        </w:rPr>
        <w:t xml:space="preserve">    </w:t>
      </w:r>
      <w:r w:rsidRPr="00F614F9">
        <w:rPr>
          <w:rFonts w:ascii="Times New Roman" w:hAnsi="Times New Roman" w:cs="Times New Roman" w:hint="eastAsia"/>
          <w:sz w:val="18"/>
          <w:szCs w:val="18"/>
        </w:rPr>
        <w:t>本公司第三层次公允价值计量的其他权益工具投资系本公司持有的非上市公司股权。被投资企业经营环境和经营情况、财务状况未发生重大变化，所以公司按持股比例计算被投资单位账面权益核算金额作为公允价值的合理估计进行计量。</w:t>
      </w:r>
    </w:p>
    <w:p w14:paraId="1181CD40" w14:textId="77777777" w:rsidR="001D26E7" w:rsidRPr="00F614F9" w:rsidRDefault="00000000">
      <w:pPr>
        <w:pStyle w:val="3"/>
        <w:spacing w:line="280" w:lineRule="exact"/>
        <w:jc w:val="left"/>
        <w:rPr>
          <w:rFonts w:ascii="Times New Roman" w:hAnsi="Times New Roman" w:cs="宋体"/>
          <w:b/>
          <w:bCs/>
        </w:rPr>
      </w:pPr>
      <w:bookmarkStart w:id="571" w:name="_Toc989414"/>
      <w:r w:rsidRPr="00F614F9">
        <w:rPr>
          <w:rFonts w:ascii="Times New Roman" w:hAnsi="Times New Roman" w:cs="宋体"/>
          <w:b/>
          <w:bCs/>
        </w:rPr>
        <w:t>5</w:t>
      </w:r>
      <w:r w:rsidRPr="00F614F9">
        <w:rPr>
          <w:rFonts w:ascii="Times New Roman" w:hAnsi="Times New Roman" w:cs="宋体"/>
          <w:b/>
          <w:bCs/>
        </w:rPr>
        <w:t>、持续的第三层次公允价值计量项目，期初与期末账面价值间的调节信息及不可观察参数敏感性分析</w:t>
      </w:r>
      <w:bookmarkEnd w:id="571"/>
    </w:p>
    <w:p w14:paraId="3BABD512" w14:textId="77777777" w:rsidR="00872599" w:rsidRPr="00F614F9" w:rsidRDefault="00000000">
      <w:pPr>
        <w:pStyle w:val="a3"/>
        <w:spacing w:before="0" w:beforeAutospacing="0" w:after="0" w:afterAutospacing="0"/>
        <w:ind w:firstLine="360"/>
        <w:jc w:val="both"/>
        <w:divId w:val="1401948254"/>
        <w:rPr>
          <w:rFonts w:ascii="Times New Roman" w:hAnsi="Times New Roman" w:cs="Calibri"/>
          <w:sz w:val="21"/>
          <w:szCs w:val="21"/>
        </w:rPr>
      </w:pPr>
      <w:r w:rsidRPr="00F614F9">
        <w:rPr>
          <w:rFonts w:ascii="Times New Roman" w:hAnsi="Times New Roman" w:cs="Calibri" w:hint="eastAsia"/>
          <w:sz w:val="18"/>
          <w:szCs w:val="18"/>
        </w:rPr>
        <w:t>无</w:t>
      </w:r>
    </w:p>
    <w:p w14:paraId="4A19FA4E" w14:textId="77777777" w:rsidR="001D26E7" w:rsidRPr="00F614F9" w:rsidRDefault="00000000">
      <w:pPr>
        <w:pStyle w:val="3"/>
        <w:spacing w:line="280" w:lineRule="exact"/>
        <w:jc w:val="left"/>
        <w:rPr>
          <w:rFonts w:ascii="Times New Roman" w:hAnsi="Times New Roman" w:cs="宋体"/>
          <w:b/>
          <w:bCs/>
        </w:rPr>
      </w:pPr>
      <w:bookmarkStart w:id="572" w:name="_Toc989415"/>
      <w:r w:rsidRPr="00F614F9">
        <w:rPr>
          <w:rFonts w:ascii="Times New Roman" w:hAnsi="Times New Roman" w:cs="宋体"/>
          <w:b/>
          <w:bCs/>
        </w:rPr>
        <w:t>6</w:t>
      </w:r>
      <w:r w:rsidRPr="00F614F9">
        <w:rPr>
          <w:rFonts w:ascii="Times New Roman" w:hAnsi="Times New Roman" w:cs="宋体"/>
          <w:b/>
          <w:bCs/>
        </w:rPr>
        <w:t>、持续的公允价值计量项目，本期内发生各层级之间转换的，转换的原因及确定转换时点的政策</w:t>
      </w:r>
      <w:bookmarkEnd w:id="572"/>
    </w:p>
    <w:p w14:paraId="61A44D90" w14:textId="77777777" w:rsidR="00872599" w:rsidRPr="00F614F9" w:rsidRDefault="00000000">
      <w:pPr>
        <w:pStyle w:val="a3"/>
        <w:spacing w:before="0" w:beforeAutospacing="0" w:after="0" w:afterAutospacing="0"/>
        <w:ind w:firstLine="360"/>
        <w:jc w:val="both"/>
        <w:divId w:val="1934708272"/>
        <w:rPr>
          <w:rFonts w:ascii="Times New Roman" w:hAnsi="Times New Roman" w:cs="Calibri"/>
          <w:sz w:val="21"/>
          <w:szCs w:val="21"/>
        </w:rPr>
      </w:pPr>
      <w:r w:rsidRPr="00F614F9">
        <w:rPr>
          <w:rFonts w:ascii="Times New Roman" w:hAnsi="Times New Roman" w:cs="Calibri" w:hint="eastAsia"/>
          <w:sz w:val="18"/>
          <w:szCs w:val="18"/>
        </w:rPr>
        <w:t>无</w:t>
      </w:r>
    </w:p>
    <w:p w14:paraId="7740753C" w14:textId="77777777" w:rsidR="001D26E7" w:rsidRPr="00F614F9" w:rsidRDefault="00000000">
      <w:pPr>
        <w:pStyle w:val="3"/>
        <w:spacing w:line="280" w:lineRule="exact"/>
        <w:jc w:val="left"/>
        <w:rPr>
          <w:rFonts w:ascii="Times New Roman" w:hAnsi="Times New Roman" w:cs="宋体"/>
          <w:b/>
          <w:bCs/>
        </w:rPr>
      </w:pPr>
      <w:bookmarkStart w:id="573" w:name="_Toc989416"/>
      <w:r w:rsidRPr="00F614F9">
        <w:rPr>
          <w:rFonts w:ascii="Times New Roman" w:hAnsi="Times New Roman" w:cs="宋体"/>
          <w:b/>
          <w:bCs/>
        </w:rPr>
        <w:t>7</w:t>
      </w:r>
      <w:r w:rsidRPr="00F614F9">
        <w:rPr>
          <w:rFonts w:ascii="Times New Roman" w:hAnsi="Times New Roman" w:cs="宋体"/>
          <w:b/>
          <w:bCs/>
        </w:rPr>
        <w:t>、本期内发生的估值技术变更及变更原因</w:t>
      </w:r>
      <w:bookmarkEnd w:id="573"/>
    </w:p>
    <w:p w14:paraId="7EDE7C86" w14:textId="77777777" w:rsidR="00872599" w:rsidRPr="00F614F9" w:rsidRDefault="00000000">
      <w:pPr>
        <w:pStyle w:val="a3"/>
        <w:spacing w:before="0" w:beforeAutospacing="0" w:after="0" w:afterAutospacing="0"/>
        <w:ind w:firstLine="360"/>
        <w:jc w:val="both"/>
        <w:divId w:val="418864857"/>
        <w:rPr>
          <w:rFonts w:ascii="Times New Roman" w:hAnsi="Times New Roman" w:cs="Calibri"/>
          <w:sz w:val="21"/>
          <w:szCs w:val="21"/>
        </w:rPr>
      </w:pPr>
      <w:r w:rsidRPr="00F614F9">
        <w:rPr>
          <w:rFonts w:ascii="Times New Roman" w:hAnsi="Times New Roman" w:cs="Calibri" w:hint="eastAsia"/>
          <w:sz w:val="18"/>
          <w:szCs w:val="18"/>
        </w:rPr>
        <w:t>无</w:t>
      </w:r>
    </w:p>
    <w:p w14:paraId="385C1917" w14:textId="77777777" w:rsidR="001D26E7" w:rsidRPr="00F614F9" w:rsidRDefault="00000000">
      <w:pPr>
        <w:pStyle w:val="3"/>
        <w:spacing w:line="280" w:lineRule="exact"/>
        <w:jc w:val="left"/>
        <w:rPr>
          <w:rFonts w:ascii="Times New Roman" w:hAnsi="Times New Roman" w:cs="宋体"/>
          <w:b/>
          <w:bCs/>
        </w:rPr>
      </w:pPr>
      <w:bookmarkStart w:id="574" w:name="_Toc989417"/>
      <w:r w:rsidRPr="00F614F9">
        <w:rPr>
          <w:rFonts w:ascii="Times New Roman" w:hAnsi="Times New Roman" w:cs="宋体"/>
          <w:b/>
          <w:bCs/>
        </w:rPr>
        <w:t>8</w:t>
      </w:r>
      <w:r w:rsidRPr="00F614F9">
        <w:rPr>
          <w:rFonts w:ascii="Times New Roman" w:hAnsi="Times New Roman" w:cs="宋体"/>
          <w:b/>
          <w:bCs/>
        </w:rPr>
        <w:t>、不以公允价值计量的金融资产和金融负债的公允价值情况</w:t>
      </w:r>
      <w:bookmarkEnd w:id="574"/>
    </w:p>
    <w:p w14:paraId="403B5D4C" w14:textId="77777777" w:rsidR="00872599" w:rsidRPr="00F614F9" w:rsidRDefault="00000000">
      <w:pPr>
        <w:pStyle w:val="a3"/>
        <w:spacing w:before="0" w:beforeAutospacing="0" w:after="0" w:afterAutospacing="0"/>
        <w:ind w:firstLine="360"/>
        <w:jc w:val="both"/>
        <w:divId w:val="1718819526"/>
        <w:rPr>
          <w:rFonts w:ascii="Times New Roman" w:hAnsi="Times New Roman" w:cs="Calibri"/>
          <w:sz w:val="21"/>
          <w:szCs w:val="21"/>
        </w:rPr>
      </w:pPr>
      <w:r w:rsidRPr="00F614F9">
        <w:rPr>
          <w:rFonts w:ascii="Times New Roman" w:hAnsi="Times New Roman" w:cs="Calibri" w:hint="eastAsia"/>
          <w:sz w:val="18"/>
          <w:szCs w:val="18"/>
        </w:rPr>
        <w:t>无</w:t>
      </w:r>
    </w:p>
    <w:p w14:paraId="40771390" w14:textId="77777777" w:rsidR="001D26E7" w:rsidRPr="00F614F9" w:rsidRDefault="00000000">
      <w:pPr>
        <w:pStyle w:val="3"/>
        <w:spacing w:line="280" w:lineRule="exact"/>
        <w:jc w:val="left"/>
        <w:rPr>
          <w:rFonts w:ascii="Times New Roman" w:hAnsi="Times New Roman" w:cs="宋体"/>
          <w:b/>
          <w:bCs/>
        </w:rPr>
      </w:pPr>
      <w:bookmarkStart w:id="575" w:name="_Toc989418"/>
      <w:r w:rsidRPr="00F614F9">
        <w:rPr>
          <w:rFonts w:ascii="Times New Roman" w:hAnsi="Times New Roman" w:cs="宋体"/>
          <w:b/>
          <w:bCs/>
        </w:rPr>
        <w:t>9</w:t>
      </w:r>
      <w:r w:rsidRPr="00F614F9">
        <w:rPr>
          <w:rFonts w:ascii="Times New Roman" w:hAnsi="Times New Roman" w:cs="宋体"/>
          <w:b/>
          <w:bCs/>
        </w:rPr>
        <w:t>、其他</w:t>
      </w:r>
      <w:bookmarkEnd w:id="575"/>
    </w:p>
    <w:p w14:paraId="333644D1" w14:textId="77777777" w:rsidR="00872599" w:rsidRPr="00F614F9" w:rsidRDefault="00000000">
      <w:pPr>
        <w:pStyle w:val="a3"/>
        <w:spacing w:before="0" w:beforeAutospacing="0" w:after="0" w:afterAutospacing="0"/>
        <w:ind w:firstLine="360"/>
        <w:jc w:val="both"/>
        <w:divId w:val="1291521714"/>
        <w:rPr>
          <w:rFonts w:ascii="Times New Roman" w:hAnsi="Times New Roman" w:cs="Calibri"/>
          <w:sz w:val="21"/>
          <w:szCs w:val="21"/>
        </w:rPr>
      </w:pPr>
      <w:r w:rsidRPr="00F614F9">
        <w:rPr>
          <w:rFonts w:ascii="Times New Roman" w:hAnsi="Times New Roman" w:cs="Calibri" w:hint="eastAsia"/>
          <w:sz w:val="18"/>
          <w:szCs w:val="18"/>
        </w:rPr>
        <w:t>无</w:t>
      </w:r>
    </w:p>
    <w:p w14:paraId="43FAE708"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576" w:name="_Toc989419"/>
      <w:bookmarkStart w:id="577" w:name="_Toc164024835"/>
      <w:r w:rsidRPr="00F614F9">
        <w:rPr>
          <w:rFonts w:ascii="Times New Roman" w:eastAsia="宋体" w:hAnsi="Times New Roman" w:cs="宋体"/>
          <w:b/>
          <w:bCs/>
          <w:sz w:val="24"/>
          <w:szCs w:val="24"/>
        </w:rPr>
        <w:t>十四、关联方及关联交易</w:t>
      </w:r>
      <w:bookmarkEnd w:id="576"/>
      <w:bookmarkEnd w:id="577"/>
    </w:p>
    <w:p w14:paraId="0B7E0755" w14:textId="77777777" w:rsidR="001D26E7" w:rsidRPr="00F614F9" w:rsidRDefault="00000000">
      <w:pPr>
        <w:pStyle w:val="3"/>
        <w:spacing w:line="280" w:lineRule="exact"/>
        <w:jc w:val="left"/>
        <w:rPr>
          <w:rFonts w:ascii="Times New Roman" w:hAnsi="Times New Roman" w:cs="宋体"/>
          <w:b/>
          <w:bCs/>
        </w:rPr>
      </w:pPr>
      <w:bookmarkStart w:id="578" w:name="_Toc989420"/>
      <w:r w:rsidRPr="00F614F9">
        <w:rPr>
          <w:rFonts w:ascii="Times New Roman" w:hAnsi="Times New Roman" w:cs="宋体"/>
          <w:b/>
          <w:bCs/>
        </w:rPr>
        <w:t>1</w:t>
      </w:r>
      <w:r w:rsidRPr="00F614F9">
        <w:rPr>
          <w:rFonts w:ascii="Times New Roman" w:hAnsi="Times New Roman" w:cs="宋体"/>
          <w:b/>
          <w:bCs/>
        </w:rPr>
        <w:t>、本企业的母公司情况</w:t>
      </w:r>
      <w:bookmarkEnd w:id="578"/>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1D26E7" w:rsidRPr="00F614F9" w14:paraId="2496C873"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CEC112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母公司名称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75B1E1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注册地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D9E749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业务性质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2EB474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注册资本</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7195B4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母公司对本企业</w:t>
            </w:r>
            <w:r w:rsidRPr="00F614F9">
              <w:rPr>
                <w:rFonts w:ascii="Times New Roman" w:eastAsia="宋体" w:hAnsi="Times New Roman" w:cs="宋体"/>
                <w:sz w:val="18"/>
                <w:szCs w:val="18"/>
              </w:rPr>
              <w:lastRenderedPageBreak/>
              <w:t>的持股比例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2CEDA3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lastRenderedPageBreak/>
              <w:t>母公司对本企业</w:t>
            </w:r>
            <w:r w:rsidRPr="00F614F9">
              <w:rPr>
                <w:rFonts w:ascii="Times New Roman" w:eastAsia="宋体" w:hAnsi="Times New Roman" w:cs="宋体"/>
                <w:sz w:val="18"/>
                <w:szCs w:val="18"/>
              </w:rPr>
              <w:lastRenderedPageBreak/>
              <w:t>的表决权比例</w:t>
            </w:r>
          </w:p>
        </w:tc>
      </w:tr>
      <w:tr w:rsidR="001D26E7" w:rsidRPr="00F614F9" w14:paraId="39CE0392"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794B46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蓝润发展控股集团有限公司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2ED997F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深圳</w:t>
            </w:r>
          </w:p>
        </w:tc>
        <w:tc>
          <w:tcPr>
            <w:tcW w:w="1606" w:type="dxa"/>
            <w:tcBorders>
              <w:top w:val="single" w:sz="2" w:space="0" w:color="auto"/>
              <w:left w:val="single" w:sz="2" w:space="0" w:color="auto"/>
              <w:bottom w:val="single" w:sz="2" w:space="0" w:color="auto"/>
              <w:right w:val="single" w:sz="2" w:space="0" w:color="auto"/>
            </w:tcBorders>
            <w:vAlign w:val="center"/>
          </w:tcPr>
          <w:p w14:paraId="6CA8336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投资</w:t>
            </w:r>
          </w:p>
        </w:tc>
        <w:tc>
          <w:tcPr>
            <w:tcW w:w="1606" w:type="dxa"/>
            <w:tcBorders>
              <w:top w:val="single" w:sz="2" w:space="0" w:color="auto"/>
              <w:left w:val="single" w:sz="2" w:space="0" w:color="auto"/>
              <w:bottom w:val="single" w:sz="2" w:space="0" w:color="auto"/>
              <w:right w:val="single" w:sz="2" w:space="0" w:color="auto"/>
            </w:tcBorders>
            <w:vAlign w:val="center"/>
          </w:tcPr>
          <w:p w14:paraId="0BC7D6C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 xml:space="preserve">666,700.00 </w:t>
            </w:r>
            <w:r w:rsidRPr="00F614F9">
              <w:rPr>
                <w:rFonts w:ascii="Times New Roman" w:eastAsia="宋体" w:hAnsi="Times New Roman" w:cs="宋体"/>
                <w:sz w:val="18"/>
                <w:szCs w:val="18"/>
              </w:rPr>
              <w:t>万元</w:t>
            </w:r>
          </w:p>
        </w:tc>
        <w:tc>
          <w:tcPr>
            <w:tcW w:w="1606" w:type="dxa"/>
            <w:tcBorders>
              <w:top w:val="single" w:sz="2" w:space="0" w:color="auto"/>
              <w:left w:val="single" w:sz="2" w:space="0" w:color="auto"/>
              <w:bottom w:val="single" w:sz="2" w:space="0" w:color="auto"/>
              <w:right w:val="single" w:sz="2" w:space="0" w:color="auto"/>
            </w:tcBorders>
            <w:vAlign w:val="center"/>
          </w:tcPr>
          <w:p w14:paraId="0C86346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27.23%</w:t>
            </w:r>
          </w:p>
        </w:tc>
        <w:tc>
          <w:tcPr>
            <w:tcW w:w="1606" w:type="dxa"/>
            <w:tcBorders>
              <w:top w:val="single" w:sz="2" w:space="0" w:color="auto"/>
              <w:left w:val="single" w:sz="2" w:space="0" w:color="auto"/>
              <w:bottom w:val="single" w:sz="2" w:space="0" w:color="auto"/>
              <w:right w:val="single" w:sz="2" w:space="0" w:color="auto"/>
            </w:tcBorders>
            <w:vAlign w:val="center"/>
          </w:tcPr>
          <w:p w14:paraId="139442A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27.23%</w:t>
            </w:r>
          </w:p>
        </w:tc>
      </w:tr>
    </w:tbl>
    <w:p w14:paraId="2F6BB80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本企业的母公司情况的说明</w:t>
      </w:r>
    </w:p>
    <w:p w14:paraId="527FC307" w14:textId="77777777" w:rsidR="001D26E7" w:rsidRPr="00F614F9" w:rsidRDefault="001D26E7">
      <w:pPr>
        <w:rPr>
          <w:rFonts w:ascii="Times New Roman" w:hAnsi="Times New Roman"/>
        </w:rPr>
      </w:pPr>
    </w:p>
    <w:p w14:paraId="0A69BF4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本企业最终控制方是戴学斌、董翔。</w:t>
      </w:r>
    </w:p>
    <w:p w14:paraId="15DB070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0EA9F017" w14:textId="77777777" w:rsidR="00872599" w:rsidRPr="00F614F9" w:rsidRDefault="00000000">
      <w:pPr>
        <w:pStyle w:val="a3"/>
        <w:divId w:val="1840995527"/>
        <w:rPr>
          <w:rFonts w:ascii="Times New Roman" w:hAnsi="Times New Roman"/>
          <w:sz w:val="18"/>
          <w:szCs w:val="18"/>
        </w:rPr>
      </w:pPr>
      <w:r w:rsidRPr="00F614F9">
        <w:rPr>
          <w:rFonts w:ascii="Times New Roman" w:hAnsi="Times New Roman" w:hint="eastAsia"/>
          <w:sz w:val="18"/>
          <w:szCs w:val="18"/>
        </w:rPr>
        <w:t>无</w:t>
      </w:r>
    </w:p>
    <w:p w14:paraId="286C5396" w14:textId="77777777" w:rsidR="001D26E7" w:rsidRPr="00F614F9" w:rsidRDefault="00000000">
      <w:pPr>
        <w:pStyle w:val="3"/>
        <w:spacing w:line="280" w:lineRule="exact"/>
        <w:jc w:val="left"/>
        <w:rPr>
          <w:rFonts w:ascii="Times New Roman" w:hAnsi="Times New Roman" w:cs="宋体"/>
          <w:b/>
          <w:bCs/>
        </w:rPr>
      </w:pPr>
      <w:bookmarkStart w:id="579" w:name="_Toc989421"/>
      <w:r w:rsidRPr="00F614F9">
        <w:rPr>
          <w:rFonts w:ascii="Times New Roman" w:hAnsi="Times New Roman" w:cs="宋体"/>
          <w:b/>
          <w:bCs/>
        </w:rPr>
        <w:t>2</w:t>
      </w:r>
      <w:r w:rsidRPr="00F614F9">
        <w:rPr>
          <w:rFonts w:ascii="Times New Roman" w:hAnsi="Times New Roman" w:cs="宋体"/>
          <w:b/>
          <w:bCs/>
        </w:rPr>
        <w:t>、本企业的子公司情况</w:t>
      </w:r>
      <w:bookmarkEnd w:id="579"/>
    </w:p>
    <w:p w14:paraId="5ECF61EE"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本企业子公司的情况详见附注十、</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、在子公司中的权益。</w:t>
      </w:r>
    </w:p>
    <w:p w14:paraId="54ECC964" w14:textId="77777777" w:rsidR="001D26E7" w:rsidRPr="00F614F9" w:rsidRDefault="00000000">
      <w:pPr>
        <w:pStyle w:val="3"/>
        <w:spacing w:line="280" w:lineRule="exact"/>
        <w:jc w:val="left"/>
        <w:rPr>
          <w:rFonts w:ascii="Times New Roman" w:hAnsi="Times New Roman" w:cs="宋体"/>
          <w:b/>
          <w:bCs/>
        </w:rPr>
      </w:pPr>
      <w:bookmarkStart w:id="580" w:name="_Toc989422"/>
      <w:r w:rsidRPr="00F614F9">
        <w:rPr>
          <w:rFonts w:ascii="Times New Roman" w:hAnsi="Times New Roman" w:cs="宋体"/>
          <w:b/>
          <w:bCs/>
        </w:rPr>
        <w:t>3</w:t>
      </w:r>
      <w:r w:rsidRPr="00F614F9">
        <w:rPr>
          <w:rFonts w:ascii="Times New Roman" w:hAnsi="Times New Roman" w:cs="宋体"/>
          <w:b/>
          <w:bCs/>
        </w:rPr>
        <w:t>、本企业合营和联营企业情况</w:t>
      </w:r>
      <w:bookmarkEnd w:id="580"/>
    </w:p>
    <w:p w14:paraId="1AF6EAAE" w14:textId="77777777" w:rsidR="00872599" w:rsidRPr="00F614F9" w:rsidRDefault="00000000">
      <w:pPr>
        <w:pStyle w:val="a3"/>
        <w:divId w:val="2042049855"/>
        <w:rPr>
          <w:rFonts w:ascii="Times New Roman" w:hAnsi="Times New Roman"/>
          <w:sz w:val="18"/>
          <w:szCs w:val="18"/>
        </w:rPr>
      </w:pPr>
      <w:r w:rsidRPr="00F614F9">
        <w:rPr>
          <w:rFonts w:ascii="Times New Roman" w:hAnsi="Times New Roman" w:hint="eastAsia"/>
          <w:sz w:val="18"/>
          <w:szCs w:val="18"/>
        </w:rPr>
        <w:t>无</w:t>
      </w:r>
    </w:p>
    <w:p w14:paraId="0D95D787" w14:textId="77777777" w:rsidR="001D26E7" w:rsidRPr="00F614F9" w:rsidRDefault="00000000">
      <w:pPr>
        <w:pStyle w:val="3"/>
        <w:spacing w:line="280" w:lineRule="exact"/>
        <w:jc w:val="left"/>
        <w:rPr>
          <w:rFonts w:ascii="Times New Roman" w:hAnsi="Times New Roman" w:cs="宋体"/>
          <w:b/>
          <w:bCs/>
        </w:rPr>
      </w:pPr>
      <w:bookmarkStart w:id="581" w:name="_Toc989423"/>
      <w:r w:rsidRPr="00F614F9">
        <w:rPr>
          <w:rFonts w:ascii="Times New Roman" w:hAnsi="Times New Roman" w:cs="宋体"/>
          <w:b/>
          <w:bCs/>
        </w:rPr>
        <w:t>4</w:t>
      </w:r>
      <w:r w:rsidRPr="00F614F9">
        <w:rPr>
          <w:rFonts w:ascii="Times New Roman" w:hAnsi="Times New Roman" w:cs="宋体"/>
          <w:b/>
          <w:bCs/>
        </w:rPr>
        <w:t>、其他关联方情况</w:t>
      </w:r>
      <w:bookmarkEnd w:id="581"/>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1D26E7" w:rsidRPr="00F614F9" w14:paraId="54F9AF2F"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87A000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其他关联方名称</w:t>
            </w:r>
          </w:p>
        </w:tc>
        <w:tc>
          <w:tcPr>
            <w:tcW w:w="4819" w:type="dxa"/>
            <w:tcBorders>
              <w:top w:val="single" w:sz="2" w:space="0" w:color="auto"/>
              <w:left w:val="single" w:sz="2" w:space="0" w:color="auto"/>
              <w:bottom w:val="single" w:sz="2" w:space="0" w:color="auto"/>
              <w:right w:val="single" w:sz="2" w:space="0" w:color="auto"/>
            </w:tcBorders>
            <w:shd w:val="clear" w:color="auto" w:fill="D3D3D3"/>
            <w:vAlign w:val="center"/>
          </w:tcPr>
          <w:p w14:paraId="0B5EF56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其他关联方与本企业关系</w:t>
            </w:r>
          </w:p>
        </w:tc>
      </w:tr>
      <w:tr w:rsidR="001D26E7" w:rsidRPr="00F614F9" w14:paraId="67FF4003"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9C28973"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怡</w:t>
            </w:r>
            <w:proofErr w:type="gramEnd"/>
            <w:r w:rsidRPr="00F614F9">
              <w:rPr>
                <w:rFonts w:ascii="Times New Roman" w:eastAsia="宋体" w:hAnsi="Times New Roman" w:cs="宋体"/>
                <w:sz w:val="18"/>
                <w:szCs w:val="18"/>
              </w:rPr>
              <w:t>君控股有限公司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071FBF6C"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4EF9F8BE"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647B29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蓝润集团有限公司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479C3715"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71C9AB47"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6C8823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上海信赫投资管理有限公司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3539499C"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2F38BA6A"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0BCB92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深圳蓝润控股有限公司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4318F340"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474D8256"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E54380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四川凰城物业服务有限公司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6FF5E48A"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2BAC612C"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38DEEF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蓝润地产有限责任公司</w:t>
            </w:r>
          </w:p>
        </w:tc>
        <w:tc>
          <w:tcPr>
            <w:tcW w:w="4819" w:type="dxa"/>
            <w:tcBorders>
              <w:top w:val="single" w:sz="2" w:space="0" w:color="auto"/>
              <w:left w:val="single" w:sz="2" w:space="0" w:color="auto"/>
              <w:bottom w:val="single" w:sz="2" w:space="0" w:color="auto"/>
              <w:right w:val="single" w:sz="2" w:space="0" w:color="auto"/>
            </w:tcBorders>
            <w:vAlign w:val="center"/>
          </w:tcPr>
          <w:p w14:paraId="77164044"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11A54F72"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F18A13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成都蓝润置业有限公司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3EEC7DDD"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654F315F"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DE578D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成都蓝润锦鸿实业有限公司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3758D0CE"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年出售）</w:t>
            </w:r>
          </w:p>
        </w:tc>
      </w:tr>
      <w:tr w:rsidR="001D26E7" w:rsidRPr="00F614F9" w14:paraId="42625FEB"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A25EEB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成都天府新区蓝润城市发展有限公司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0C44B1B7"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1349411B"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3069B2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成都弘骏盛通实业有限公司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3F7C0143"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4F25214C"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C53738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南充</w:t>
            </w:r>
            <w:proofErr w:type="gramStart"/>
            <w:r w:rsidRPr="00F614F9">
              <w:rPr>
                <w:rFonts w:ascii="Times New Roman" w:eastAsia="宋体" w:hAnsi="Times New Roman" w:cs="宋体"/>
                <w:sz w:val="18"/>
                <w:szCs w:val="18"/>
              </w:rPr>
              <w:t>弘润通</w:t>
            </w:r>
            <w:proofErr w:type="gramEnd"/>
            <w:r w:rsidRPr="00F614F9">
              <w:rPr>
                <w:rFonts w:ascii="Times New Roman" w:eastAsia="宋体" w:hAnsi="Times New Roman" w:cs="宋体"/>
                <w:sz w:val="18"/>
                <w:szCs w:val="18"/>
              </w:rPr>
              <w:t>置业有限公司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2883461A"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1CC10596"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E7B2FE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成都盛泰华星实业有限公司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36E8D1AF"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6134ABA9"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4000B4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成都昊翔盛达实业有限公司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00BCAC8F"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2863C978"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CAA57B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成都博瑞华达实业有限公司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6DF34325"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4D4DB695"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734D12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成都玉林宾馆有限公司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60483608"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3E9D495E"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9625EA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成都华宇胜汇实业有限公司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0DD4FA91"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332D7D4E"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31479E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成都锦融盛通实业有限公司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3396970C"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18894F21"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32CD9E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成都新悦房地产开发有限公司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1AB1229B"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6AD25E65"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6AD6F0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四川中建</w:t>
            </w:r>
            <w:proofErr w:type="gramStart"/>
            <w:r w:rsidRPr="00F614F9">
              <w:rPr>
                <w:rFonts w:ascii="Times New Roman" w:eastAsia="宋体" w:hAnsi="Times New Roman" w:cs="宋体"/>
                <w:sz w:val="18"/>
                <w:szCs w:val="18"/>
              </w:rPr>
              <w:t>建</w:t>
            </w:r>
            <w:proofErr w:type="gramEnd"/>
            <w:r w:rsidRPr="00F614F9">
              <w:rPr>
                <w:rFonts w:ascii="Times New Roman" w:eastAsia="宋体" w:hAnsi="Times New Roman" w:cs="宋体"/>
                <w:sz w:val="18"/>
                <w:szCs w:val="18"/>
              </w:rPr>
              <w:t>宏置业有限公司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2688D7FA"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30EFC9E2"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37C3AF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重庆畅映实业有限公司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6FEEA2FD"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19EDD7EF"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A20B43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成都明兴金汇置业有限公司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53AFCA39"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4D7C2B60"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4819C8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四川亿通达贸易有限公司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0B5EC36F"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26E74FC1"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F98E89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四川鸿源星房地产开发有限公司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182036E9"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2150B555"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2EB610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北京蓝润华盛置业有限公司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6AF70391"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1D259386"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04947D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成都盛和</w:t>
            </w:r>
            <w:proofErr w:type="gramStart"/>
            <w:r w:rsidRPr="00F614F9">
              <w:rPr>
                <w:rFonts w:ascii="Times New Roman" w:eastAsia="宋体" w:hAnsi="Times New Roman" w:cs="宋体"/>
                <w:sz w:val="18"/>
                <w:szCs w:val="18"/>
              </w:rPr>
              <w:t>瑞兴</w:t>
            </w:r>
            <w:proofErr w:type="gramEnd"/>
            <w:r w:rsidRPr="00F614F9">
              <w:rPr>
                <w:rFonts w:ascii="Times New Roman" w:eastAsia="宋体" w:hAnsi="Times New Roman" w:cs="宋体"/>
                <w:sz w:val="18"/>
                <w:szCs w:val="18"/>
              </w:rPr>
              <w:t>置业有限公司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06559AF0"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500DE22F"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599473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成都东景泰置业有限公司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244D99B1"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年出售）</w:t>
            </w:r>
          </w:p>
        </w:tc>
      </w:tr>
      <w:tr w:rsidR="001D26E7" w:rsidRPr="00F614F9" w14:paraId="4837E201"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FAAF87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上海运川实业有限公司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1D0AF3CE"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3C8F51AF"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2E614B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w:t>
            </w:r>
            <w:proofErr w:type="gramStart"/>
            <w:r w:rsidRPr="00F614F9">
              <w:rPr>
                <w:rFonts w:ascii="Times New Roman" w:eastAsia="宋体" w:hAnsi="Times New Roman" w:cs="宋体"/>
                <w:sz w:val="18"/>
                <w:szCs w:val="18"/>
              </w:rPr>
              <w:t>蓝润耀恒置业</w:t>
            </w:r>
            <w:proofErr w:type="gramEnd"/>
            <w:r w:rsidRPr="00F614F9">
              <w:rPr>
                <w:rFonts w:ascii="Times New Roman" w:eastAsia="宋体" w:hAnsi="Times New Roman" w:cs="宋体"/>
                <w:sz w:val="18"/>
                <w:szCs w:val="18"/>
              </w:rPr>
              <w:t>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6FB63800"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05CF52FB"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13D7FD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上海安蓝置业有限公司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0F5D3538"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7C7397F5"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DAF0C0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蓝润生活服务集团有限公司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3F6E1049"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3556D8BA"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999913B"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君杰资本</w:t>
            </w:r>
            <w:proofErr w:type="gramEnd"/>
            <w:r w:rsidRPr="00F614F9">
              <w:rPr>
                <w:rFonts w:ascii="Times New Roman" w:eastAsia="宋体" w:hAnsi="Times New Roman" w:cs="宋体"/>
                <w:sz w:val="18"/>
                <w:szCs w:val="18"/>
              </w:rPr>
              <w:t>管理有限公司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13656EC3"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7049D53A"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FC51FA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深圳蓝润物流仓储有限公司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285C1978"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0EE8BE42"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B85FA9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成都新远程实业有限公司（原名：新远程物流有限公司）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3DEB820B"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67E088BE"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1D7B0C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成都爱摩信息科技有限公司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1AA5DB73"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29815742"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BEAC32E"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成都盈泰明道</w:t>
            </w:r>
            <w:proofErr w:type="gramEnd"/>
            <w:r w:rsidRPr="00F614F9">
              <w:rPr>
                <w:rFonts w:ascii="Times New Roman" w:eastAsia="宋体" w:hAnsi="Times New Roman" w:cs="宋体"/>
                <w:sz w:val="18"/>
                <w:szCs w:val="18"/>
              </w:rPr>
              <w:t>股权投资基金管理有限公司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684E939A"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6A724237"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1FD506C"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怡</w:t>
            </w:r>
            <w:proofErr w:type="gramEnd"/>
            <w:r w:rsidRPr="00F614F9">
              <w:rPr>
                <w:rFonts w:ascii="Times New Roman" w:eastAsia="宋体" w:hAnsi="Times New Roman" w:cs="宋体"/>
                <w:sz w:val="18"/>
                <w:szCs w:val="18"/>
              </w:rPr>
              <w:t>君智慧商业管理有限公司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4E032A15"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647164F8"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C6328F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成都蓝润润达商业管理有限公司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4327AF00"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58546E82"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D3B735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成都润家商业管理有限公司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1CC54E2A"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07858907"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A20557B"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渠县润家商业</w:t>
            </w:r>
            <w:proofErr w:type="gramEnd"/>
            <w:r w:rsidRPr="00F614F9">
              <w:rPr>
                <w:rFonts w:ascii="Times New Roman" w:eastAsia="宋体" w:hAnsi="Times New Roman" w:cs="宋体"/>
                <w:sz w:val="18"/>
                <w:szCs w:val="18"/>
              </w:rPr>
              <w:t>管理有限公司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057C2AE0"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0A7643BE"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8E6871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达州</w:t>
            </w:r>
            <w:proofErr w:type="gramStart"/>
            <w:r w:rsidRPr="00F614F9">
              <w:rPr>
                <w:rFonts w:ascii="Times New Roman" w:eastAsia="宋体" w:hAnsi="Times New Roman" w:cs="宋体"/>
                <w:sz w:val="18"/>
                <w:szCs w:val="18"/>
              </w:rPr>
              <w:t>润家锦瑞商业</w:t>
            </w:r>
            <w:proofErr w:type="gramEnd"/>
            <w:r w:rsidRPr="00F614F9">
              <w:rPr>
                <w:rFonts w:ascii="Times New Roman" w:eastAsia="宋体" w:hAnsi="Times New Roman" w:cs="宋体"/>
                <w:sz w:val="18"/>
                <w:szCs w:val="18"/>
              </w:rPr>
              <w:t>管理有限公司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2EDA5EDE"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1E0A1817"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611825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成都佳茂乐旺实业有限公司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18C3791D"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2E73171D"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44AF9EF"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怡君新悦</w:t>
            </w:r>
            <w:proofErr w:type="gramEnd"/>
            <w:r w:rsidRPr="00F614F9">
              <w:rPr>
                <w:rFonts w:ascii="Times New Roman" w:eastAsia="宋体" w:hAnsi="Times New Roman" w:cs="宋体"/>
                <w:sz w:val="18"/>
                <w:szCs w:val="18"/>
              </w:rPr>
              <w:t>酒店管理有限公司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4B62F58E"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年出售）</w:t>
            </w:r>
          </w:p>
        </w:tc>
      </w:tr>
      <w:tr w:rsidR="001D26E7" w:rsidRPr="00F614F9" w14:paraId="3B25C11D"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04A74C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成都璞悦瑞河酒店管理有限公司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136F97F8"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年出售）</w:t>
            </w:r>
          </w:p>
        </w:tc>
      </w:tr>
      <w:tr w:rsidR="001D26E7" w:rsidRPr="00F614F9" w14:paraId="666D9D91"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26E3BF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成都璞悦酒店管理有限公司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49FF690B"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年出售）</w:t>
            </w:r>
          </w:p>
        </w:tc>
      </w:tr>
      <w:tr w:rsidR="001D26E7" w:rsidRPr="00F614F9" w14:paraId="2390401D"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642A3F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w:t>
            </w:r>
            <w:proofErr w:type="gramStart"/>
            <w:r w:rsidRPr="00F614F9">
              <w:rPr>
                <w:rFonts w:ascii="Times New Roman" w:eastAsia="宋体" w:hAnsi="Times New Roman" w:cs="宋体"/>
                <w:sz w:val="18"/>
                <w:szCs w:val="18"/>
              </w:rPr>
              <w:t>璞里蓝客城</w:t>
            </w:r>
            <w:proofErr w:type="gramEnd"/>
            <w:r w:rsidRPr="00F614F9">
              <w:rPr>
                <w:rFonts w:ascii="Times New Roman" w:eastAsia="宋体" w:hAnsi="Times New Roman" w:cs="宋体"/>
                <w:sz w:val="18"/>
                <w:szCs w:val="18"/>
              </w:rPr>
              <w:t>酒店管理有限公司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1598D781"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年出售）</w:t>
            </w:r>
          </w:p>
        </w:tc>
      </w:tr>
      <w:tr w:rsidR="001D26E7" w:rsidRPr="00F614F9" w14:paraId="4AC7323C"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FF8609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成都璞里春天酒店管理有限公司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269F5D33"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年出售）</w:t>
            </w:r>
          </w:p>
        </w:tc>
      </w:tr>
      <w:tr w:rsidR="001D26E7" w:rsidRPr="00F614F9" w14:paraId="143CB742"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6DF174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达州</w:t>
            </w:r>
            <w:proofErr w:type="gramStart"/>
            <w:r w:rsidRPr="00F614F9">
              <w:rPr>
                <w:rFonts w:ascii="Times New Roman" w:eastAsia="宋体" w:hAnsi="Times New Roman" w:cs="宋体"/>
                <w:sz w:val="18"/>
                <w:szCs w:val="18"/>
              </w:rPr>
              <w:t>璞里酒店</w:t>
            </w:r>
            <w:proofErr w:type="gramEnd"/>
            <w:r w:rsidRPr="00F614F9">
              <w:rPr>
                <w:rFonts w:ascii="Times New Roman" w:eastAsia="宋体" w:hAnsi="Times New Roman" w:cs="宋体"/>
                <w:sz w:val="18"/>
                <w:szCs w:val="18"/>
              </w:rPr>
              <w:t>管理有限公司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478D5683"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年出售）</w:t>
            </w:r>
          </w:p>
        </w:tc>
      </w:tr>
      <w:tr w:rsidR="001D26E7" w:rsidRPr="00F614F9" w14:paraId="4A3FB4DE"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84F2661"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璞门</w:t>
            </w:r>
            <w:proofErr w:type="gramEnd"/>
            <w:r w:rsidRPr="00F614F9">
              <w:rPr>
                <w:rFonts w:ascii="Times New Roman" w:eastAsia="宋体" w:hAnsi="Times New Roman" w:cs="宋体"/>
                <w:sz w:val="18"/>
                <w:szCs w:val="18"/>
              </w:rPr>
              <w:t>(</w:t>
            </w:r>
            <w:r w:rsidRPr="00F614F9">
              <w:rPr>
                <w:rFonts w:ascii="Times New Roman" w:eastAsia="宋体" w:hAnsi="Times New Roman" w:cs="宋体"/>
                <w:sz w:val="18"/>
                <w:szCs w:val="18"/>
              </w:rPr>
              <w:t>香港</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酒店管理有限公司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0F805B6A"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年注销）</w:t>
            </w:r>
          </w:p>
        </w:tc>
      </w:tr>
      <w:tr w:rsidR="001D26E7" w:rsidRPr="00F614F9" w14:paraId="0936BF83"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90A8DC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四川柳牌酒业股份有限公司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74EED38D"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1632059A"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45DBEAA"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四川远鸿物业管理</w:t>
            </w:r>
            <w:proofErr w:type="gramEnd"/>
            <w:r w:rsidRPr="00F614F9">
              <w:rPr>
                <w:rFonts w:ascii="Times New Roman" w:eastAsia="宋体" w:hAnsi="Times New Roman" w:cs="宋体"/>
                <w:sz w:val="18"/>
                <w:szCs w:val="18"/>
              </w:rPr>
              <w:t>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6B682A77"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年出售）</w:t>
            </w:r>
          </w:p>
        </w:tc>
      </w:tr>
      <w:tr w:rsidR="001D26E7" w:rsidRPr="00F614F9" w14:paraId="49474266"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80DADD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绵阳蓝润物业管理有限公司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5FD353EB"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年出售）</w:t>
            </w:r>
          </w:p>
        </w:tc>
      </w:tr>
      <w:tr w:rsidR="001D26E7" w:rsidRPr="00F614F9" w14:paraId="0588203C"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DCB2FB3"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四川远鸿物业管理</w:t>
            </w:r>
            <w:proofErr w:type="gramEnd"/>
            <w:r w:rsidRPr="00F614F9">
              <w:rPr>
                <w:rFonts w:ascii="Times New Roman" w:eastAsia="宋体" w:hAnsi="Times New Roman" w:cs="宋体"/>
                <w:sz w:val="18"/>
                <w:szCs w:val="18"/>
              </w:rPr>
              <w:t>有限公司成都分公司</w:t>
            </w:r>
          </w:p>
        </w:tc>
        <w:tc>
          <w:tcPr>
            <w:tcW w:w="4819" w:type="dxa"/>
            <w:tcBorders>
              <w:top w:val="single" w:sz="2" w:space="0" w:color="auto"/>
              <w:left w:val="single" w:sz="2" w:space="0" w:color="auto"/>
              <w:bottom w:val="single" w:sz="2" w:space="0" w:color="auto"/>
              <w:right w:val="single" w:sz="2" w:space="0" w:color="auto"/>
            </w:tcBorders>
            <w:vAlign w:val="center"/>
          </w:tcPr>
          <w:p w14:paraId="06F1CE68"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年出售）</w:t>
            </w:r>
          </w:p>
        </w:tc>
      </w:tr>
      <w:tr w:rsidR="001D26E7" w:rsidRPr="00F614F9" w14:paraId="50877A86"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24956F7"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四川远鸿物业管理</w:t>
            </w:r>
            <w:proofErr w:type="gramEnd"/>
            <w:r w:rsidRPr="00F614F9">
              <w:rPr>
                <w:rFonts w:ascii="Times New Roman" w:eastAsia="宋体" w:hAnsi="Times New Roman" w:cs="宋体"/>
                <w:sz w:val="18"/>
                <w:szCs w:val="18"/>
              </w:rPr>
              <w:t>有限公司宜宾分公司</w:t>
            </w:r>
          </w:p>
        </w:tc>
        <w:tc>
          <w:tcPr>
            <w:tcW w:w="4819" w:type="dxa"/>
            <w:tcBorders>
              <w:top w:val="single" w:sz="2" w:space="0" w:color="auto"/>
              <w:left w:val="single" w:sz="2" w:space="0" w:color="auto"/>
              <w:bottom w:val="single" w:sz="2" w:space="0" w:color="auto"/>
              <w:right w:val="single" w:sz="2" w:space="0" w:color="auto"/>
            </w:tcBorders>
            <w:vAlign w:val="center"/>
          </w:tcPr>
          <w:p w14:paraId="629A3245"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年出售）</w:t>
            </w:r>
          </w:p>
        </w:tc>
      </w:tr>
      <w:tr w:rsidR="001D26E7" w:rsidRPr="00F614F9" w14:paraId="64DB77C6"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8745160"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四川远鸿物业管理</w:t>
            </w:r>
            <w:proofErr w:type="gramEnd"/>
            <w:r w:rsidRPr="00F614F9">
              <w:rPr>
                <w:rFonts w:ascii="Times New Roman" w:eastAsia="宋体" w:hAnsi="Times New Roman" w:cs="宋体"/>
                <w:sz w:val="18"/>
                <w:szCs w:val="18"/>
              </w:rPr>
              <w:t>有限公司南充分公司</w:t>
            </w:r>
          </w:p>
        </w:tc>
        <w:tc>
          <w:tcPr>
            <w:tcW w:w="4819" w:type="dxa"/>
            <w:tcBorders>
              <w:top w:val="single" w:sz="2" w:space="0" w:color="auto"/>
              <w:left w:val="single" w:sz="2" w:space="0" w:color="auto"/>
              <w:bottom w:val="single" w:sz="2" w:space="0" w:color="auto"/>
              <w:right w:val="single" w:sz="2" w:space="0" w:color="auto"/>
            </w:tcBorders>
            <w:vAlign w:val="center"/>
          </w:tcPr>
          <w:p w14:paraId="2162C2E4"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年出售）</w:t>
            </w:r>
          </w:p>
        </w:tc>
      </w:tr>
      <w:tr w:rsidR="001D26E7" w:rsidRPr="00F614F9" w14:paraId="04F07A4A"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28EC3B1"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四川远鸿物业管理</w:t>
            </w:r>
            <w:proofErr w:type="gramEnd"/>
            <w:r w:rsidRPr="00F614F9">
              <w:rPr>
                <w:rFonts w:ascii="Times New Roman" w:eastAsia="宋体" w:hAnsi="Times New Roman" w:cs="宋体"/>
                <w:sz w:val="18"/>
                <w:szCs w:val="18"/>
              </w:rPr>
              <w:t>有限公司渠县分公司</w:t>
            </w:r>
          </w:p>
        </w:tc>
        <w:tc>
          <w:tcPr>
            <w:tcW w:w="4819" w:type="dxa"/>
            <w:tcBorders>
              <w:top w:val="single" w:sz="2" w:space="0" w:color="auto"/>
              <w:left w:val="single" w:sz="2" w:space="0" w:color="auto"/>
              <w:bottom w:val="single" w:sz="2" w:space="0" w:color="auto"/>
              <w:right w:val="single" w:sz="2" w:space="0" w:color="auto"/>
            </w:tcBorders>
            <w:vAlign w:val="center"/>
          </w:tcPr>
          <w:p w14:paraId="49F63232"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年出售）</w:t>
            </w:r>
          </w:p>
        </w:tc>
      </w:tr>
      <w:tr w:rsidR="001D26E7" w:rsidRPr="00F614F9" w14:paraId="338F48BC"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8901F5C"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四川远鸿物业管理</w:t>
            </w:r>
            <w:proofErr w:type="gramEnd"/>
            <w:r w:rsidRPr="00F614F9">
              <w:rPr>
                <w:rFonts w:ascii="Times New Roman" w:eastAsia="宋体" w:hAnsi="Times New Roman" w:cs="宋体"/>
                <w:sz w:val="18"/>
                <w:szCs w:val="18"/>
              </w:rPr>
              <w:t>有限公司温江分公司</w:t>
            </w:r>
          </w:p>
        </w:tc>
        <w:tc>
          <w:tcPr>
            <w:tcW w:w="4819" w:type="dxa"/>
            <w:tcBorders>
              <w:top w:val="single" w:sz="2" w:space="0" w:color="auto"/>
              <w:left w:val="single" w:sz="2" w:space="0" w:color="auto"/>
              <w:bottom w:val="single" w:sz="2" w:space="0" w:color="auto"/>
              <w:right w:val="single" w:sz="2" w:space="0" w:color="auto"/>
            </w:tcBorders>
            <w:vAlign w:val="center"/>
          </w:tcPr>
          <w:p w14:paraId="6C0FC1EB"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年出售）</w:t>
            </w:r>
          </w:p>
        </w:tc>
      </w:tr>
      <w:tr w:rsidR="001D26E7" w:rsidRPr="00F614F9" w14:paraId="5062A453"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AE63196"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四川远鸿物业管理</w:t>
            </w:r>
            <w:proofErr w:type="gramEnd"/>
            <w:r w:rsidRPr="00F614F9">
              <w:rPr>
                <w:rFonts w:ascii="Times New Roman" w:eastAsia="宋体" w:hAnsi="Times New Roman" w:cs="宋体"/>
                <w:sz w:val="18"/>
                <w:szCs w:val="18"/>
              </w:rPr>
              <w:t>有限公司达州分公司</w:t>
            </w:r>
          </w:p>
        </w:tc>
        <w:tc>
          <w:tcPr>
            <w:tcW w:w="4819" w:type="dxa"/>
            <w:tcBorders>
              <w:top w:val="single" w:sz="2" w:space="0" w:color="auto"/>
              <w:left w:val="single" w:sz="2" w:space="0" w:color="auto"/>
              <w:bottom w:val="single" w:sz="2" w:space="0" w:color="auto"/>
              <w:right w:val="single" w:sz="2" w:space="0" w:color="auto"/>
            </w:tcBorders>
            <w:vAlign w:val="center"/>
          </w:tcPr>
          <w:p w14:paraId="0C090071"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年出售）</w:t>
            </w:r>
          </w:p>
        </w:tc>
      </w:tr>
      <w:tr w:rsidR="001D26E7" w:rsidRPr="00F614F9" w14:paraId="0F80652E"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346E39C"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四川远鸿物业管理</w:t>
            </w:r>
            <w:proofErr w:type="gramEnd"/>
            <w:r w:rsidRPr="00F614F9">
              <w:rPr>
                <w:rFonts w:ascii="Times New Roman" w:eastAsia="宋体" w:hAnsi="Times New Roman" w:cs="宋体"/>
                <w:sz w:val="18"/>
                <w:szCs w:val="18"/>
              </w:rPr>
              <w:t>有限公司西昌分公司</w:t>
            </w:r>
          </w:p>
        </w:tc>
        <w:tc>
          <w:tcPr>
            <w:tcW w:w="4819" w:type="dxa"/>
            <w:tcBorders>
              <w:top w:val="single" w:sz="2" w:space="0" w:color="auto"/>
              <w:left w:val="single" w:sz="2" w:space="0" w:color="auto"/>
              <w:bottom w:val="single" w:sz="2" w:space="0" w:color="auto"/>
              <w:right w:val="single" w:sz="2" w:space="0" w:color="auto"/>
            </w:tcBorders>
            <w:vAlign w:val="center"/>
          </w:tcPr>
          <w:p w14:paraId="0196C140"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年出售）</w:t>
            </w:r>
          </w:p>
        </w:tc>
      </w:tr>
      <w:tr w:rsidR="001D26E7" w:rsidRPr="00F614F9" w14:paraId="3C9D2786"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BB660A4"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四川远鸿物业管理</w:t>
            </w:r>
            <w:proofErr w:type="gramEnd"/>
            <w:r w:rsidRPr="00F614F9">
              <w:rPr>
                <w:rFonts w:ascii="Times New Roman" w:eastAsia="宋体" w:hAnsi="Times New Roman" w:cs="宋体"/>
                <w:sz w:val="18"/>
                <w:szCs w:val="18"/>
              </w:rPr>
              <w:t>有限公司自贡分公司</w:t>
            </w:r>
          </w:p>
        </w:tc>
        <w:tc>
          <w:tcPr>
            <w:tcW w:w="4819" w:type="dxa"/>
            <w:tcBorders>
              <w:top w:val="single" w:sz="2" w:space="0" w:color="auto"/>
              <w:left w:val="single" w:sz="2" w:space="0" w:color="auto"/>
              <w:bottom w:val="single" w:sz="2" w:space="0" w:color="auto"/>
              <w:right w:val="single" w:sz="2" w:space="0" w:color="auto"/>
            </w:tcBorders>
            <w:vAlign w:val="center"/>
          </w:tcPr>
          <w:p w14:paraId="2EA64B22"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年出售）</w:t>
            </w:r>
          </w:p>
        </w:tc>
      </w:tr>
      <w:tr w:rsidR="001D26E7" w:rsidRPr="00F614F9" w14:paraId="019C0F68"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402272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四川蓝润实业集团有限公司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11A4FD74"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6424DD91"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B07A81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北京盛宏恒兴实业有限公司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4FC8C470"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6DC9575F"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554FE8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达州昊华实业有限公司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58B68997"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1ECD49E5"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029B87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w:t>
            </w:r>
            <w:proofErr w:type="gramStart"/>
            <w:r w:rsidRPr="00F614F9">
              <w:rPr>
                <w:rFonts w:ascii="Times New Roman" w:eastAsia="宋体" w:hAnsi="Times New Roman" w:cs="宋体"/>
                <w:sz w:val="18"/>
                <w:szCs w:val="18"/>
              </w:rPr>
              <w:t>昊华君翔置业</w:t>
            </w:r>
            <w:proofErr w:type="gramEnd"/>
            <w:r w:rsidRPr="00F614F9">
              <w:rPr>
                <w:rFonts w:ascii="Times New Roman" w:eastAsia="宋体" w:hAnsi="Times New Roman" w:cs="宋体"/>
                <w:sz w:val="18"/>
                <w:szCs w:val="18"/>
              </w:rPr>
              <w:t>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3B96AF3B"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5293C02D"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498996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四川蓝润锦</w:t>
            </w:r>
            <w:proofErr w:type="gramStart"/>
            <w:r w:rsidRPr="00F614F9">
              <w:rPr>
                <w:rFonts w:ascii="Times New Roman" w:eastAsia="宋体" w:hAnsi="Times New Roman" w:cs="宋体"/>
                <w:sz w:val="18"/>
                <w:szCs w:val="18"/>
              </w:rPr>
              <w:t>怡</w:t>
            </w:r>
            <w:proofErr w:type="gramEnd"/>
            <w:r w:rsidRPr="00F614F9">
              <w:rPr>
                <w:rFonts w:ascii="Times New Roman" w:eastAsia="宋体" w:hAnsi="Times New Roman" w:cs="宋体"/>
                <w:sz w:val="18"/>
                <w:szCs w:val="18"/>
              </w:rPr>
              <w:t>健康管理有限公司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2D41DBA3"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44C9DEAA"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9404E8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大竹</w:t>
            </w:r>
            <w:proofErr w:type="gramStart"/>
            <w:r w:rsidRPr="00F614F9">
              <w:rPr>
                <w:rFonts w:ascii="Times New Roman" w:eastAsia="宋体" w:hAnsi="Times New Roman" w:cs="宋体"/>
                <w:sz w:val="18"/>
                <w:szCs w:val="18"/>
              </w:rPr>
              <w:t>县远鸿商混</w:t>
            </w:r>
            <w:proofErr w:type="gramEnd"/>
            <w:r w:rsidRPr="00F614F9">
              <w:rPr>
                <w:rFonts w:ascii="Times New Roman" w:eastAsia="宋体" w:hAnsi="Times New Roman" w:cs="宋体"/>
                <w:sz w:val="18"/>
                <w:szCs w:val="18"/>
              </w:rPr>
              <w:t>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03112BCC"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573B9ACF"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F700A6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成都蓝润智邦置业有限公司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584B2E49"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2EAD34FA"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4AECD7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成都蓝润创汇置业有限公司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610C4483"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405647C1"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5D61710"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开江嘉胜和</w:t>
            </w:r>
            <w:proofErr w:type="gramEnd"/>
            <w:r w:rsidRPr="00F614F9">
              <w:rPr>
                <w:rFonts w:ascii="Times New Roman" w:eastAsia="宋体" w:hAnsi="Times New Roman" w:cs="宋体"/>
                <w:sz w:val="18"/>
                <w:szCs w:val="18"/>
              </w:rPr>
              <w:t>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413F9C26"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516B956B"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90B8AC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w:t>
            </w:r>
            <w:proofErr w:type="gramStart"/>
            <w:r w:rsidRPr="00F614F9">
              <w:rPr>
                <w:rFonts w:ascii="Times New Roman" w:eastAsia="宋体" w:hAnsi="Times New Roman" w:cs="宋体"/>
                <w:sz w:val="18"/>
                <w:szCs w:val="18"/>
              </w:rPr>
              <w:t>蓝润航瑞置业</w:t>
            </w:r>
            <w:proofErr w:type="gramEnd"/>
            <w:r w:rsidRPr="00F614F9">
              <w:rPr>
                <w:rFonts w:ascii="Times New Roman" w:eastAsia="宋体" w:hAnsi="Times New Roman" w:cs="宋体"/>
                <w:sz w:val="18"/>
                <w:szCs w:val="18"/>
              </w:rPr>
              <w:t>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5AD8FCEA"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449AE891"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74FFFB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渠县诚德华泰实业有限公司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4312D5A5"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43B13275"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5D8E36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成都蓝润华仁置业有限公司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6C98F9B9"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61CF807D"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FE97CE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重庆翔胜汇实业有限公司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3B69B848"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4529ABD2"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0812F8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w:t>
            </w:r>
            <w:proofErr w:type="gramStart"/>
            <w:r w:rsidRPr="00F614F9">
              <w:rPr>
                <w:rFonts w:ascii="Times New Roman" w:eastAsia="宋体" w:hAnsi="Times New Roman" w:cs="宋体"/>
                <w:sz w:val="18"/>
                <w:szCs w:val="18"/>
              </w:rPr>
              <w:t>昊</w:t>
            </w:r>
            <w:proofErr w:type="gramEnd"/>
            <w:r w:rsidRPr="00F614F9">
              <w:rPr>
                <w:rFonts w:ascii="Times New Roman" w:eastAsia="宋体" w:hAnsi="Times New Roman" w:cs="宋体"/>
                <w:sz w:val="18"/>
                <w:szCs w:val="18"/>
              </w:rPr>
              <w:t>华君宇置业有限公司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2709FC88"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4979AD9E"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AB17CE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四川君昌达实业有限公司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36111C5B"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1EDAF4DE"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C06691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成都君和</w:t>
            </w:r>
            <w:proofErr w:type="gramStart"/>
            <w:r w:rsidRPr="00F614F9">
              <w:rPr>
                <w:rFonts w:ascii="Times New Roman" w:eastAsia="宋体" w:hAnsi="Times New Roman" w:cs="宋体"/>
                <w:sz w:val="18"/>
                <w:szCs w:val="18"/>
              </w:rPr>
              <w:t>君祥</w:t>
            </w:r>
            <w:proofErr w:type="gramEnd"/>
            <w:r w:rsidRPr="00F614F9">
              <w:rPr>
                <w:rFonts w:ascii="Times New Roman" w:eastAsia="宋体" w:hAnsi="Times New Roman" w:cs="宋体"/>
                <w:sz w:val="18"/>
                <w:szCs w:val="18"/>
              </w:rPr>
              <w:t>置业有限公司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7CFA0691"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71CF1A53"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0F0BCC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大竹华亿金瑞贸易有限公司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3E8790E9"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0AADF1D7"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131E0A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成都蓝润华锦置业有限公司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618371B4"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7E6F5466"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E238AB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成都蓝润兴茂置业有限公司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448D5E81"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7BB7020B"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005CF9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达州</w:t>
            </w:r>
            <w:proofErr w:type="gramStart"/>
            <w:r w:rsidRPr="00F614F9">
              <w:rPr>
                <w:rFonts w:ascii="Times New Roman" w:eastAsia="宋体" w:hAnsi="Times New Roman" w:cs="宋体"/>
                <w:sz w:val="18"/>
                <w:szCs w:val="18"/>
              </w:rPr>
              <w:t>市弘润置业</w:t>
            </w:r>
            <w:proofErr w:type="gramEnd"/>
            <w:r w:rsidRPr="00F614F9">
              <w:rPr>
                <w:rFonts w:ascii="Times New Roman" w:eastAsia="宋体" w:hAnsi="Times New Roman" w:cs="宋体"/>
                <w:sz w:val="18"/>
                <w:szCs w:val="18"/>
              </w:rPr>
              <w:t>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49F94ACA"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0BFA1BD1"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6D657F5"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成都启阳恒</w:t>
            </w:r>
            <w:proofErr w:type="gramEnd"/>
            <w:r w:rsidRPr="00F614F9">
              <w:rPr>
                <w:rFonts w:ascii="Times New Roman" w:eastAsia="宋体" w:hAnsi="Times New Roman" w:cs="宋体"/>
                <w:sz w:val="18"/>
                <w:szCs w:val="18"/>
              </w:rPr>
              <w:t>隆置业有限公司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57F92480"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50D28FE1"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509E82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开江佳华实业有限公司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381D22F3"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3DE83BA9"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8E68F2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w:t>
            </w:r>
            <w:proofErr w:type="gramStart"/>
            <w:r w:rsidRPr="00F614F9">
              <w:rPr>
                <w:rFonts w:ascii="Times New Roman" w:eastAsia="宋体" w:hAnsi="Times New Roman" w:cs="宋体"/>
                <w:sz w:val="18"/>
                <w:szCs w:val="18"/>
              </w:rPr>
              <w:t>鸿源星置地</w:t>
            </w:r>
            <w:proofErr w:type="gramEnd"/>
            <w:r w:rsidRPr="00F614F9">
              <w:rPr>
                <w:rFonts w:ascii="Times New Roman" w:eastAsia="宋体" w:hAnsi="Times New Roman" w:cs="宋体"/>
                <w:sz w:val="18"/>
                <w:szCs w:val="18"/>
              </w:rPr>
              <w:t>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000E4135"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6717644A"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1459F1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达州</w:t>
            </w:r>
            <w:proofErr w:type="gramStart"/>
            <w:r w:rsidRPr="00F614F9">
              <w:rPr>
                <w:rFonts w:ascii="Times New Roman" w:eastAsia="宋体" w:hAnsi="Times New Roman" w:cs="宋体"/>
                <w:sz w:val="18"/>
                <w:szCs w:val="18"/>
              </w:rPr>
              <w:t>市润耀实业</w:t>
            </w:r>
            <w:proofErr w:type="gramEnd"/>
            <w:r w:rsidRPr="00F614F9">
              <w:rPr>
                <w:rFonts w:ascii="Times New Roman" w:eastAsia="宋体" w:hAnsi="Times New Roman" w:cs="宋体"/>
                <w:sz w:val="18"/>
                <w:szCs w:val="18"/>
              </w:rPr>
              <w:t>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36F4C431"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5BD8B427"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76F589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达州市富</w:t>
            </w:r>
            <w:proofErr w:type="gramStart"/>
            <w:r w:rsidRPr="00F614F9">
              <w:rPr>
                <w:rFonts w:ascii="Times New Roman" w:eastAsia="宋体" w:hAnsi="Times New Roman" w:cs="宋体"/>
                <w:sz w:val="18"/>
                <w:szCs w:val="18"/>
              </w:rPr>
              <w:t>润锐达</w:t>
            </w:r>
            <w:proofErr w:type="gramEnd"/>
            <w:r w:rsidRPr="00F614F9">
              <w:rPr>
                <w:rFonts w:ascii="Times New Roman" w:eastAsia="宋体" w:hAnsi="Times New Roman" w:cs="宋体"/>
                <w:sz w:val="18"/>
                <w:szCs w:val="18"/>
              </w:rPr>
              <w:t>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55A5FC9B"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166FB27C"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38420F3"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浦领基金</w:t>
            </w:r>
            <w:proofErr w:type="gramEnd"/>
            <w:r w:rsidRPr="00F614F9">
              <w:rPr>
                <w:rFonts w:ascii="Times New Roman" w:eastAsia="宋体" w:hAnsi="Times New Roman" w:cs="宋体"/>
                <w:sz w:val="18"/>
                <w:szCs w:val="18"/>
              </w:rPr>
              <w:t>销售有限公司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1EF0C985"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007BF533"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61EF73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成都蓝润锦尚实业有限公司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7CFFE833"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005B65AC"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E7A64F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四川蓝润能源股份有限公司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28813859"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77D70D6E"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D581D3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四川</w:t>
            </w:r>
            <w:proofErr w:type="gramStart"/>
            <w:r w:rsidRPr="00F614F9">
              <w:rPr>
                <w:rFonts w:ascii="Times New Roman" w:eastAsia="宋体" w:hAnsi="Times New Roman" w:cs="宋体"/>
                <w:sz w:val="18"/>
                <w:szCs w:val="18"/>
              </w:rPr>
              <w:t>五仓发展</w:t>
            </w:r>
            <w:proofErr w:type="gramEnd"/>
            <w:r w:rsidRPr="00F614F9">
              <w:rPr>
                <w:rFonts w:ascii="Times New Roman" w:eastAsia="宋体" w:hAnsi="Times New Roman" w:cs="宋体"/>
                <w:sz w:val="18"/>
                <w:szCs w:val="18"/>
              </w:rPr>
              <w:t>企业管理有限公司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486578C6"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33056C3F"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02B3C6F"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五仓农牧</w:t>
            </w:r>
            <w:proofErr w:type="gramEnd"/>
            <w:r w:rsidRPr="00F614F9">
              <w:rPr>
                <w:rFonts w:ascii="Times New Roman" w:eastAsia="宋体" w:hAnsi="Times New Roman" w:cs="宋体"/>
                <w:sz w:val="18"/>
                <w:szCs w:val="18"/>
              </w:rPr>
              <w:t>集团有限公司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65BA3162"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4BB25ED0"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216791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达州</w:t>
            </w:r>
            <w:proofErr w:type="gramStart"/>
            <w:r w:rsidRPr="00F614F9">
              <w:rPr>
                <w:rFonts w:ascii="Times New Roman" w:eastAsia="宋体" w:hAnsi="Times New Roman" w:cs="宋体"/>
                <w:sz w:val="18"/>
                <w:szCs w:val="18"/>
              </w:rPr>
              <w:t>明益捷</w:t>
            </w:r>
            <w:proofErr w:type="gramEnd"/>
            <w:r w:rsidRPr="00F614F9">
              <w:rPr>
                <w:rFonts w:ascii="Times New Roman" w:eastAsia="宋体" w:hAnsi="Times New Roman" w:cs="宋体"/>
                <w:sz w:val="18"/>
                <w:szCs w:val="18"/>
              </w:rPr>
              <w:t>农牧科技有限公司（原名达州</w:t>
            </w:r>
            <w:proofErr w:type="gramStart"/>
            <w:r w:rsidRPr="00F614F9">
              <w:rPr>
                <w:rFonts w:ascii="Times New Roman" w:eastAsia="宋体" w:hAnsi="Times New Roman" w:cs="宋体"/>
                <w:sz w:val="18"/>
                <w:szCs w:val="18"/>
              </w:rPr>
              <w:t>五仓宝晟</w:t>
            </w:r>
            <w:proofErr w:type="gramEnd"/>
            <w:r w:rsidRPr="00F614F9">
              <w:rPr>
                <w:rFonts w:ascii="Times New Roman" w:eastAsia="宋体" w:hAnsi="Times New Roman" w:cs="宋体"/>
                <w:sz w:val="18"/>
                <w:szCs w:val="18"/>
              </w:rPr>
              <w:t>农牧有限公司）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633036C7"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年出售）</w:t>
            </w:r>
          </w:p>
        </w:tc>
      </w:tr>
      <w:tr w:rsidR="001D26E7" w:rsidRPr="00F614F9" w14:paraId="5ADFB63A"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4EC285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达州宝</w:t>
            </w:r>
            <w:proofErr w:type="gramStart"/>
            <w:r w:rsidRPr="00F614F9">
              <w:rPr>
                <w:rFonts w:ascii="Times New Roman" w:eastAsia="宋体" w:hAnsi="Times New Roman" w:cs="宋体"/>
                <w:sz w:val="18"/>
                <w:szCs w:val="18"/>
              </w:rPr>
              <w:t>廪</w:t>
            </w:r>
            <w:proofErr w:type="gramEnd"/>
            <w:r w:rsidRPr="00F614F9">
              <w:rPr>
                <w:rFonts w:ascii="Times New Roman" w:eastAsia="宋体" w:hAnsi="Times New Roman" w:cs="宋体"/>
                <w:sz w:val="18"/>
                <w:szCs w:val="18"/>
              </w:rPr>
              <w:t>农牧技术有限公司（原名达州市</w:t>
            </w:r>
            <w:proofErr w:type="gramStart"/>
            <w:r w:rsidRPr="00F614F9">
              <w:rPr>
                <w:rFonts w:ascii="Times New Roman" w:eastAsia="宋体" w:hAnsi="Times New Roman" w:cs="宋体"/>
                <w:sz w:val="18"/>
                <w:szCs w:val="18"/>
              </w:rPr>
              <w:t>五仓宝廪</w:t>
            </w:r>
            <w:proofErr w:type="gramEnd"/>
            <w:r w:rsidRPr="00F614F9">
              <w:rPr>
                <w:rFonts w:ascii="Times New Roman" w:eastAsia="宋体" w:hAnsi="Times New Roman" w:cs="宋体"/>
                <w:sz w:val="18"/>
                <w:szCs w:val="18"/>
              </w:rPr>
              <w:t>食品有限公司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42D40564"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3A811032"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35EB44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巴中</w:t>
            </w:r>
            <w:proofErr w:type="gramStart"/>
            <w:r w:rsidRPr="00F614F9">
              <w:rPr>
                <w:rFonts w:ascii="Times New Roman" w:eastAsia="宋体" w:hAnsi="Times New Roman" w:cs="宋体"/>
                <w:sz w:val="18"/>
                <w:szCs w:val="18"/>
              </w:rPr>
              <w:t>五仓宝联</w:t>
            </w:r>
            <w:proofErr w:type="gramEnd"/>
            <w:r w:rsidRPr="00F614F9">
              <w:rPr>
                <w:rFonts w:ascii="Times New Roman" w:eastAsia="宋体" w:hAnsi="Times New Roman" w:cs="宋体"/>
                <w:sz w:val="18"/>
                <w:szCs w:val="18"/>
              </w:rPr>
              <w:t>农牧技术有限公司（原名巴中五</w:t>
            </w:r>
            <w:proofErr w:type="gramStart"/>
            <w:r w:rsidRPr="00F614F9">
              <w:rPr>
                <w:rFonts w:ascii="Times New Roman" w:eastAsia="宋体" w:hAnsi="Times New Roman" w:cs="宋体"/>
                <w:sz w:val="18"/>
                <w:szCs w:val="18"/>
              </w:rPr>
              <w:t>仓宝联</w:t>
            </w:r>
            <w:proofErr w:type="gramEnd"/>
            <w:r w:rsidRPr="00F614F9">
              <w:rPr>
                <w:rFonts w:ascii="Times New Roman" w:eastAsia="宋体" w:hAnsi="Times New Roman" w:cs="宋体"/>
                <w:sz w:val="18"/>
                <w:szCs w:val="18"/>
              </w:rPr>
              <w:t>生猪销售有限公司）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7337B0A8"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72659461"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4572F0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西充</w:t>
            </w:r>
            <w:proofErr w:type="gramStart"/>
            <w:r w:rsidRPr="00F614F9">
              <w:rPr>
                <w:rFonts w:ascii="Times New Roman" w:eastAsia="宋体" w:hAnsi="Times New Roman" w:cs="宋体"/>
                <w:sz w:val="18"/>
                <w:szCs w:val="18"/>
              </w:rPr>
              <w:t>五仓宝廪</w:t>
            </w:r>
            <w:proofErr w:type="gramEnd"/>
            <w:r w:rsidRPr="00F614F9">
              <w:rPr>
                <w:rFonts w:ascii="Times New Roman" w:eastAsia="宋体" w:hAnsi="Times New Roman" w:cs="宋体"/>
                <w:sz w:val="18"/>
                <w:szCs w:val="18"/>
              </w:rPr>
              <w:t>农牧有限公司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1FB4B3E1"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6AAD0AE0"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DFA3EA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南部县</w:t>
            </w:r>
            <w:proofErr w:type="gramStart"/>
            <w:r w:rsidRPr="00F614F9">
              <w:rPr>
                <w:rFonts w:ascii="Times New Roman" w:eastAsia="宋体" w:hAnsi="Times New Roman" w:cs="宋体"/>
                <w:sz w:val="18"/>
                <w:szCs w:val="18"/>
              </w:rPr>
              <w:t>五仓宝廪</w:t>
            </w:r>
            <w:proofErr w:type="gramEnd"/>
            <w:r w:rsidRPr="00F614F9">
              <w:rPr>
                <w:rFonts w:ascii="Times New Roman" w:eastAsia="宋体" w:hAnsi="Times New Roman" w:cs="宋体"/>
                <w:sz w:val="18"/>
                <w:szCs w:val="18"/>
              </w:rPr>
              <w:t>农牧有限公司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4443735A"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3952D4CA"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B8722A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宣汉晟亚农牧科技有限公司（原名宣汉五仓宝</w:t>
            </w:r>
            <w:proofErr w:type="gramStart"/>
            <w:r w:rsidRPr="00F614F9">
              <w:rPr>
                <w:rFonts w:ascii="Times New Roman" w:eastAsia="宋体" w:hAnsi="Times New Roman" w:cs="宋体"/>
                <w:sz w:val="18"/>
                <w:szCs w:val="18"/>
              </w:rPr>
              <w:t>晟</w:t>
            </w:r>
            <w:proofErr w:type="gramEnd"/>
            <w:r w:rsidRPr="00F614F9">
              <w:rPr>
                <w:rFonts w:ascii="Times New Roman" w:eastAsia="宋体" w:hAnsi="Times New Roman" w:cs="宋体"/>
                <w:sz w:val="18"/>
                <w:szCs w:val="18"/>
              </w:rPr>
              <w:t>农牧有限公司）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5A48E3AA"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年出售）</w:t>
            </w:r>
          </w:p>
        </w:tc>
      </w:tr>
      <w:tr w:rsidR="001D26E7" w:rsidRPr="00F614F9" w14:paraId="0BB8542B"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9BA0FAB"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巴中五仓宝嘉</w:t>
            </w:r>
            <w:proofErr w:type="gramEnd"/>
            <w:r w:rsidRPr="00F614F9">
              <w:rPr>
                <w:rFonts w:ascii="Times New Roman" w:eastAsia="宋体" w:hAnsi="Times New Roman" w:cs="宋体"/>
                <w:sz w:val="18"/>
                <w:szCs w:val="18"/>
              </w:rPr>
              <w:t>农牧有限公司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31F7D522"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1A083632"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981AECB"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巴中五仓宝成</w:t>
            </w:r>
            <w:proofErr w:type="gramEnd"/>
            <w:r w:rsidRPr="00F614F9">
              <w:rPr>
                <w:rFonts w:ascii="Times New Roman" w:eastAsia="宋体" w:hAnsi="Times New Roman" w:cs="宋体"/>
                <w:sz w:val="18"/>
                <w:szCs w:val="18"/>
              </w:rPr>
              <w:t>农牧有限公司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3F1B6BED"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18EDBA0B"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813E08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巴中瑞</w:t>
            </w:r>
            <w:proofErr w:type="gramStart"/>
            <w:r w:rsidRPr="00F614F9">
              <w:rPr>
                <w:rFonts w:ascii="Times New Roman" w:eastAsia="宋体" w:hAnsi="Times New Roman" w:cs="宋体"/>
                <w:sz w:val="18"/>
                <w:szCs w:val="18"/>
              </w:rPr>
              <w:t>莘</w:t>
            </w:r>
            <w:proofErr w:type="gramEnd"/>
            <w:r w:rsidRPr="00F614F9">
              <w:rPr>
                <w:rFonts w:ascii="Times New Roman" w:eastAsia="宋体" w:hAnsi="Times New Roman" w:cs="宋体"/>
                <w:sz w:val="18"/>
                <w:szCs w:val="18"/>
              </w:rPr>
              <w:t>农牧科技有限公司（原名</w:t>
            </w:r>
            <w:proofErr w:type="gramStart"/>
            <w:r w:rsidRPr="00F614F9">
              <w:rPr>
                <w:rFonts w:ascii="Times New Roman" w:eastAsia="宋体" w:hAnsi="Times New Roman" w:cs="宋体"/>
                <w:sz w:val="18"/>
                <w:szCs w:val="18"/>
              </w:rPr>
              <w:t>巴中五仓宝瑞</w:t>
            </w:r>
            <w:proofErr w:type="gramEnd"/>
            <w:r w:rsidRPr="00F614F9">
              <w:rPr>
                <w:rFonts w:ascii="Times New Roman" w:eastAsia="宋体" w:hAnsi="Times New Roman" w:cs="宋体"/>
                <w:sz w:val="18"/>
                <w:szCs w:val="18"/>
              </w:rPr>
              <w:t>农牧有限公司）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3D985B27"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年出售）</w:t>
            </w:r>
          </w:p>
        </w:tc>
      </w:tr>
      <w:tr w:rsidR="001D26E7" w:rsidRPr="00F614F9" w14:paraId="0B886DC9"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306E76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巴中五</w:t>
            </w:r>
            <w:proofErr w:type="gramStart"/>
            <w:r w:rsidRPr="00F614F9">
              <w:rPr>
                <w:rFonts w:ascii="Times New Roman" w:eastAsia="宋体" w:hAnsi="Times New Roman" w:cs="宋体"/>
                <w:sz w:val="18"/>
                <w:szCs w:val="18"/>
              </w:rPr>
              <w:t>仓宝盈</w:t>
            </w:r>
            <w:proofErr w:type="gramEnd"/>
            <w:r w:rsidRPr="00F614F9">
              <w:rPr>
                <w:rFonts w:ascii="Times New Roman" w:eastAsia="宋体" w:hAnsi="Times New Roman" w:cs="宋体"/>
                <w:sz w:val="18"/>
                <w:szCs w:val="18"/>
              </w:rPr>
              <w:t>农牧有限公司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6AE9199C"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5DA31CF7"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BE87218"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巴中润礼农牧</w:t>
            </w:r>
            <w:proofErr w:type="gramEnd"/>
            <w:r w:rsidRPr="00F614F9">
              <w:rPr>
                <w:rFonts w:ascii="Times New Roman" w:eastAsia="宋体" w:hAnsi="Times New Roman" w:cs="宋体"/>
                <w:sz w:val="18"/>
                <w:szCs w:val="18"/>
              </w:rPr>
              <w:t>科技有限公司（原名巴中五</w:t>
            </w:r>
            <w:proofErr w:type="gramStart"/>
            <w:r w:rsidRPr="00F614F9">
              <w:rPr>
                <w:rFonts w:ascii="Times New Roman" w:eastAsia="宋体" w:hAnsi="Times New Roman" w:cs="宋体"/>
                <w:sz w:val="18"/>
                <w:szCs w:val="18"/>
              </w:rPr>
              <w:t>仓宝润</w:t>
            </w:r>
            <w:proofErr w:type="gramEnd"/>
            <w:r w:rsidRPr="00F614F9">
              <w:rPr>
                <w:rFonts w:ascii="Times New Roman" w:eastAsia="宋体" w:hAnsi="Times New Roman" w:cs="宋体"/>
                <w:sz w:val="18"/>
                <w:szCs w:val="18"/>
              </w:rPr>
              <w:t>农牧有限公司）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6F6DAD6D"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年出售）</w:t>
            </w:r>
          </w:p>
        </w:tc>
      </w:tr>
      <w:tr w:rsidR="001D26E7" w:rsidRPr="00F614F9" w14:paraId="3338273D"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59B1EFF"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巴中五仓宝裕</w:t>
            </w:r>
            <w:proofErr w:type="gramEnd"/>
            <w:r w:rsidRPr="00F614F9">
              <w:rPr>
                <w:rFonts w:ascii="Times New Roman" w:eastAsia="宋体" w:hAnsi="Times New Roman" w:cs="宋体"/>
                <w:sz w:val="18"/>
                <w:szCs w:val="18"/>
              </w:rPr>
              <w:t>农牧有限公司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3B0112B9"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6E65C869"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C46157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巴中</w:t>
            </w:r>
            <w:proofErr w:type="gramStart"/>
            <w:r w:rsidRPr="00F614F9">
              <w:rPr>
                <w:rFonts w:ascii="Times New Roman" w:eastAsia="宋体" w:hAnsi="Times New Roman" w:cs="宋体"/>
                <w:sz w:val="18"/>
                <w:szCs w:val="18"/>
              </w:rPr>
              <w:t>宥</w:t>
            </w:r>
            <w:proofErr w:type="gramEnd"/>
            <w:r w:rsidRPr="00F614F9">
              <w:rPr>
                <w:rFonts w:ascii="Times New Roman" w:eastAsia="宋体" w:hAnsi="Times New Roman" w:cs="宋体"/>
                <w:sz w:val="18"/>
                <w:szCs w:val="18"/>
              </w:rPr>
              <w:t>佳农牧科技有限公司（原名</w:t>
            </w:r>
            <w:proofErr w:type="gramStart"/>
            <w:r w:rsidRPr="00F614F9">
              <w:rPr>
                <w:rFonts w:ascii="Times New Roman" w:eastAsia="宋体" w:hAnsi="Times New Roman" w:cs="宋体"/>
                <w:sz w:val="18"/>
                <w:szCs w:val="18"/>
              </w:rPr>
              <w:t>巴中五仓宝益</w:t>
            </w:r>
            <w:proofErr w:type="gramEnd"/>
            <w:r w:rsidRPr="00F614F9">
              <w:rPr>
                <w:rFonts w:ascii="Times New Roman" w:eastAsia="宋体" w:hAnsi="Times New Roman" w:cs="宋体"/>
                <w:sz w:val="18"/>
                <w:szCs w:val="18"/>
              </w:rPr>
              <w:t>农牧有限公司）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77B1786C"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2022</w:t>
            </w:r>
            <w:r w:rsidRPr="00F614F9">
              <w:rPr>
                <w:rFonts w:ascii="Times New Roman" w:eastAsia="宋体" w:hAnsi="Times New Roman" w:cs="宋体"/>
                <w:sz w:val="18"/>
                <w:szCs w:val="18"/>
              </w:rPr>
              <w:t>年出售）</w:t>
            </w:r>
          </w:p>
        </w:tc>
      </w:tr>
      <w:tr w:rsidR="001D26E7" w:rsidRPr="00F614F9" w14:paraId="4E2C934B"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1C643AD"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巴中五仓宝康</w:t>
            </w:r>
            <w:proofErr w:type="gramEnd"/>
            <w:r w:rsidRPr="00F614F9">
              <w:rPr>
                <w:rFonts w:ascii="Times New Roman" w:eastAsia="宋体" w:hAnsi="Times New Roman" w:cs="宋体"/>
                <w:sz w:val="18"/>
                <w:szCs w:val="18"/>
              </w:rPr>
              <w:t>农牧有限公司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3E1F3477"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年注销）</w:t>
            </w:r>
          </w:p>
        </w:tc>
      </w:tr>
      <w:tr w:rsidR="001D26E7" w:rsidRPr="00F614F9" w14:paraId="49AD1B8F"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F1B8AD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西充</w:t>
            </w:r>
            <w:proofErr w:type="gramStart"/>
            <w:r w:rsidRPr="00F614F9">
              <w:rPr>
                <w:rFonts w:ascii="Times New Roman" w:eastAsia="宋体" w:hAnsi="Times New Roman" w:cs="宋体"/>
                <w:sz w:val="18"/>
                <w:szCs w:val="18"/>
              </w:rPr>
              <w:t>五仓宝</w:t>
            </w:r>
            <w:proofErr w:type="gramEnd"/>
            <w:r w:rsidRPr="00F614F9">
              <w:rPr>
                <w:rFonts w:ascii="Times New Roman" w:eastAsia="宋体" w:hAnsi="Times New Roman" w:cs="宋体"/>
                <w:sz w:val="18"/>
                <w:szCs w:val="18"/>
              </w:rPr>
              <w:t>玥农牧有限公司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7EA98DAD"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258AAF5C"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107249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西充</w:t>
            </w:r>
            <w:proofErr w:type="gramStart"/>
            <w:r w:rsidRPr="00F614F9">
              <w:rPr>
                <w:rFonts w:ascii="Times New Roman" w:eastAsia="宋体" w:hAnsi="Times New Roman" w:cs="宋体"/>
                <w:sz w:val="18"/>
                <w:szCs w:val="18"/>
              </w:rPr>
              <w:t>五仓宝</w:t>
            </w:r>
            <w:proofErr w:type="gramEnd"/>
            <w:r w:rsidRPr="00F614F9">
              <w:rPr>
                <w:rFonts w:ascii="Times New Roman" w:eastAsia="宋体" w:hAnsi="Times New Roman" w:cs="宋体"/>
                <w:sz w:val="18"/>
                <w:szCs w:val="18"/>
              </w:rPr>
              <w:t>辰农牧有限公司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5A12FD42"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26747CCD"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47622D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巴中五</w:t>
            </w:r>
            <w:proofErr w:type="gramStart"/>
            <w:r w:rsidRPr="00F614F9">
              <w:rPr>
                <w:rFonts w:ascii="Times New Roman" w:eastAsia="宋体" w:hAnsi="Times New Roman" w:cs="宋体"/>
                <w:sz w:val="18"/>
                <w:szCs w:val="18"/>
              </w:rPr>
              <w:t>仓宝双</w:t>
            </w:r>
            <w:proofErr w:type="gramEnd"/>
            <w:r w:rsidRPr="00F614F9">
              <w:rPr>
                <w:rFonts w:ascii="Times New Roman" w:eastAsia="宋体" w:hAnsi="Times New Roman" w:cs="宋体"/>
                <w:sz w:val="18"/>
                <w:szCs w:val="18"/>
              </w:rPr>
              <w:t>农牧有限公司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5323FB82"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03B9B445"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DE47E6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巴中宝</w:t>
            </w:r>
            <w:proofErr w:type="gramStart"/>
            <w:r w:rsidRPr="00F614F9">
              <w:rPr>
                <w:rFonts w:ascii="Times New Roman" w:eastAsia="宋体" w:hAnsi="Times New Roman" w:cs="宋体"/>
                <w:sz w:val="18"/>
                <w:szCs w:val="18"/>
              </w:rPr>
              <w:t>菩</w:t>
            </w:r>
            <w:proofErr w:type="gramEnd"/>
            <w:r w:rsidRPr="00F614F9">
              <w:rPr>
                <w:rFonts w:ascii="Times New Roman" w:eastAsia="宋体" w:hAnsi="Times New Roman" w:cs="宋体"/>
                <w:sz w:val="18"/>
                <w:szCs w:val="18"/>
              </w:rPr>
              <w:t>农牧技术有限公司（原名巴中五仓宝</w:t>
            </w:r>
            <w:proofErr w:type="gramStart"/>
            <w:r w:rsidRPr="00F614F9">
              <w:rPr>
                <w:rFonts w:ascii="Times New Roman" w:eastAsia="宋体" w:hAnsi="Times New Roman" w:cs="宋体"/>
                <w:sz w:val="18"/>
                <w:szCs w:val="18"/>
              </w:rPr>
              <w:t>菩</w:t>
            </w:r>
            <w:proofErr w:type="gramEnd"/>
            <w:r w:rsidRPr="00F614F9">
              <w:rPr>
                <w:rFonts w:ascii="Times New Roman" w:eastAsia="宋体" w:hAnsi="Times New Roman" w:cs="宋体"/>
                <w:sz w:val="18"/>
                <w:szCs w:val="18"/>
              </w:rPr>
              <w:t>农牧有限公司）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21D1ABD4"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1E79EEED"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6455CCA"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巴中五仓宝坪</w:t>
            </w:r>
            <w:proofErr w:type="gramEnd"/>
            <w:r w:rsidRPr="00F614F9">
              <w:rPr>
                <w:rFonts w:ascii="Times New Roman" w:eastAsia="宋体" w:hAnsi="Times New Roman" w:cs="宋体"/>
                <w:sz w:val="18"/>
                <w:szCs w:val="18"/>
              </w:rPr>
              <w:t>农牧有限公司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2E055AD2"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0F9F6EDD"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6CFBC4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天津丰润恒道有限公司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2A7618BA"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2A4CD3D5"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26CDF3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w:t>
            </w:r>
            <w:proofErr w:type="gramStart"/>
            <w:r w:rsidRPr="00F614F9">
              <w:rPr>
                <w:rFonts w:ascii="Times New Roman" w:eastAsia="宋体" w:hAnsi="Times New Roman" w:cs="宋体"/>
                <w:sz w:val="18"/>
                <w:szCs w:val="18"/>
              </w:rPr>
              <w:t>臻捷科技</w:t>
            </w:r>
            <w:proofErr w:type="gramEnd"/>
            <w:r w:rsidRPr="00F614F9">
              <w:rPr>
                <w:rFonts w:ascii="Times New Roman" w:eastAsia="宋体" w:hAnsi="Times New Roman" w:cs="宋体"/>
                <w:sz w:val="18"/>
                <w:szCs w:val="18"/>
              </w:rPr>
              <w:t>服务有限公司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55BC0D08"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00A23674"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06769B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天津华瑞富达贸易有限公司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7A509648"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0175B067"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A0FC20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北京正佳华瀚实业有限公司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79926D3D"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6B0C429E"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AFD20F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成都璞门雅居酒店管理有限公司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7BE7148C"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3AF45740"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064A47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上海东谦佳实业有限公司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4005D620"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602613DF"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AC412F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四川轩泰贸易有限公司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5F191421"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211E15B1"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FD542B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四川亿华贸易有限公司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236CD46D"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1BEB5C4B"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A32F4B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四川远赫农业发展有限公司（原名四川蓝润农业发展有限公司）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2FE26938"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受同一方控制（已于</w:t>
            </w: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年出售）</w:t>
            </w:r>
          </w:p>
        </w:tc>
      </w:tr>
      <w:tr w:rsidR="001D26E7" w:rsidRPr="00F614F9" w14:paraId="0B9310DE"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F405FA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四川鼎嘉泰贸易有限公司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53A211D6"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665BD9A0"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3FACB2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成都捷阔灏达实业有限公司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674F401F"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4D392EF6"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CB8AC5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达州银行股份有限公司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03B83796"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实际控制人戴学斌先生担任达州银行董事职务</w:t>
            </w:r>
          </w:p>
        </w:tc>
      </w:tr>
      <w:tr w:rsidR="001D26E7" w:rsidRPr="00F614F9" w14:paraId="6C8DD8AA"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5CB796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09FDE6D9"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母公司</w:t>
            </w:r>
          </w:p>
        </w:tc>
      </w:tr>
      <w:tr w:rsidR="001D26E7" w:rsidRPr="00F614F9" w14:paraId="070874B2"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8BDD6B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绵阳市</w:t>
            </w:r>
            <w:proofErr w:type="gramStart"/>
            <w:r w:rsidRPr="00F614F9">
              <w:rPr>
                <w:rFonts w:ascii="Times New Roman" w:eastAsia="宋体" w:hAnsi="Times New Roman" w:cs="宋体"/>
                <w:sz w:val="18"/>
                <w:szCs w:val="18"/>
              </w:rPr>
              <w:t>五仓宝</w:t>
            </w:r>
            <w:proofErr w:type="gramEnd"/>
            <w:r w:rsidRPr="00F614F9">
              <w:rPr>
                <w:rFonts w:ascii="Times New Roman" w:eastAsia="宋体" w:hAnsi="Times New Roman" w:cs="宋体"/>
                <w:sz w:val="18"/>
                <w:szCs w:val="18"/>
              </w:rPr>
              <w:t>超农牧科技有限公司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45E1EB30"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受同一方控制</w:t>
            </w:r>
          </w:p>
        </w:tc>
      </w:tr>
      <w:tr w:rsidR="001D26E7" w:rsidRPr="00F614F9" w14:paraId="4353532C"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A71857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榆林市千树塔矿业投资有限公司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201AE86D"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公司股东之一（付小铜）担任执行董事的公司</w:t>
            </w:r>
          </w:p>
        </w:tc>
      </w:tr>
      <w:tr w:rsidR="001D26E7" w:rsidRPr="00F614F9" w14:paraId="51266EB9"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EAA93F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莱阳银龙投资有限公司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20FAD0BC"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公司股东</w:t>
            </w:r>
          </w:p>
        </w:tc>
      </w:tr>
      <w:tr w:rsidR="001D26E7" w:rsidRPr="00F614F9" w14:paraId="2D45B7A1"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A729269"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牧原食品</w:t>
            </w:r>
            <w:proofErr w:type="gramEnd"/>
            <w:r w:rsidRPr="00F614F9">
              <w:rPr>
                <w:rFonts w:ascii="Times New Roman" w:eastAsia="宋体" w:hAnsi="Times New Roman" w:cs="宋体"/>
                <w:sz w:val="18"/>
                <w:szCs w:val="18"/>
              </w:rPr>
              <w:t>股份有限公司（集团）</w:t>
            </w:r>
          </w:p>
        </w:tc>
        <w:tc>
          <w:tcPr>
            <w:tcW w:w="4819" w:type="dxa"/>
            <w:tcBorders>
              <w:top w:val="single" w:sz="2" w:space="0" w:color="auto"/>
              <w:left w:val="single" w:sz="2" w:space="0" w:color="auto"/>
              <w:bottom w:val="single" w:sz="2" w:space="0" w:color="auto"/>
              <w:right w:val="single" w:sz="2" w:space="0" w:color="auto"/>
            </w:tcBorders>
            <w:vAlign w:val="center"/>
          </w:tcPr>
          <w:p w14:paraId="2867B2DE"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公司重要子公司的少数股东</w:t>
            </w:r>
          </w:p>
        </w:tc>
      </w:tr>
      <w:tr w:rsidR="001D26E7" w:rsidRPr="00F614F9" w14:paraId="7220506B"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6A2722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青岛联合友和食品有限公司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01032EA0"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公司重要子公司的少数股东</w:t>
            </w:r>
          </w:p>
        </w:tc>
      </w:tr>
      <w:tr w:rsidR="001D26E7" w:rsidRPr="00F614F9" w14:paraId="63F7F5C8"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CB9FDB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青岛东方睿智商贸有限公司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66479A51"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公司重要子公司的少数股东的实际控制人控制的其他公司</w:t>
            </w:r>
          </w:p>
        </w:tc>
      </w:tr>
      <w:tr w:rsidR="001D26E7" w:rsidRPr="00F614F9" w14:paraId="00ED4993"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A9CEA2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青岛飞熊领鲜科技有限公司（集团）</w:t>
            </w:r>
          </w:p>
        </w:tc>
        <w:tc>
          <w:tcPr>
            <w:tcW w:w="4819" w:type="dxa"/>
            <w:tcBorders>
              <w:top w:val="single" w:sz="2" w:space="0" w:color="auto"/>
              <w:left w:val="single" w:sz="2" w:space="0" w:color="auto"/>
              <w:bottom w:val="single" w:sz="2" w:space="0" w:color="auto"/>
              <w:right w:val="single" w:sz="2" w:space="0" w:color="auto"/>
            </w:tcBorders>
            <w:vAlign w:val="center"/>
          </w:tcPr>
          <w:p w14:paraId="30CE99C1"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公司重要子公司的少数股东的实际控制人控制的其他公司</w:t>
            </w:r>
          </w:p>
        </w:tc>
      </w:tr>
      <w:tr w:rsidR="001D26E7" w:rsidRPr="00F614F9" w14:paraId="33D1FED4"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A2C325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青岛优尼特</w:t>
            </w:r>
            <w:proofErr w:type="gramStart"/>
            <w:r w:rsidRPr="00F614F9">
              <w:rPr>
                <w:rFonts w:ascii="Times New Roman" w:eastAsia="宋体" w:hAnsi="Times New Roman" w:cs="宋体"/>
                <w:sz w:val="18"/>
                <w:szCs w:val="18"/>
              </w:rPr>
              <w:t>尚品食品</w:t>
            </w:r>
            <w:proofErr w:type="gramEnd"/>
            <w:r w:rsidRPr="00F614F9">
              <w:rPr>
                <w:rFonts w:ascii="Times New Roman" w:eastAsia="宋体" w:hAnsi="Times New Roman" w:cs="宋体"/>
                <w:sz w:val="18"/>
                <w:szCs w:val="18"/>
              </w:rPr>
              <w:t>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7C9323D1"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公司重要子公司的少数股东的实际控制人控制的其他公司</w:t>
            </w:r>
          </w:p>
        </w:tc>
      </w:tr>
      <w:tr w:rsidR="001D26E7" w:rsidRPr="00F614F9" w14:paraId="34425250"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A29CA7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青岛全</w:t>
            </w:r>
            <w:proofErr w:type="gramStart"/>
            <w:r w:rsidRPr="00F614F9">
              <w:rPr>
                <w:rFonts w:ascii="Times New Roman" w:eastAsia="宋体" w:hAnsi="Times New Roman" w:cs="宋体"/>
                <w:sz w:val="18"/>
                <w:szCs w:val="18"/>
              </w:rPr>
              <w:t>澳供应链科技</w:t>
            </w:r>
            <w:proofErr w:type="gramEnd"/>
            <w:r w:rsidRPr="00F614F9">
              <w:rPr>
                <w:rFonts w:ascii="Times New Roman" w:eastAsia="宋体" w:hAnsi="Times New Roman" w:cs="宋体"/>
                <w:sz w:val="18"/>
                <w:szCs w:val="18"/>
              </w:rPr>
              <w:t>股份有限公司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5049A4C1"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公司重要子公司的少数股东的参股公司</w:t>
            </w:r>
          </w:p>
        </w:tc>
      </w:tr>
      <w:tr w:rsidR="001D26E7" w:rsidRPr="00F614F9" w14:paraId="7573A8C1"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F5C848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沃德佳（青岛）供应链管理有限公司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4B54209B"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公司重要子公司的少数股东的参股公司</w:t>
            </w:r>
          </w:p>
        </w:tc>
      </w:tr>
      <w:tr w:rsidR="001D26E7" w:rsidRPr="00F614F9" w14:paraId="54359156"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11DFB2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成都佳享食品有限公司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26382D7B"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公司子公司的少数股东</w:t>
            </w:r>
          </w:p>
        </w:tc>
      </w:tr>
      <w:tr w:rsidR="001D26E7" w:rsidRPr="00F614F9" w14:paraId="0278676D"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6157F4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宣威市鼎宏食品有限公司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21C0F4B4"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公司子公司的少数股东</w:t>
            </w:r>
          </w:p>
        </w:tc>
      </w:tr>
      <w:tr w:rsidR="001D26E7" w:rsidRPr="00F614F9" w14:paraId="5168A3F9"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0245F6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蓬莱富华冷藏有限公司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6E6C7245"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公司子公司的少数股东</w:t>
            </w:r>
          </w:p>
        </w:tc>
      </w:tr>
      <w:tr w:rsidR="001D26E7" w:rsidRPr="00F614F9" w14:paraId="42876AAB"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667584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上海新农科技股份有限公司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35B381CD"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公司子公司的少数股东</w:t>
            </w:r>
          </w:p>
        </w:tc>
      </w:tr>
      <w:tr w:rsidR="001D26E7" w:rsidRPr="00F614F9" w14:paraId="243D7B98"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013E9C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李凯</w:t>
            </w:r>
          </w:p>
        </w:tc>
        <w:tc>
          <w:tcPr>
            <w:tcW w:w="4819" w:type="dxa"/>
            <w:tcBorders>
              <w:top w:val="single" w:sz="2" w:space="0" w:color="auto"/>
              <w:left w:val="single" w:sz="2" w:space="0" w:color="auto"/>
              <w:bottom w:val="single" w:sz="2" w:space="0" w:color="auto"/>
              <w:right w:val="single" w:sz="2" w:space="0" w:color="auto"/>
            </w:tcBorders>
            <w:vAlign w:val="center"/>
          </w:tcPr>
          <w:p w14:paraId="76FB5D76"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公司子公司的少数股东</w:t>
            </w:r>
          </w:p>
        </w:tc>
      </w:tr>
      <w:tr w:rsidR="001D26E7" w:rsidRPr="00F614F9" w14:paraId="57943143"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5BB364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青岛飞熊锦鑫科技有限公司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5A1E4D9C"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公司重要子公司的少数股东的实际控制人控制的其他公司</w:t>
            </w:r>
          </w:p>
        </w:tc>
      </w:tr>
      <w:tr w:rsidR="001D26E7" w:rsidRPr="00F614F9" w14:paraId="0A582F27"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B32BE2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力诚国际贸易股份有限公司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14B54D03"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公司高管担任监事的公司</w:t>
            </w:r>
          </w:p>
        </w:tc>
      </w:tr>
      <w:tr w:rsidR="001D26E7" w:rsidRPr="00F614F9" w14:paraId="61134BAE"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415B47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西安航天高技术产业发展集团有限公司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7FB86BFA"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公司高管担任监事的公司</w:t>
            </w:r>
          </w:p>
        </w:tc>
      </w:tr>
      <w:tr w:rsidR="001D26E7" w:rsidRPr="00F614F9" w14:paraId="2CD7C7A1"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C4B47C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w:t>
            </w:r>
            <w:proofErr w:type="gramStart"/>
            <w:r w:rsidRPr="00F614F9">
              <w:rPr>
                <w:rFonts w:ascii="Times New Roman" w:eastAsia="宋体" w:hAnsi="Times New Roman" w:cs="宋体"/>
                <w:sz w:val="18"/>
                <w:szCs w:val="18"/>
              </w:rPr>
              <w:t>洪亨亚</w:t>
            </w:r>
            <w:proofErr w:type="gramEnd"/>
            <w:r w:rsidRPr="00F614F9">
              <w:rPr>
                <w:rFonts w:ascii="Times New Roman" w:eastAsia="宋体" w:hAnsi="Times New Roman" w:cs="宋体"/>
                <w:sz w:val="18"/>
                <w:szCs w:val="18"/>
              </w:rPr>
              <w:t>和实业有限公司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2F0D508C"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公司股东</w:t>
            </w:r>
          </w:p>
        </w:tc>
      </w:tr>
      <w:tr w:rsidR="0080040E" w:rsidRPr="00F614F9" w14:paraId="44EFFC7F" w14:textId="77777777" w:rsidTr="002B3EA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D122AE0" w14:textId="77777777" w:rsidR="0080040E" w:rsidRPr="00F614F9" w:rsidRDefault="0080040E">
            <w:pPr>
              <w:spacing w:line="240" w:lineRule="exact"/>
              <w:rPr>
                <w:rFonts w:ascii="Times New Roman" w:eastAsia="宋体" w:hAnsi="Times New Roman" w:cs="宋体"/>
                <w:sz w:val="18"/>
                <w:szCs w:val="18"/>
              </w:rPr>
            </w:pPr>
            <w:r w:rsidRPr="0080040E">
              <w:rPr>
                <w:rFonts w:ascii="Times New Roman" w:eastAsia="宋体" w:hAnsi="Times New Roman" w:cs="宋体" w:hint="eastAsia"/>
                <w:sz w:val="18"/>
                <w:szCs w:val="18"/>
              </w:rPr>
              <w:t>成都</w:t>
            </w:r>
            <w:proofErr w:type="gramStart"/>
            <w:r w:rsidRPr="0080040E">
              <w:rPr>
                <w:rFonts w:ascii="Times New Roman" w:eastAsia="宋体" w:hAnsi="Times New Roman" w:cs="宋体" w:hint="eastAsia"/>
                <w:sz w:val="18"/>
                <w:szCs w:val="18"/>
              </w:rPr>
              <w:t>汇美恒文化</w:t>
            </w:r>
            <w:proofErr w:type="gramEnd"/>
            <w:r w:rsidRPr="0080040E">
              <w:rPr>
                <w:rFonts w:ascii="Times New Roman" w:eastAsia="宋体" w:hAnsi="Times New Roman" w:cs="宋体" w:hint="eastAsia"/>
                <w:sz w:val="18"/>
                <w:szCs w:val="18"/>
              </w:rPr>
              <w:t>传播有限公司</w:t>
            </w:r>
          </w:p>
        </w:tc>
        <w:tc>
          <w:tcPr>
            <w:tcW w:w="4819" w:type="dxa"/>
            <w:tcBorders>
              <w:top w:val="single" w:sz="2" w:space="0" w:color="auto"/>
              <w:left w:val="single" w:sz="2" w:space="0" w:color="auto"/>
              <w:bottom w:val="single" w:sz="2" w:space="0" w:color="auto"/>
              <w:right w:val="single" w:sz="2" w:space="0" w:color="auto"/>
            </w:tcBorders>
            <w:vAlign w:val="center"/>
          </w:tcPr>
          <w:p w14:paraId="6D03C6D6" w14:textId="77777777" w:rsidR="0080040E" w:rsidRPr="00F614F9" w:rsidRDefault="0080040E" w:rsidP="00295573">
            <w:pPr>
              <w:spacing w:line="240" w:lineRule="exact"/>
              <w:jc w:val="center"/>
              <w:rPr>
                <w:rFonts w:ascii="Times New Roman" w:eastAsia="宋体" w:hAnsi="Times New Roman" w:cs="宋体"/>
                <w:sz w:val="18"/>
                <w:szCs w:val="18"/>
              </w:rPr>
            </w:pPr>
            <w:r w:rsidRPr="0080040E">
              <w:rPr>
                <w:rFonts w:ascii="Times New Roman" w:eastAsia="宋体" w:hAnsi="Times New Roman" w:cs="宋体" w:hint="eastAsia"/>
                <w:sz w:val="18"/>
                <w:szCs w:val="18"/>
              </w:rPr>
              <w:t>受同一方控制</w:t>
            </w:r>
          </w:p>
        </w:tc>
      </w:tr>
    </w:tbl>
    <w:p w14:paraId="45B67E9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052404C9" w14:textId="77777777" w:rsidR="00872599" w:rsidRPr="00F614F9" w:rsidRDefault="00000000">
      <w:pPr>
        <w:pStyle w:val="a3"/>
        <w:divId w:val="983702476"/>
        <w:rPr>
          <w:rFonts w:ascii="Times New Roman" w:hAnsi="Times New Roman"/>
          <w:sz w:val="18"/>
          <w:szCs w:val="18"/>
        </w:rPr>
      </w:pPr>
      <w:r w:rsidRPr="00F614F9">
        <w:rPr>
          <w:rFonts w:ascii="Times New Roman" w:hAnsi="Times New Roman" w:hint="eastAsia"/>
          <w:sz w:val="18"/>
          <w:szCs w:val="18"/>
        </w:rPr>
        <w:t>无</w:t>
      </w:r>
    </w:p>
    <w:p w14:paraId="51D84BE4" w14:textId="77777777" w:rsidR="001D26E7" w:rsidRPr="00F614F9" w:rsidRDefault="00000000">
      <w:pPr>
        <w:pStyle w:val="3"/>
        <w:spacing w:line="280" w:lineRule="exact"/>
        <w:jc w:val="left"/>
        <w:rPr>
          <w:rFonts w:ascii="Times New Roman" w:hAnsi="Times New Roman" w:cs="宋体"/>
          <w:b/>
          <w:bCs/>
        </w:rPr>
      </w:pPr>
      <w:bookmarkStart w:id="582" w:name="_Toc989424"/>
      <w:r w:rsidRPr="00F614F9">
        <w:rPr>
          <w:rFonts w:ascii="Times New Roman" w:hAnsi="Times New Roman" w:cs="宋体"/>
          <w:b/>
          <w:bCs/>
        </w:rPr>
        <w:t>5</w:t>
      </w:r>
      <w:r w:rsidRPr="00F614F9">
        <w:rPr>
          <w:rFonts w:ascii="Times New Roman" w:hAnsi="Times New Roman" w:cs="宋体"/>
          <w:b/>
          <w:bCs/>
        </w:rPr>
        <w:t>、关联交易情况</w:t>
      </w:r>
      <w:bookmarkEnd w:id="582"/>
    </w:p>
    <w:p w14:paraId="71E43E7F"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83" w:name="_Toc989425"/>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购销商品、提供和接受劳务的关联交易</w:t>
      </w:r>
      <w:bookmarkEnd w:id="583"/>
    </w:p>
    <w:p w14:paraId="5C3E71B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采购商品</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接受劳务情况表</w:t>
      </w:r>
    </w:p>
    <w:p w14:paraId="629D62C1"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1D26E7" w:rsidRPr="00F614F9" w14:paraId="2F2B774B"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AE267D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关联方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AB5B7B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关联交易内容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85675F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7F8A0A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获批的交易额度</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83826A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是否超过交易额度</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D2F6B1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7A316227"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18C455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青岛东方睿智商贸有限公司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D4D3DA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购买商品（猪产品）</w:t>
            </w:r>
          </w:p>
        </w:tc>
        <w:tc>
          <w:tcPr>
            <w:tcW w:w="1606" w:type="dxa"/>
            <w:tcBorders>
              <w:top w:val="single" w:sz="2" w:space="0" w:color="auto"/>
              <w:left w:val="single" w:sz="2" w:space="0" w:color="auto"/>
              <w:bottom w:val="single" w:sz="2" w:space="0" w:color="auto"/>
              <w:right w:val="single" w:sz="2" w:space="0" w:color="auto"/>
            </w:tcBorders>
            <w:vAlign w:val="center"/>
          </w:tcPr>
          <w:p w14:paraId="4742ECB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28,990.83</w:t>
            </w:r>
          </w:p>
        </w:tc>
        <w:tc>
          <w:tcPr>
            <w:tcW w:w="1606" w:type="dxa"/>
            <w:tcBorders>
              <w:top w:val="single" w:sz="2" w:space="0" w:color="auto"/>
              <w:left w:val="single" w:sz="2" w:space="0" w:color="auto"/>
              <w:bottom w:val="single" w:sz="2" w:space="0" w:color="auto"/>
              <w:right w:val="single" w:sz="2" w:space="0" w:color="auto"/>
            </w:tcBorders>
            <w:vAlign w:val="center"/>
          </w:tcPr>
          <w:p w14:paraId="6D80C3A2"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FDE07CC"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03DE175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431.19</w:t>
            </w:r>
          </w:p>
        </w:tc>
      </w:tr>
      <w:tr w:rsidR="001D26E7" w:rsidRPr="00F614F9" w14:paraId="651B16A5"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38F694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成都佳享食品有限公司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3FC7A7F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购买商品（熟食制品）</w:t>
            </w:r>
          </w:p>
        </w:tc>
        <w:tc>
          <w:tcPr>
            <w:tcW w:w="1606" w:type="dxa"/>
            <w:tcBorders>
              <w:top w:val="single" w:sz="2" w:space="0" w:color="auto"/>
              <w:left w:val="single" w:sz="2" w:space="0" w:color="auto"/>
              <w:bottom w:val="single" w:sz="2" w:space="0" w:color="auto"/>
              <w:right w:val="single" w:sz="2" w:space="0" w:color="auto"/>
            </w:tcBorders>
            <w:vAlign w:val="center"/>
          </w:tcPr>
          <w:p w14:paraId="69842F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14:paraId="0F1C9AB5"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767BC03"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41A4AA0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862,527.43</w:t>
            </w:r>
          </w:p>
        </w:tc>
      </w:tr>
      <w:tr w:rsidR="001D26E7" w:rsidRPr="00F614F9" w14:paraId="47126C02"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B40A4D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成都佳享食品有限公司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59FF967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购买商品（猪产品）</w:t>
            </w:r>
          </w:p>
        </w:tc>
        <w:tc>
          <w:tcPr>
            <w:tcW w:w="1606" w:type="dxa"/>
            <w:tcBorders>
              <w:top w:val="single" w:sz="2" w:space="0" w:color="auto"/>
              <w:left w:val="single" w:sz="2" w:space="0" w:color="auto"/>
              <w:bottom w:val="single" w:sz="2" w:space="0" w:color="auto"/>
              <w:right w:val="single" w:sz="2" w:space="0" w:color="auto"/>
            </w:tcBorders>
            <w:vAlign w:val="center"/>
          </w:tcPr>
          <w:p w14:paraId="3D3CBB2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93,313.69</w:t>
            </w:r>
          </w:p>
        </w:tc>
        <w:tc>
          <w:tcPr>
            <w:tcW w:w="1606" w:type="dxa"/>
            <w:tcBorders>
              <w:top w:val="single" w:sz="2" w:space="0" w:color="auto"/>
              <w:left w:val="single" w:sz="2" w:space="0" w:color="auto"/>
              <w:bottom w:val="single" w:sz="2" w:space="0" w:color="auto"/>
              <w:right w:val="single" w:sz="2" w:space="0" w:color="auto"/>
            </w:tcBorders>
            <w:vAlign w:val="center"/>
          </w:tcPr>
          <w:p w14:paraId="5DE3E802"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B487AB5"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76982D6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20,019,599.97</w:t>
            </w:r>
          </w:p>
        </w:tc>
      </w:tr>
      <w:tr w:rsidR="001D26E7" w:rsidRPr="00F614F9" w14:paraId="54498EA6"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8C66D5B"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牧原食品</w:t>
            </w:r>
            <w:proofErr w:type="gramEnd"/>
            <w:r w:rsidRPr="00F614F9">
              <w:rPr>
                <w:rFonts w:ascii="Times New Roman" w:eastAsia="宋体" w:hAnsi="Times New Roman" w:cs="宋体"/>
                <w:sz w:val="18"/>
                <w:szCs w:val="18"/>
              </w:rPr>
              <w:t>股份有限公司（集团）</w:t>
            </w:r>
          </w:p>
        </w:tc>
        <w:tc>
          <w:tcPr>
            <w:tcW w:w="1606" w:type="dxa"/>
            <w:tcBorders>
              <w:top w:val="single" w:sz="2" w:space="0" w:color="auto"/>
              <w:left w:val="single" w:sz="2" w:space="0" w:color="auto"/>
              <w:bottom w:val="single" w:sz="2" w:space="0" w:color="auto"/>
              <w:right w:val="single" w:sz="2" w:space="0" w:color="auto"/>
            </w:tcBorders>
            <w:vAlign w:val="center"/>
          </w:tcPr>
          <w:p w14:paraId="5F5E13B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购买商品（毛猪）</w:t>
            </w:r>
          </w:p>
        </w:tc>
        <w:tc>
          <w:tcPr>
            <w:tcW w:w="1606" w:type="dxa"/>
            <w:tcBorders>
              <w:top w:val="single" w:sz="2" w:space="0" w:color="auto"/>
              <w:left w:val="single" w:sz="2" w:space="0" w:color="auto"/>
              <w:bottom w:val="single" w:sz="2" w:space="0" w:color="auto"/>
              <w:right w:val="single" w:sz="2" w:space="0" w:color="auto"/>
            </w:tcBorders>
            <w:vAlign w:val="center"/>
          </w:tcPr>
          <w:p w14:paraId="37278DF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1,733,823,366.76</w:t>
            </w:r>
          </w:p>
        </w:tc>
        <w:tc>
          <w:tcPr>
            <w:tcW w:w="1606" w:type="dxa"/>
            <w:tcBorders>
              <w:top w:val="single" w:sz="2" w:space="0" w:color="auto"/>
              <w:left w:val="single" w:sz="2" w:space="0" w:color="auto"/>
              <w:bottom w:val="single" w:sz="2" w:space="0" w:color="auto"/>
              <w:right w:val="single" w:sz="2" w:space="0" w:color="auto"/>
            </w:tcBorders>
            <w:vAlign w:val="center"/>
          </w:tcPr>
          <w:p w14:paraId="037E8DA2"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90C4337"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567B53C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2,275,237,663.00</w:t>
            </w:r>
          </w:p>
        </w:tc>
      </w:tr>
      <w:tr w:rsidR="001D26E7" w:rsidRPr="00F614F9" w14:paraId="060DA3C7"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4F2473B"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牧原食品</w:t>
            </w:r>
            <w:proofErr w:type="gramEnd"/>
            <w:r w:rsidRPr="00F614F9">
              <w:rPr>
                <w:rFonts w:ascii="Times New Roman" w:eastAsia="宋体" w:hAnsi="Times New Roman" w:cs="宋体"/>
                <w:sz w:val="18"/>
                <w:szCs w:val="18"/>
              </w:rPr>
              <w:t>股份有限公司（集团）</w:t>
            </w:r>
          </w:p>
        </w:tc>
        <w:tc>
          <w:tcPr>
            <w:tcW w:w="1606" w:type="dxa"/>
            <w:tcBorders>
              <w:top w:val="single" w:sz="2" w:space="0" w:color="auto"/>
              <w:left w:val="single" w:sz="2" w:space="0" w:color="auto"/>
              <w:bottom w:val="single" w:sz="2" w:space="0" w:color="auto"/>
              <w:right w:val="single" w:sz="2" w:space="0" w:color="auto"/>
            </w:tcBorders>
            <w:vAlign w:val="center"/>
          </w:tcPr>
          <w:p w14:paraId="7DA35C8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购买商品（猪产品）</w:t>
            </w:r>
          </w:p>
        </w:tc>
        <w:tc>
          <w:tcPr>
            <w:tcW w:w="1606" w:type="dxa"/>
            <w:tcBorders>
              <w:top w:val="single" w:sz="2" w:space="0" w:color="auto"/>
              <w:left w:val="single" w:sz="2" w:space="0" w:color="auto"/>
              <w:bottom w:val="single" w:sz="2" w:space="0" w:color="auto"/>
              <w:right w:val="single" w:sz="2" w:space="0" w:color="auto"/>
            </w:tcBorders>
            <w:vAlign w:val="center"/>
          </w:tcPr>
          <w:p w14:paraId="7F2091E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1,302,985.08</w:t>
            </w:r>
          </w:p>
        </w:tc>
        <w:tc>
          <w:tcPr>
            <w:tcW w:w="1606" w:type="dxa"/>
            <w:tcBorders>
              <w:top w:val="single" w:sz="2" w:space="0" w:color="auto"/>
              <w:left w:val="single" w:sz="2" w:space="0" w:color="auto"/>
              <w:bottom w:val="single" w:sz="2" w:space="0" w:color="auto"/>
              <w:right w:val="single" w:sz="2" w:space="0" w:color="auto"/>
            </w:tcBorders>
            <w:vAlign w:val="center"/>
          </w:tcPr>
          <w:p w14:paraId="1F8B6C59"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2C842D0"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17B7ED0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796EC99F"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450C88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青岛联合友和食品有限公司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3A29EEE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购买商品</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冷冻肉）</w:t>
            </w:r>
          </w:p>
        </w:tc>
        <w:tc>
          <w:tcPr>
            <w:tcW w:w="1606" w:type="dxa"/>
            <w:tcBorders>
              <w:top w:val="single" w:sz="2" w:space="0" w:color="auto"/>
              <w:left w:val="single" w:sz="2" w:space="0" w:color="auto"/>
              <w:bottom w:val="single" w:sz="2" w:space="0" w:color="auto"/>
              <w:right w:val="single" w:sz="2" w:space="0" w:color="auto"/>
            </w:tcBorders>
            <w:vAlign w:val="center"/>
          </w:tcPr>
          <w:p w14:paraId="75C0256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35,475,202.80</w:t>
            </w:r>
          </w:p>
        </w:tc>
        <w:tc>
          <w:tcPr>
            <w:tcW w:w="1606" w:type="dxa"/>
            <w:tcBorders>
              <w:top w:val="single" w:sz="2" w:space="0" w:color="auto"/>
              <w:left w:val="single" w:sz="2" w:space="0" w:color="auto"/>
              <w:bottom w:val="single" w:sz="2" w:space="0" w:color="auto"/>
              <w:right w:val="single" w:sz="2" w:space="0" w:color="auto"/>
            </w:tcBorders>
            <w:vAlign w:val="center"/>
          </w:tcPr>
          <w:p w14:paraId="67670348"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5F5C389"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705B4B9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24,017,632.57</w:t>
            </w:r>
          </w:p>
        </w:tc>
      </w:tr>
      <w:tr w:rsidR="001D26E7" w:rsidRPr="00F614F9" w14:paraId="78B31C71"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A39D1C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青岛飞熊领鲜科技有限公司（集团）</w:t>
            </w:r>
          </w:p>
        </w:tc>
        <w:tc>
          <w:tcPr>
            <w:tcW w:w="1606" w:type="dxa"/>
            <w:tcBorders>
              <w:top w:val="single" w:sz="2" w:space="0" w:color="auto"/>
              <w:left w:val="single" w:sz="2" w:space="0" w:color="auto"/>
              <w:bottom w:val="single" w:sz="2" w:space="0" w:color="auto"/>
              <w:right w:val="single" w:sz="2" w:space="0" w:color="auto"/>
            </w:tcBorders>
            <w:vAlign w:val="center"/>
          </w:tcPr>
          <w:p w14:paraId="073159E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购买商品</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冷冻肉）</w:t>
            </w:r>
          </w:p>
        </w:tc>
        <w:tc>
          <w:tcPr>
            <w:tcW w:w="1606" w:type="dxa"/>
            <w:tcBorders>
              <w:top w:val="single" w:sz="2" w:space="0" w:color="auto"/>
              <w:left w:val="single" w:sz="2" w:space="0" w:color="auto"/>
              <w:bottom w:val="single" w:sz="2" w:space="0" w:color="auto"/>
              <w:right w:val="single" w:sz="2" w:space="0" w:color="auto"/>
            </w:tcBorders>
            <w:vAlign w:val="center"/>
          </w:tcPr>
          <w:p w14:paraId="0B526C2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34,868,658.55</w:t>
            </w:r>
          </w:p>
        </w:tc>
        <w:tc>
          <w:tcPr>
            <w:tcW w:w="1606" w:type="dxa"/>
            <w:tcBorders>
              <w:top w:val="single" w:sz="2" w:space="0" w:color="auto"/>
              <w:left w:val="single" w:sz="2" w:space="0" w:color="auto"/>
              <w:bottom w:val="single" w:sz="2" w:space="0" w:color="auto"/>
              <w:right w:val="single" w:sz="2" w:space="0" w:color="auto"/>
            </w:tcBorders>
            <w:vAlign w:val="center"/>
          </w:tcPr>
          <w:p w14:paraId="740CC6D9"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9355E22"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7F68F60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26,391,971.13</w:t>
            </w:r>
          </w:p>
        </w:tc>
      </w:tr>
      <w:tr w:rsidR="001D26E7" w:rsidRPr="00F614F9" w14:paraId="6CABC2B8"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A571A5C"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巴中五仓宝裕</w:t>
            </w:r>
            <w:proofErr w:type="gramEnd"/>
            <w:r w:rsidRPr="00F614F9">
              <w:rPr>
                <w:rFonts w:ascii="Times New Roman" w:eastAsia="宋体" w:hAnsi="Times New Roman" w:cs="宋体"/>
                <w:sz w:val="18"/>
                <w:szCs w:val="18"/>
              </w:rPr>
              <w:t>农牧有限公司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4A9ADFE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购买商品（猪仔）</w:t>
            </w:r>
          </w:p>
        </w:tc>
        <w:tc>
          <w:tcPr>
            <w:tcW w:w="1606" w:type="dxa"/>
            <w:tcBorders>
              <w:top w:val="single" w:sz="2" w:space="0" w:color="auto"/>
              <w:left w:val="single" w:sz="2" w:space="0" w:color="auto"/>
              <w:bottom w:val="single" w:sz="2" w:space="0" w:color="auto"/>
              <w:right w:val="single" w:sz="2" w:space="0" w:color="auto"/>
            </w:tcBorders>
            <w:vAlign w:val="center"/>
          </w:tcPr>
          <w:p w14:paraId="328CD91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1,727,358.60</w:t>
            </w:r>
          </w:p>
        </w:tc>
        <w:tc>
          <w:tcPr>
            <w:tcW w:w="1606" w:type="dxa"/>
            <w:tcBorders>
              <w:top w:val="single" w:sz="2" w:space="0" w:color="auto"/>
              <w:left w:val="single" w:sz="2" w:space="0" w:color="auto"/>
              <w:bottom w:val="single" w:sz="2" w:space="0" w:color="auto"/>
              <w:right w:val="single" w:sz="2" w:space="0" w:color="auto"/>
            </w:tcBorders>
            <w:vAlign w:val="center"/>
          </w:tcPr>
          <w:p w14:paraId="60713353"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1CAED89"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1107A0A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19E91E76"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459FDB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西充</w:t>
            </w:r>
            <w:proofErr w:type="gramStart"/>
            <w:r w:rsidRPr="00F614F9">
              <w:rPr>
                <w:rFonts w:ascii="Times New Roman" w:eastAsia="宋体" w:hAnsi="Times New Roman" w:cs="宋体"/>
                <w:sz w:val="18"/>
                <w:szCs w:val="18"/>
              </w:rPr>
              <w:t>五仓宝廪</w:t>
            </w:r>
            <w:proofErr w:type="gramEnd"/>
            <w:r w:rsidRPr="00F614F9">
              <w:rPr>
                <w:rFonts w:ascii="Times New Roman" w:eastAsia="宋体" w:hAnsi="Times New Roman" w:cs="宋体"/>
                <w:sz w:val="18"/>
                <w:szCs w:val="18"/>
              </w:rPr>
              <w:t>农牧有限公司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5B6611B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购买商品（猪仔）</w:t>
            </w:r>
          </w:p>
        </w:tc>
        <w:tc>
          <w:tcPr>
            <w:tcW w:w="1606" w:type="dxa"/>
            <w:tcBorders>
              <w:top w:val="single" w:sz="2" w:space="0" w:color="auto"/>
              <w:left w:val="single" w:sz="2" w:space="0" w:color="auto"/>
              <w:bottom w:val="single" w:sz="2" w:space="0" w:color="auto"/>
              <w:right w:val="single" w:sz="2" w:space="0" w:color="auto"/>
            </w:tcBorders>
            <w:vAlign w:val="center"/>
          </w:tcPr>
          <w:p w14:paraId="75C19B7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525,720.00</w:t>
            </w:r>
          </w:p>
        </w:tc>
        <w:tc>
          <w:tcPr>
            <w:tcW w:w="1606" w:type="dxa"/>
            <w:tcBorders>
              <w:top w:val="single" w:sz="2" w:space="0" w:color="auto"/>
              <w:left w:val="single" w:sz="2" w:space="0" w:color="auto"/>
              <w:bottom w:val="single" w:sz="2" w:space="0" w:color="auto"/>
              <w:right w:val="single" w:sz="2" w:space="0" w:color="auto"/>
            </w:tcBorders>
            <w:vAlign w:val="center"/>
          </w:tcPr>
          <w:p w14:paraId="1F75770D"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864F354"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53D7D3E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314EDDA1"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F424AA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南部县</w:t>
            </w:r>
            <w:proofErr w:type="gramStart"/>
            <w:r w:rsidRPr="00F614F9">
              <w:rPr>
                <w:rFonts w:ascii="Times New Roman" w:eastAsia="宋体" w:hAnsi="Times New Roman" w:cs="宋体"/>
                <w:sz w:val="18"/>
                <w:szCs w:val="18"/>
              </w:rPr>
              <w:t>五仓宝廪</w:t>
            </w:r>
            <w:proofErr w:type="gramEnd"/>
            <w:r w:rsidRPr="00F614F9">
              <w:rPr>
                <w:rFonts w:ascii="Times New Roman" w:eastAsia="宋体" w:hAnsi="Times New Roman" w:cs="宋体"/>
                <w:sz w:val="18"/>
                <w:szCs w:val="18"/>
              </w:rPr>
              <w:t>农牧有限公司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4D3745A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购买商品（毛猪）</w:t>
            </w:r>
          </w:p>
        </w:tc>
        <w:tc>
          <w:tcPr>
            <w:tcW w:w="1606" w:type="dxa"/>
            <w:tcBorders>
              <w:top w:val="single" w:sz="2" w:space="0" w:color="auto"/>
              <w:left w:val="single" w:sz="2" w:space="0" w:color="auto"/>
              <w:bottom w:val="single" w:sz="2" w:space="0" w:color="auto"/>
              <w:right w:val="single" w:sz="2" w:space="0" w:color="auto"/>
            </w:tcBorders>
            <w:vAlign w:val="center"/>
          </w:tcPr>
          <w:p w14:paraId="5C77249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983,651.76</w:t>
            </w:r>
          </w:p>
        </w:tc>
        <w:tc>
          <w:tcPr>
            <w:tcW w:w="1606" w:type="dxa"/>
            <w:tcBorders>
              <w:top w:val="single" w:sz="2" w:space="0" w:color="auto"/>
              <w:left w:val="single" w:sz="2" w:space="0" w:color="auto"/>
              <w:bottom w:val="single" w:sz="2" w:space="0" w:color="auto"/>
              <w:right w:val="single" w:sz="2" w:space="0" w:color="auto"/>
            </w:tcBorders>
            <w:vAlign w:val="center"/>
          </w:tcPr>
          <w:p w14:paraId="61C31B9A"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506DAFC"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430BA8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59E5BE69"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999353E"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四川远鸿物业管理</w:t>
            </w:r>
            <w:proofErr w:type="gramEnd"/>
            <w:r w:rsidRPr="00F614F9">
              <w:rPr>
                <w:rFonts w:ascii="Times New Roman" w:eastAsia="宋体" w:hAnsi="Times New Roman" w:cs="宋体"/>
                <w:sz w:val="18"/>
                <w:szCs w:val="18"/>
              </w:rPr>
              <w:t>有限公司温江分公司</w:t>
            </w:r>
          </w:p>
        </w:tc>
        <w:tc>
          <w:tcPr>
            <w:tcW w:w="1606" w:type="dxa"/>
            <w:tcBorders>
              <w:top w:val="single" w:sz="2" w:space="0" w:color="auto"/>
              <w:left w:val="single" w:sz="2" w:space="0" w:color="auto"/>
              <w:bottom w:val="single" w:sz="2" w:space="0" w:color="auto"/>
              <w:right w:val="single" w:sz="2" w:space="0" w:color="auto"/>
            </w:tcBorders>
            <w:vAlign w:val="center"/>
          </w:tcPr>
          <w:p w14:paraId="459C578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购买商品（水费）</w:t>
            </w:r>
          </w:p>
        </w:tc>
        <w:tc>
          <w:tcPr>
            <w:tcW w:w="1606" w:type="dxa"/>
            <w:tcBorders>
              <w:top w:val="single" w:sz="2" w:space="0" w:color="auto"/>
              <w:left w:val="single" w:sz="2" w:space="0" w:color="auto"/>
              <w:bottom w:val="single" w:sz="2" w:space="0" w:color="auto"/>
              <w:right w:val="single" w:sz="2" w:space="0" w:color="auto"/>
            </w:tcBorders>
            <w:vAlign w:val="center"/>
          </w:tcPr>
          <w:p w14:paraId="19D5AA6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1,184.38</w:t>
            </w:r>
          </w:p>
        </w:tc>
        <w:tc>
          <w:tcPr>
            <w:tcW w:w="1606" w:type="dxa"/>
            <w:tcBorders>
              <w:top w:val="single" w:sz="2" w:space="0" w:color="auto"/>
              <w:left w:val="single" w:sz="2" w:space="0" w:color="auto"/>
              <w:bottom w:val="single" w:sz="2" w:space="0" w:color="auto"/>
              <w:right w:val="single" w:sz="2" w:space="0" w:color="auto"/>
            </w:tcBorders>
            <w:vAlign w:val="center"/>
          </w:tcPr>
          <w:p w14:paraId="34F6461F"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6ECE8E7"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29AFD75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121ECFC0"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DC6A1C0"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四川远鸿物业管理</w:t>
            </w:r>
            <w:proofErr w:type="gramEnd"/>
            <w:r w:rsidRPr="00F614F9">
              <w:rPr>
                <w:rFonts w:ascii="Times New Roman" w:eastAsia="宋体" w:hAnsi="Times New Roman" w:cs="宋体"/>
                <w:sz w:val="18"/>
                <w:szCs w:val="18"/>
              </w:rPr>
              <w:t>有限公司温江分公司</w:t>
            </w:r>
          </w:p>
        </w:tc>
        <w:tc>
          <w:tcPr>
            <w:tcW w:w="1606" w:type="dxa"/>
            <w:tcBorders>
              <w:top w:val="single" w:sz="2" w:space="0" w:color="auto"/>
              <w:left w:val="single" w:sz="2" w:space="0" w:color="auto"/>
              <w:bottom w:val="single" w:sz="2" w:space="0" w:color="auto"/>
              <w:right w:val="single" w:sz="2" w:space="0" w:color="auto"/>
            </w:tcBorders>
            <w:vAlign w:val="center"/>
          </w:tcPr>
          <w:p w14:paraId="28383A4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购买商品（电费）</w:t>
            </w:r>
          </w:p>
        </w:tc>
        <w:tc>
          <w:tcPr>
            <w:tcW w:w="1606" w:type="dxa"/>
            <w:tcBorders>
              <w:top w:val="single" w:sz="2" w:space="0" w:color="auto"/>
              <w:left w:val="single" w:sz="2" w:space="0" w:color="auto"/>
              <w:bottom w:val="single" w:sz="2" w:space="0" w:color="auto"/>
              <w:right w:val="single" w:sz="2" w:space="0" w:color="auto"/>
            </w:tcBorders>
            <w:vAlign w:val="center"/>
          </w:tcPr>
          <w:p w14:paraId="101FEB5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65,785.79</w:t>
            </w:r>
          </w:p>
        </w:tc>
        <w:tc>
          <w:tcPr>
            <w:tcW w:w="1606" w:type="dxa"/>
            <w:tcBorders>
              <w:top w:val="single" w:sz="2" w:space="0" w:color="auto"/>
              <w:left w:val="single" w:sz="2" w:space="0" w:color="auto"/>
              <w:bottom w:val="single" w:sz="2" w:space="0" w:color="auto"/>
              <w:right w:val="single" w:sz="2" w:space="0" w:color="auto"/>
            </w:tcBorders>
            <w:vAlign w:val="center"/>
          </w:tcPr>
          <w:p w14:paraId="33934723"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41CD2D9"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50D18D1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40,000.00</w:t>
            </w:r>
          </w:p>
        </w:tc>
      </w:tr>
      <w:tr w:rsidR="001D26E7" w:rsidRPr="00F614F9" w14:paraId="770576C6"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314C028"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四川远鸿物业管理</w:t>
            </w:r>
            <w:proofErr w:type="gramEnd"/>
            <w:r w:rsidRPr="00F614F9">
              <w:rPr>
                <w:rFonts w:ascii="Times New Roman" w:eastAsia="宋体" w:hAnsi="Times New Roman" w:cs="宋体"/>
                <w:sz w:val="18"/>
                <w:szCs w:val="18"/>
              </w:rPr>
              <w:t>有限公司温江分公司</w:t>
            </w:r>
          </w:p>
        </w:tc>
        <w:tc>
          <w:tcPr>
            <w:tcW w:w="1606" w:type="dxa"/>
            <w:tcBorders>
              <w:top w:val="single" w:sz="2" w:space="0" w:color="auto"/>
              <w:left w:val="single" w:sz="2" w:space="0" w:color="auto"/>
              <w:bottom w:val="single" w:sz="2" w:space="0" w:color="auto"/>
              <w:right w:val="single" w:sz="2" w:space="0" w:color="auto"/>
            </w:tcBorders>
            <w:vAlign w:val="center"/>
          </w:tcPr>
          <w:p w14:paraId="0E1C9C5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购买商品</w:t>
            </w:r>
            <w:r w:rsidRPr="00F614F9">
              <w:rPr>
                <w:rFonts w:ascii="Times New Roman" w:eastAsia="宋体" w:hAnsi="Times New Roman" w:cs="宋体"/>
                <w:sz w:val="18"/>
                <w:szCs w:val="18"/>
              </w:rPr>
              <w:t>(</w:t>
            </w:r>
            <w:proofErr w:type="gramStart"/>
            <w:r w:rsidRPr="00F614F9">
              <w:rPr>
                <w:rFonts w:ascii="Times New Roman" w:eastAsia="宋体" w:hAnsi="Times New Roman" w:cs="宋体"/>
                <w:sz w:val="18"/>
                <w:szCs w:val="18"/>
              </w:rPr>
              <w:t>物业费</w:t>
            </w:r>
            <w:proofErr w:type="gramEnd"/>
            <w:r w:rsidRPr="00F614F9">
              <w:rPr>
                <w:rFonts w:ascii="Times New Roman" w:eastAsia="宋体" w:hAnsi="Times New Roman" w:cs="宋体"/>
                <w:sz w:val="18"/>
                <w:szCs w:val="18"/>
              </w:rPr>
              <w:t>)</w:t>
            </w:r>
          </w:p>
        </w:tc>
        <w:tc>
          <w:tcPr>
            <w:tcW w:w="1606" w:type="dxa"/>
            <w:tcBorders>
              <w:top w:val="single" w:sz="2" w:space="0" w:color="auto"/>
              <w:left w:val="single" w:sz="2" w:space="0" w:color="auto"/>
              <w:bottom w:val="single" w:sz="2" w:space="0" w:color="auto"/>
              <w:right w:val="single" w:sz="2" w:space="0" w:color="auto"/>
            </w:tcBorders>
            <w:vAlign w:val="center"/>
          </w:tcPr>
          <w:p w14:paraId="7AA69F5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489,909.75</w:t>
            </w:r>
          </w:p>
        </w:tc>
        <w:tc>
          <w:tcPr>
            <w:tcW w:w="1606" w:type="dxa"/>
            <w:tcBorders>
              <w:top w:val="single" w:sz="2" w:space="0" w:color="auto"/>
              <w:left w:val="single" w:sz="2" w:space="0" w:color="auto"/>
              <w:bottom w:val="single" w:sz="2" w:space="0" w:color="auto"/>
              <w:right w:val="single" w:sz="2" w:space="0" w:color="auto"/>
            </w:tcBorders>
            <w:vAlign w:val="center"/>
          </w:tcPr>
          <w:p w14:paraId="653B3EAB"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CE0085B"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29AD438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4,684.56</w:t>
            </w:r>
          </w:p>
        </w:tc>
      </w:tr>
      <w:tr w:rsidR="001D26E7" w:rsidRPr="00F614F9" w14:paraId="05B3D50B"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7AA821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四川蓝润实业集团有限公司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534E79D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购买商品（汽车租赁费）</w:t>
            </w:r>
          </w:p>
        </w:tc>
        <w:tc>
          <w:tcPr>
            <w:tcW w:w="1606" w:type="dxa"/>
            <w:tcBorders>
              <w:top w:val="single" w:sz="2" w:space="0" w:color="auto"/>
              <w:left w:val="single" w:sz="2" w:space="0" w:color="auto"/>
              <w:bottom w:val="single" w:sz="2" w:space="0" w:color="auto"/>
              <w:right w:val="single" w:sz="2" w:space="0" w:color="auto"/>
            </w:tcBorders>
            <w:vAlign w:val="center"/>
          </w:tcPr>
          <w:p w14:paraId="04A5D94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143,362.83</w:t>
            </w:r>
          </w:p>
        </w:tc>
        <w:tc>
          <w:tcPr>
            <w:tcW w:w="1606" w:type="dxa"/>
            <w:tcBorders>
              <w:top w:val="single" w:sz="2" w:space="0" w:color="auto"/>
              <w:left w:val="single" w:sz="2" w:space="0" w:color="auto"/>
              <w:bottom w:val="single" w:sz="2" w:space="0" w:color="auto"/>
              <w:right w:val="single" w:sz="2" w:space="0" w:color="auto"/>
            </w:tcBorders>
            <w:vAlign w:val="center"/>
          </w:tcPr>
          <w:p w14:paraId="698CF891"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028BDF9"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160CD7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78B1BF8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F00B96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成都润家商业管理有限公司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39D6477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购买商品</w:t>
            </w:r>
            <w:r w:rsidRPr="00F614F9">
              <w:rPr>
                <w:rFonts w:ascii="Times New Roman" w:eastAsia="宋体" w:hAnsi="Times New Roman" w:cs="宋体"/>
                <w:sz w:val="18"/>
                <w:szCs w:val="18"/>
              </w:rPr>
              <w:t>(</w:t>
            </w:r>
            <w:proofErr w:type="gramStart"/>
            <w:r w:rsidRPr="00F614F9">
              <w:rPr>
                <w:rFonts w:ascii="Times New Roman" w:eastAsia="宋体" w:hAnsi="Times New Roman" w:cs="宋体"/>
                <w:sz w:val="18"/>
                <w:szCs w:val="18"/>
              </w:rPr>
              <w:t>物业费</w:t>
            </w:r>
            <w:proofErr w:type="gramEnd"/>
            <w:r w:rsidRPr="00F614F9">
              <w:rPr>
                <w:rFonts w:ascii="Times New Roman" w:eastAsia="宋体" w:hAnsi="Times New Roman" w:cs="宋体"/>
                <w:sz w:val="18"/>
                <w:szCs w:val="18"/>
              </w:rPr>
              <w:t>)</w:t>
            </w:r>
          </w:p>
        </w:tc>
        <w:tc>
          <w:tcPr>
            <w:tcW w:w="1606" w:type="dxa"/>
            <w:tcBorders>
              <w:top w:val="single" w:sz="2" w:space="0" w:color="auto"/>
              <w:left w:val="single" w:sz="2" w:space="0" w:color="auto"/>
              <w:bottom w:val="single" w:sz="2" w:space="0" w:color="auto"/>
              <w:right w:val="single" w:sz="2" w:space="0" w:color="auto"/>
            </w:tcBorders>
            <w:vAlign w:val="center"/>
          </w:tcPr>
          <w:p w14:paraId="6C7F80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118,286.81</w:t>
            </w:r>
          </w:p>
        </w:tc>
        <w:tc>
          <w:tcPr>
            <w:tcW w:w="1606" w:type="dxa"/>
            <w:tcBorders>
              <w:top w:val="single" w:sz="2" w:space="0" w:color="auto"/>
              <w:left w:val="single" w:sz="2" w:space="0" w:color="auto"/>
              <w:bottom w:val="single" w:sz="2" w:space="0" w:color="auto"/>
              <w:right w:val="single" w:sz="2" w:space="0" w:color="auto"/>
            </w:tcBorders>
            <w:vAlign w:val="center"/>
          </w:tcPr>
          <w:p w14:paraId="726E051F"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1C77379"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5BA58A2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567,128.42</w:t>
            </w:r>
          </w:p>
        </w:tc>
      </w:tr>
      <w:tr w:rsidR="001D26E7" w:rsidRPr="00F614F9" w14:paraId="021E36F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60E7CB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成都润家商业管理有限公司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04D3089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购买商品（电费）</w:t>
            </w:r>
          </w:p>
        </w:tc>
        <w:tc>
          <w:tcPr>
            <w:tcW w:w="1606" w:type="dxa"/>
            <w:tcBorders>
              <w:top w:val="single" w:sz="2" w:space="0" w:color="auto"/>
              <w:left w:val="single" w:sz="2" w:space="0" w:color="auto"/>
              <w:bottom w:val="single" w:sz="2" w:space="0" w:color="auto"/>
              <w:right w:val="single" w:sz="2" w:space="0" w:color="auto"/>
            </w:tcBorders>
            <w:vAlign w:val="center"/>
          </w:tcPr>
          <w:p w14:paraId="2EFD64B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76,548.68</w:t>
            </w:r>
          </w:p>
        </w:tc>
        <w:tc>
          <w:tcPr>
            <w:tcW w:w="1606" w:type="dxa"/>
            <w:tcBorders>
              <w:top w:val="single" w:sz="2" w:space="0" w:color="auto"/>
              <w:left w:val="single" w:sz="2" w:space="0" w:color="auto"/>
              <w:bottom w:val="single" w:sz="2" w:space="0" w:color="auto"/>
              <w:right w:val="single" w:sz="2" w:space="0" w:color="auto"/>
            </w:tcBorders>
            <w:vAlign w:val="center"/>
          </w:tcPr>
          <w:p w14:paraId="4A0DB4D8"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ADF9FAF"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3FFDAE8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0C46C701"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C301A4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成都润家商业管理有限公司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3C6C8FC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购买商品（水费）</w:t>
            </w:r>
          </w:p>
        </w:tc>
        <w:tc>
          <w:tcPr>
            <w:tcW w:w="1606" w:type="dxa"/>
            <w:tcBorders>
              <w:top w:val="single" w:sz="2" w:space="0" w:color="auto"/>
              <w:left w:val="single" w:sz="2" w:space="0" w:color="auto"/>
              <w:bottom w:val="single" w:sz="2" w:space="0" w:color="auto"/>
              <w:right w:val="single" w:sz="2" w:space="0" w:color="auto"/>
            </w:tcBorders>
            <w:vAlign w:val="center"/>
          </w:tcPr>
          <w:p w14:paraId="2BD587F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226.30</w:t>
            </w:r>
          </w:p>
        </w:tc>
        <w:tc>
          <w:tcPr>
            <w:tcW w:w="1606" w:type="dxa"/>
            <w:tcBorders>
              <w:top w:val="single" w:sz="2" w:space="0" w:color="auto"/>
              <w:left w:val="single" w:sz="2" w:space="0" w:color="auto"/>
              <w:bottom w:val="single" w:sz="2" w:space="0" w:color="auto"/>
              <w:right w:val="single" w:sz="2" w:space="0" w:color="auto"/>
            </w:tcBorders>
            <w:vAlign w:val="center"/>
          </w:tcPr>
          <w:p w14:paraId="39CCBB35"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E36C2DB"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15DE4D4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64E192F0"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24D25A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沃德佳（青岛）</w:t>
            </w:r>
            <w:r w:rsidRPr="00F614F9">
              <w:rPr>
                <w:rFonts w:ascii="Times New Roman" w:eastAsia="宋体" w:hAnsi="Times New Roman" w:cs="宋体"/>
                <w:sz w:val="18"/>
                <w:szCs w:val="18"/>
              </w:rPr>
              <w:t> </w:t>
            </w:r>
            <w:r w:rsidRPr="00F614F9">
              <w:rPr>
                <w:rFonts w:ascii="Times New Roman" w:eastAsia="宋体" w:hAnsi="Times New Roman" w:cs="宋体"/>
                <w:sz w:val="18"/>
                <w:szCs w:val="18"/>
              </w:rPr>
              <w:t>供应链管理有限</w:t>
            </w:r>
            <w:r w:rsidRPr="00F614F9">
              <w:rPr>
                <w:rFonts w:ascii="Times New Roman" w:eastAsia="宋体" w:hAnsi="Times New Roman" w:cs="宋体"/>
                <w:sz w:val="18"/>
                <w:szCs w:val="18"/>
              </w:rPr>
              <w:t> </w:t>
            </w:r>
            <w:r w:rsidRPr="00F614F9">
              <w:rPr>
                <w:rFonts w:ascii="Times New Roman" w:eastAsia="宋体" w:hAnsi="Times New Roman" w:cs="宋体"/>
                <w:sz w:val="18"/>
                <w:szCs w:val="18"/>
              </w:rPr>
              <w:t>公司</w:t>
            </w:r>
          </w:p>
        </w:tc>
        <w:tc>
          <w:tcPr>
            <w:tcW w:w="1606" w:type="dxa"/>
            <w:tcBorders>
              <w:top w:val="single" w:sz="2" w:space="0" w:color="auto"/>
              <w:left w:val="single" w:sz="2" w:space="0" w:color="auto"/>
              <w:bottom w:val="single" w:sz="2" w:space="0" w:color="auto"/>
              <w:right w:val="single" w:sz="2" w:space="0" w:color="auto"/>
            </w:tcBorders>
            <w:vAlign w:val="center"/>
          </w:tcPr>
          <w:p w14:paraId="34AABC5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购买商品</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冷冻肉）</w:t>
            </w:r>
          </w:p>
        </w:tc>
        <w:tc>
          <w:tcPr>
            <w:tcW w:w="1606" w:type="dxa"/>
            <w:tcBorders>
              <w:top w:val="single" w:sz="2" w:space="0" w:color="auto"/>
              <w:left w:val="single" w:sz="2" w:space="0" w:color="auto"/>
              <w:bottom w:val="single" w:sz="2" w:space="0" w:color="auto"/>
              <w:right w:val="single" w:sz="2" w:space="0" w:color="auto"/>
            </w:tcBorders>
            <w:vAlign w:val="center"/>
          </w:tcPr>
          <w:p w14:paraId="1508C17C"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BF35E09"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26B244A"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335BD40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1,997,113.98</w:t>
            </w:r>
          </w:p>
        </w:tc>
      </w:tr>
      <w:tr w:rsidR="001D26E7" w:rsidRPr="00F614F9" w14:paraId="11A3AC6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CCEFA3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6B61376A" w14:textId="77777777" w:rsidR="001D26E7" w:rsidRPr="00F614F9" w:rsidRDefault="001D26E7">
            <w:pPr>
              <w:spacing w:line="240" w:lineRule="exac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B97C2E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w:t>
            </w:r>
            <w:r w:rsidR="0080040E">
              <w:rPr>
                <w:rFonts w:ascii="Times New Roman" w:eastAsia="宋体" w:hAnsi="Times New Roman" w:cs="宋体" w:hint="eastAsia"/>
                <w:sz w:val="18"/>
                <w:szCs w:val="18"/>
              </w:rPr>
              <w:t>09</w:t>
            </w:r>
            <w:r w:rsidRPr="00F614F9">
              <w:rPr>
                <w:rFonts w:ascii="Times New Roman" w:eastAsia="宋体" w:hAnsi="Times New Roman" w:cs="宋体"/>
                <w:sz w:val="18"/>
                <w:szCs w:val="18"/>
              </w:rPr>
              <w:t>,</w:t>
            </w:r>
            <w:r w:rsidR="0080040E">
              <w:rPr>
                <w:rFonts w:ascii="Times New Roman" w:eastAsia="宋体" w:hAnsi="Times New Roman" w:cs="宋体" w:hint="eastAsia"/>
                <w:sz w:val="18"/>
                <w:szCs w:val="18"/>
              </w:rPr>
              <w:t>724</w:t>
            </w:r>
            <w:r w:rsidRPr="00F614F9">
              <w:rPr>
                <w:rFonts w:ascii="Times New Roman" w:eastAsia="宋体" w:hAnsi="Times New Roman" w:cs="宋体"/>
                <w:sz w:val="18"/>
                <w:szCs w:val="18"/>
              </w:rPr>
              <w:t>,</w:t>
            </w:r>
            <w:r w:rsidR="0080040E">
              <w:rPr>
                <w:rFonts w:ascii="Times New Roman" w:eastAsia="宋体" w:hAnsi="Times New Roman" w:cs="宋体" w:hint="eastAsia"/>
                <w:sz w:val="18"/>
                <w:szCs w:val="18"/>
              </w:rPr>
              <w:t>552.61</w:t>
            </w:r>
          </w:p>
        </w:tc>
        <w:tc>
          <w:tcPr>
            <w:tcW w:w="1606" w:type="dxa"/>
            <w:tcBorders>
              <w:top w:val="single" w:sz="2" w:space="0" w:color="auto"/>
              <w:left w:val="single" w:sz="2" w:space="0" w:color="auto"/>
              <w:bottom w:val="single" w:sz="2" w:space="0" w:color="auto"/>
              <w:right w:val="single" w:sz="2" w:space="0" w:color="auto"/>
            </w:tcBorders>
            <w:vAlign w:val="center"/>
          </w:tcPr>
          <w:p w14:paraId="581C4F29"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115C9C9" w14:textId="77777777" w:rsidR="001D26E7" w:rsidRPr="00F614F9" w:rsidRDefault="00000000" w:rsidP="00295573">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4BEB017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2,349,138,752.25</w:t>
            </w:r>
          </w:p>
        </w:tc>
      </w:tr>
    </w:tbl>
    <w:p w14:paraId="4F19255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出售商品</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提供劳务情况表</w:t>
      </w:r>
    </w:p>
    <w:p w14:paraId="12BB1AA2"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1D26E7" w:rsidRPr="00F614F9" w14:paraId="69ED221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EF9750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30B153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关联交易内容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B389A2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57E50C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106EC0D8"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9413FE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成都佳享食品有限公司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673DEE5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vAlign w:val="center"/>
          </w:tcPr>
          <w:p w14:paraId="4DEE576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-18,573.83</w:t>
            </w:r>
          </w:p>
        </w:tc>
        <w:tc>
          <w:tcPr>
            <w:tcW w:w="2410" w:type="dxa"/>
            <w:tcBorders>
              <w:top w:val="single" w:sz="2" w:space="0" w:color="auto"/>
              <w:left w:val="single" w:sz="2" w:space="0" w:color="auto"/>
              <w:bottom w:val="single" w:sz="2" w:space="0" w:color="auto"/>
              <w:right w:val="single" w:sz="2" w:space="0" w:color="auto"/>
            </w:tcBorders>
            <w:vAlign w:val="center"/>
          </w:tcPr>
          <w:p w14:paraId="4B9AE5C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19,679,774.94</w:t>
            </w:r>
          </w:p>
        </w:tc>
      </w:tr>
      <w:tr w:rsidR="001D26E7" w:rsidRPr="00F614F9" w14:paraId="2686E64E"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3E8CA0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成都璞悦酒店管理有限公司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149A504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vAlign w:val="center"/>
          </w:tcPr>
          <w:p w14:paraId="7F07357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308,835.21</w:t>
            </w:r>
          </w:p>
        </w:tc>
        <w:tc>
          <w:tcPr>
            <w:tcW w:w="2410" w:type="dxa"/>
            <w:tcBorders>
              <w:top w:val="single" w:sz="2" w:space="0" w:color="auto"/>
              <w:left w:val="single" w:sz="2" w:space="0" w:color="auto"/>
              <w:bottom w:val="single" w:sz="2" w:space="0" w:color="auto"/>
              <w:right w:val="single" w:sz="2" w:space="0" w:color="auto"/>
            </w:tcBorders>
            <w:vAlign w:val="center"/>
          </w:tcPr>
          <w:p w14:paraId="529B2FD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1,990,564.42</w:t>
            </w:r>
          </w:p>
        </w:tc>
      </w:tr>
      <w:tr w:rsidR="001D26E7" w:rsidRPr="00F614F9" w14:paraId="68246342"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03E15B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达州银行股份有限公司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08D36C4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vAlign w:val="center"/>
          </w:tcPr>
          <w:p w14:paraId="31EE1AD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484,386.27</w:t>
            </w:r>
          </w:p>
        </w:tc>
        <w:tc>
          <w:tcPr>
            <w:tcW w:w="2410" w:type="dxa"/>
            <w:tcBorders>
              <w:top w:val="single" w:sz="2" w:space="0" w:color="auto"/>
              <w:left w:val="single" w:sz="2" w:space="0" w:color="auto"/>
              <w:bottom w:val="single" w:sz="2" w:space="0" w:color="auto"/>
              <w:right w:val="single" w:sz="2" w:space="0" w:color="auto"/>
            </w:tcBorders>
            <w:vAlign w:val="center"/>
          </w:tcPr>
          <w:p w14:paraId="168785C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1,579,270.16</w:t>
            </w:r>
          </w:p>
        </w:tc>
      </w:tr>
      <w:tr w:rsidR="001D26E7" w:rsidRPr="00F614F9" w14:paraId="5C247EF5"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700C2C0"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四川远鸿物业管理</w:t>
            </w:r>
            <w:proofErr w:type="gramEnd"/>
            <w:r w:rsidRPr="00F614F9">
              <w:rPr>
                <w:rFonts w:ascii="Times New Roman" w:eastAsia="宋体" w:hAnsi="Times New Roman" w:cs="宋体"/>
                <w:sz w:val="18"/>
                <w:szCs w:val="18"/>
              </w:rPr>
              <w:t>有限公司温江分公司</w:t>
            </w:r>
          </w:p>
        </w:tc>
        <w:tc>
          <w:tcPr>
            <w:tcW w:w="2410" w:type="dxa"/>
            <w:tcBorders>
              <w:top w:val="single" w:sz="2" w:space="0" w:color="auto"/>
              <w:left w:val="single" w:sz="2" w:space="0" w:color="auto"/>
              <w:bottom w:val="single" w:sz="2" w:space="0" w:color="auto"/>
              <w:right w:val="single" w:sz="2" w:space="0" w:color="auto"/>
            </w:tcBorders>
            <w:vAlign w:val="center"/>
          </w:tcPr>
          <w:p w14:paraId="533C2F8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vAlign w:val="center"/>
          </w:tcPr>
          <w:p w14:paraId="46F8C1A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1,641.32</w:t>
            </w:r>
          </w:p>
        </w:tc>
        <w:tc>
          <w:tcPr>
            <w:tcW w:w="2410" w:type="dxa"/>
            <w:tcBorders>
              <w:top w:val="single" w:sz="2" w:space="0" w:color="auto"/>
              <w:left w:val="single" w:sz="2" w:space="0" w:color="auto"/>
              <w:bottom w:val="single" w:sz="2" w:space="0" w:color="auto"/>
              <w:right w:val="single" w:sz="2" w:space="0" w:color="auto"/>
            </w:tcBorders>
            <w:vAlign w:val="center"/>
          </w:tcPr>
          <w:p w14:paraId="5029516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7B86B10A"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F27731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青岛联合友和食品有限公司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27771D6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vAlign w:val="center"/>
          </w:tcPr>
          <w:p w14:paraId="1FAF255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227,958.47</w:t>
            </w:r>
          </w:p>
        </w:tc>
        <w:tc>
          <w:tcPr>
            <w:tcW w:w="2410" w:type="dxa"/>
            <w:tcBorders>
              <w:top w:val="single" w:sz="2" w:space="0" w:color="auto"/>
              <w:left w:val="single" w:sz="2" w:space="0" w:color="auto"/>
              <w:bottom w:val="single" w:sz="2" w:space="0" w:color="auto"/>
              <w:right w:val="single" w:sz="2" w:space="0" w:color="auto"/>
            </w:tcBorders>
            <w:vAlign w:val="center"/>
          </w:tcPr>
          <w:p w14:paraId="1D37AA2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343,888.52</w:t>
            </w:r>
          </w:p>
        </w:tc>
      </w:tr>
      <w:tr w:rsidR="001D26E7" w:rsidRPr="00F614F9" w14:paraId="1D323231"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942D2E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沃德佳（青岛）供应链管理有限公司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13A1D4F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vAlign w:val="center"/>
          </w:tcPr>
          <w:p w14:paraId="4272E01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238,117.40</w:t>
            </w:r>
          </w:p>
        </w:tc>
        <w:tc>
          <w:tcPr>
            <w:tcW w:w="2410" w:type="dxa"/>
            <w:tcBorders>
              <w:top w:val="single" w:sz="2" w:space="0" w:color="auto"/>
              <w:left w:val="single" w:sz="2" w:space="0" w:color="auto"/>
              <w:bottom w:val="single" w:sz="2" w:space="0" w:color="auto"/>
              <w:right w:val="single" w:sz="2" w:space="0" w:color="auto"/>
            </w:tcBorders>
            <w:vAlign w:val="center"/>
          </w:tcPr>
          <w:p w14:paraId="4C0CAC13"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4A8C899"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9BC3AB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蓬莱富华冷藏有限公司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35268D0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vAlign w:val="center"/>
          </w:tcPr>
          <w:p w14:paraId="22FCFEA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733,330.40</w:t>
            </w:r>
          </w:p>
        </w:tc>
        <w:tc>
          <w:tcPr>
            <w:tcW w:w="2410" w:type="dxa"/>
            <w:tcBorders>
              <w:top w:val="single" w:sz="2" w:space="0" w:color="auto"/>
              <w:left w:val="single" w:sz="2" w:space="0" w:color="auto"/>
              <w:bottom w:val="single" w:sz="2" w:space="0" w:color="auto"/>
              <w:right w:val="single" w:sz="2" w:space="0" w:color="auto"/>
            </w:tcBorders>
            <w:vAlign w:val="center"/>
          </w:tcPr>
          <w:p w14:paraId="5EC19CC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376,890.31</w:t>
            </w:r>
          </w:p>
        </w:tc>
      </w:tr>
      <w:tr w:rsidR="001D26E7" w:rsidRPr="00F614F9" w14:paraId="16A0CF0D"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A247FE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青岛飞熊领鲜科技有限公司（集团）</w:t>
            </w:r>
          </w:p>
        </w:tc>
        <w:tc>
          <w:tcPr>
            <w:tcW w:w="2410" w:type="dxa"/>
            <w:tcBorders>
              <w:top w:val="single" w:sz="2" w:space="0" w:color="auto"/>
              <w:left w:val="single" w:sz="2" w:space="0" w:color="auto"/>
              <w:bottom w:val="single" w:sz="2" w:space="0" w:color="auto"/>
              <w:right w:val="single" w:sz="2" w:space="0" w:color="auto"/>
            </w:tcBorders>
            <w:vAlign w:val="center"/>
          </w:tcPr>
          <w:p w14:paraId="054BB77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vAlign w:val="center"/>
          </w:tcPr>
          <w:p w14:paraId="44C9C49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28,248,533.61</w:t>
            </w:r>
          </w:p>
        </w:tc>
        <w:tc>
          <w:tcPr>
            <w:tcW w:w="2410" w:type="dxa"/>
            <w:tcBorders>
              <w:top w:val="single" w:sz="2" w:space="0" w:color="auto"/>
              <w:left w:val="single" w:sz="2" w:space="0" w:color="auto"/>
              <w:bottom w:val="single" w:sz="2" w:space="0" w:color="auto"/>
              <w:right w:val="single" w:sz="2" w:space="0" w:color="auto"/>
            </w:tcBorders>
            <w:vAlign w:val="center"/>
          </w:tcPr>
          <w:p w14:paraId="0B88B55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46,694,117.85</w:t>
            </w:r>
          </w:p>
        </w:tc>
      </w:tr>
      <w:tr w:rsidR="001D26E7" w:rsidRPr="00F614F9" w14:paraId="4B989500"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233EB6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青岛优尼特</w:t>
            </w:r>
            <w:proofErr w:type="gramStart"/>
            <w:r w:rsidRPr="00F614F9">
              <w:rPr>
                <w:rFonts w:ascii="Times New Roman" w:eastAsia="宋体" w:hAnsi="Times New Roman" w:cs="宋体"/>
                <w:sz w:val="18"/>
                <w:szCs w:val="18"/>
              </w:rPr>
              <w:t>尚品食品</w:t>
            </w:r>
            <w:proofErr w:type="gramEnd"/>
            <w:r w:rsidRPr="00F614F9">
              <w:rPr>
                <w:rFonts w:ascii="Times New Roman" w:eastAsia="宋体" w:hAnsi="Times New Roman" w:cs="宋体"/>
                <w:sz w:val="18"/>
                <w:szCs w:val="18"/>
              </w:rPr>
              <w:t>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0CDACBC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vAlign w:val="center"/>
          </w:tcPr>
          <w:p w14:paraId="40C8405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3,995,184.70</w:t>
            </w:r>
          </w:p>
        </w:tc>
        <w:tc>
          <w:tcPr>
            <w:tcW w:w="2410" w:type="dxa"/>
            <w:tcBorders>
              <w:top w:val="single" w:sz="2" w:space="0" w:color="auto"/>
              <w:left w:val="single" w:sz="2" w:space="0" w:color="auto"/>
              <w:bottom w:val="single" w:sz="2" w:space="0" w:color="auto"/>
              <w:right w:val="single" w:sz="2" w:space="0" w:color="auto"/>
            </w:tcBorders>
            <w:vAlign w:val="center"/>
          </w:tcPr>
          <w:p w14:paraId="5D5972D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766,614.59</w:t>
            </w:r>
          </w:p>
        </w:tc>
      </w:tr>
      <w:tr w:rsidR="001D26E7" w:rsidRPr="00F614F9" w14:paraId="1A79C241"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798FF7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青岛东方睿智商贸有限公司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038E13C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vAlign w:val="center"/>
          </w:tcPr>
          <w:p w14:paraId="7C98DFE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2,600,839.32</w:t>
            </w:r>
          </w:p>
        </w:tc>
        <w:tc>
          <w:tcPr>
            <w:tcW w:w="2410" w:type="dxa"/>
            <w:tcBorders>
              <w:top w:val="single" w:sz="2" w:space="0" w:color="auto"/>
              <w:left w:val="single" w:sz="2" w:space="0" w:color="auto"/>
              <w:bottom w:val="single" w:sz="2" w:space="0" w:color="auto"/>
              <w:right w:val="single" w:sz="2" w:space="0" w:color="auto"/>
            </w:tcBorders>
            <w:vAlign w:val="center"/>
          </w:tcPr>
          <w:p w14:paraId="0FD2866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24,212.44</w:t>
            </w:r>
          </w:p>
        </w:tc>
      </w:tr>
      <w:tr w:rsidR="001D26E7" w:rsidRPr="00F614F9" w14:paraId="304582F2"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C1E05F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w:t>
            </w:r>
            <w:proofErr w:type="gramStart"/>
            <w:r w:rsidRPr="00F614F9">
              <w:rPr>
                <w:rFonts w:ascii="Times New Roman" w:eastAsia="宋体" w:hAnsi="Times New Roman" w:cs="宋体"/>
                <w:sz w:val="18"/>
                <w:szCs w:val="18"/>
              </w:rPr>
              <w:t>汇美恒文化</w:t>
            </w:r>
            <w:proofErr w:type="gramEnd"/>
            <w:r w:rsidRPr="00F614F9">
              <w:rPr>
                <w:rFonts w:ascii="Times New Roman" w:eastAsia="宋体" w:hAnsi="Times New Roman" w:cs="宋体"/>
                <w:sz w:val="18"/>
                <w:szCs w:val="18"/>
              </w:rPr>
              <w:t>传播有限公司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36D8949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vAlign w:val="center"/>
          </w:tcPr>
          <w:p w14:paraId="2DC99BA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14:paraId="2A6643D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530.97</w:t>
            </w:r>
          </w:p>
        </w:tc>
      </w:tr>
      <w:tr w:rsidR="001D26E7" w:rsidRPr="00F614F9" w14:paraId="6FCB6572"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5BD50B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w:t>
            </w:r>
            <w:proofErr w:type="gramStart"/>
            <w:r w:rsidRPr="00F614F9">
              <w:rPr>
                <w:rFonts w:ascii="Times New Roman" w:eastAsia="宋体" w:hAnsi="Times New Roman" w:cs="宋体"/>
                <w:sz w:val="18"/>
                <w:szCs w:val="18"/>
              </w:rPr>
              <w:t>蓝润耀恒置业</w:t>
            </w:r>
            <w:proofErr w:type="gramEnd"/>
            <w:r w:rsidRPr="00F614F9">
              <w:rPr>
                <w:rFonts w:ascii="Times New Roman" w:eastAsia="宋体" w:hAnsi="Times New Roman" w:cs="宋体"/>
                <w:sz w:val="18"/>
                <w:szCs w:val="18"/>
              </w:rPr>
              <w:t>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7ACE24F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vAlign w:val="center"/>
          </w:tcPr>
          <w:p w14:paraId="516C0EB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14:paraId="397C476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44,778.76</w:t>
            </w:r>
          </w:p>
        </w:tc>
      </w:tr>
      <w:tr w:rsidR="001D26E7" w:rsidRPr="00F614F9" w14:paraId="7A63C194"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8FFC75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37902BDA" w14:textId="77777777" w:rsidR="001D26E7" w:rsidRPr="00F614F9" w:rsidRDefault="001D26E7">
            <w:pPr>
              <w:spacing w:line="240" w:lineRule="exac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0EF27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36,820,252.87</w:t>
            </w:r>
          </w:p>
        </w:tc>
        <w:tc>
          <w:tcPr>
            <w:tcW w:w="2410" w:type="dxa"/>
            <w:tcBorders>
              <w:top w:val="single" w:sz="2" w:space="0" w:color="auto"/>
              <w:left w:val="single" w:sz="2" w:space="0" w:color="auto"/>
              <w:bottom w:val="single" w:sz="2" w:space="0" w:color="auto"/>
              <w:right w:val="single" w:sz="2" w:space="0" w:color="auto"/>
            </w:tcBorders>
            <w:vAlign w:val="center"/>
          </w:tcPr>
          <w:p w14:paraId="61D3189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71,500,642.96</w:t>
            </w:r>
          </w:p>
        </w:tc>
      </w:tr>
    </w:tbl>
    <w:p w14:paraId="600651B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购销商品、提供和接受劳务的关联交易说明</w:t>
      </w:r>
    </w:p>
    <w:p w14:paraId="6D799233" w14:textId="77777777" w:rsidR="00872599" w:rsidRPr="00F614F9" w:rsidRDefault="00000000">
      <w:pPr>
        <w:pStyle w:val="a3"/>
        <w:divId w:val="1125974255"/>
        <w:rPr>
          <w:rFonts w:ascii="Times New Roman" w:hAnsi="Times New Roman"/>
          <w:sz w:val="18"/>
          <w:szCs w:val="18"/>
        </w:rPr>
      </w:pPr>
      <w:r w:rsidRPr="00F614F9">
        <w:rPr>
          <w:rFonts w:ascii="Times New Roman" w:hAnsi="Times New Roman" w:hint="eastAsia"/>
          <w:sz w:val="18"/>
          <w:szCs w:val="18"/>
        </w:rPr>
        <w:t>无</w:t>
      </w:r>
    </w:p>
    <w:p w14:paraId="6BEA9B9F"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84" w:name="_Toc989426"/>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关联受托管理</w:t>
      </w:r>
      <w:r w:rsidRPr="00F614F9">
        <w:rPr>
          <w:rFonts w:ascii="Times New Roman" w:eastAsia="宋体" w:hAnsi="Times New Roman" w:cs="宋体"/>
          <w:b/>
          <w:bCs/>
          <w:szCs w:val="21"/>
        </w:rPr>
        <w:t>/</w:t>
      </w:r>
      <w:r w:rsidRPr="00F614F9">
        <w:rPr>
          <w:rFonts w:ascii="Times New Roman" w:eastAsia="宋体" w:hAnsi="Times New Roman" w:cs="宋体"/>
          <w:b/>
          <w:bCs/>
          <w:szCs w:val="21"/>
        </w:rPr>
        <w:t>承包及委托管理</w:t>
      </w:r>
      <w:r w:rsidRPr="00F614F9">
        <w:rPr>
          <w:rFonts w:ascii="Times New Roman" w:eastAsia="宋体" w:hAnsi="Times New Roman" w:cs="宋体"/>
          <w:b/>
          <w:bCs/>
          <w:szCs w:val="21"/>
        </w:rPr>
        <w:t>/</w:t>
      </w:r>
      <w:r w:rsidRPr="00F614F9">
        <w:rPr>
          <w:rFonts w:ascii="Times New Roman" w:eastAsia="宋体" w:hAnsi="Times New Roman" w:cs="宋体"/>
          <w:b/>
          <w:bCs/>
          <w:szCs w:val="21"/>
        </w:rPr>
        <w:t>出包情况</w:t>
      </w:r>
      <w:bookmarkEnd w:id="584"/>
    </w:p>
    <w:p w14:paraId="22610E9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本公司受托管理</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承包情况表：</w:t>
      </w:r>
    </w:p>
    <w:p w14:paraId="007952A8" w14:textId="77777777" w:rsidR="00872599" w:rsidRPr="00F614F9" w:rsidRDefault="00000000">
      <w:pPr>
        <w:pStyle w:val="a3"/>
        <w:divId w:val="56755385"/>
        <w:rPr>
          <w:rFonts w:ascii="Times New Roman" w:hAnsi="Times New Roman"/>
          <w:sz w:val="18"/>
          <w:szCs w:val="18"/>
        </w:rPr>
      </w:pPr>
      <w:r w:rsidRPr="00F614F9">
        <w:rPr>
          <w:rFonts w:ascii="Times New Roman" w:hAnsi="Times New Roman" w:hint="eastAsia"/>
          <w:sz w:val="18"/>
          <w:szCs w:val="18"/>
        </w:rPr>
        <w:t>无</w:t>
      </w:r>
    </w:p>
    <w:p w14:paraId="4964B96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本公司委托管理</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出</w:t>
      </w:r>
      <w:proofErr w:type="gramStart"/>
      <w:r w:rsidRPr="00F614F9">
        <w:rPr>
          <w:rFonts w:ascii="Times New Roman" w:eastAsia="宋体" w:hAnsi="Times New Roman" w:cs="宋体"/>
          <w:sz w:val="18"/>
          <w:szCs w:val="18"/>
        </w:rPr>
        <w:t>包情况</w:t>
      </w:r>
      <w:proofErr w:type="gramEnd"/>
      <w:r w:rsidRPr="00F614F9">
        <w:rPr>
          <w:rFonts w:ascii="Times New Roman" w:eastAsia="宋体" w:hAnsi="Times New Roman" w:cs="宋体"/>
          <w:sz w:val="18"/>
          <w:szCs w:val="18"/>
        </w:rPr>
        <w:t>表：</w:t>
      </w:r>
    </w:p>
    <w:p w14:paraId="382A152A" w14:textId="77777777" w:rsidR="00872599" w:rsidRPr="00F614F9" w:rsidRDefault="00000000">
      <w:pPr>
        <w:pStyle w:val="a3"/>
        <w:divId w:val="1583833636"/>
        <w:rPr>
          <w:rFonts w:ascii="Times New Roman" w:hAnsi="Times New Roman"/>
          <w:sz w:val="18"/>
          <w:szCs w:val="18"/>
        </w:rPr>
      </w:pPr>
      <w:r w:rsidRPr="00F614F9">
        <w:rPr>
          <w:rFonts w:ascii="Times New Roman" w:hAnsi="Times New Roman" w:hint="eastAsia"/>
          <w:sz w:val="18"/>
          <w:szCs w:val="18"/>
        </w:rPr>
        <w:t>无</w:t>
      </w:r>
    </w:p>
    <w:p w14:paraId="417AC2A6"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85" w:name="_Toc989427"/>
      <w:r w:rsidRPr="00F614F9">
        <w:rPr>
          <w:rFonts w:ascii="Times New Roman" w:eastAsia="宋体" w:hAnsi="Times New Roman" w:cs="宋体"/>
          <w:b/>
          <w:bCs/>
          <w:szCs w:val="21"/>
        </w:rPr>
        <w:t>（</w:t>
      </w:r>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关联租赁情况</w:t>
      </w:r>
      <w:bookmarkEnd w:id="585"/>
    </w:p>
    <w:p w14:paraId="1D8A44B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本公司作为出租方：</w:t>
      </w:r>
    </w:p>
    <w:p w14:paraId="5C7A8488" w14:textId="77777777" w:rsidR="00295573" w:rsidRPr="00F614F9" w:rsidRDefault="00295573" w:rsidP="00295573">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hint="eastAsia"/>
          <w:sz w:val="18"/>
          <w:szCs w:val="18"/>
        </w:rPr>
        <w:t>无</w:t>
      </w:r>
    </w:p>
    <w:p w14:paraId="633B38C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本公司作为承租方：</w:t>
      </w:r>
    </w:p>
    <w:p w14:paraId="71FD6522"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4"/>
        <w:gridCol w:w="804"/>
        <w:gridCol w:w="804"/>
        <w:gridCol w:w="803"/>
        <w:gridCol w:w="803"/>
        <w:gridCol w:w="803"/>
        <w:gridCol w:w="803"/>
        <w:gridCol w:w="803"/>
        <w:gridCol w:w="803"/>
        <w:gridCol w:w="803"/>
        <w:gridCol w:w="803"/>
        <w:gridCol w:w="803"/>
      </w:tblGrid>
      <w:tr w:rsidR="001D26E7" w:rsidRPr="00F614F9" w14:paraId="0E113ED1" w14:textId="77777777">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11DB07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出租方名称</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B07299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租赁资产种类</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CD311F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简化处理的短期租赁和低价值资产租赁的租金费用（如适用）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866277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未纳入租赁负债计量的可变租赁付款额（如适用）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204290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支付的租金</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4A647C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承担的租赁负债利息支出</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A1DA35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增加的使用权资产</w:t>
            </w:r>
          </w:p>
        </w:tc>
      </w:tr>
      <w:tr w:rsidR="001D26E7" w:rsidRPr="00F614F9" w14:paraId="4485BE27" w14:textId="77777777">
        <w:trPr>
          <w:trHeight w:val="240"/>
        </w:trPr>
        <w:tc>
          <w:tcPr>
            <w:tcW w:w="803" w:type="dxa"/>
            <w:vMerge/>
            <w:tcBorders>
              <w:top w:val="single" w:sz="2" w:space="0" w:color="auto"/>
              <w:left w:val="single" w:sz="2" w:space="0" w:color="auto"/>
              <w:bottom w:val="single" w:sz="2" w:space="0" w:color="auto"/>
              <w:right w:val="single" w:sz="2" w:space="0" w:color="auto"/>
            </w:tcBorders>
            <w:vAlign w:val="center"/>
          </w:tcPr>
          <w:p w14:paraId="46A3A075" w14:textId="77777777" w:rsidR="001D26E7" w:rsidRPr="00F614F9" w:rsidRDefault="001D26E7">
            <w:pPr>
              <w:rPr>
                <w:rFonts w:ascii="Times New Roman" w:hAnsi="Times New Roman"/>
              </w:rPr>
            </w:pPr>
          </w:p>
        </w:tc>
        <w:tc>
          <w:tcPr>
            <w:tcW w:w="803" w:type="dxa"/>
            <w:vMerge/>
            <w:tcBorders>
              <w:top w:val="single" w:sz="2" w:space="0" w:color="auto"/>
              <w:left w:val="single" w:sz="2" w:space="0" w:color="auto"/>
              <w:bottom w:val="single" w:sz="2" w:space="0" w:color="auto"/>
              <w:right w:val="single" w:sz="2" w:space="0" w:color="auto"/>
            </w:tcBorders>
            <w:vAlign w:val="center"/>
          </w:tcPr>
          <w:p w14:paraId="0E4F7BC1" w14:textId="77777777" w:rsidR="001D26E7" w:rsidRPr="00F614F9" w:rsidRDefault="001D26E7">
            <w:pPr>
              <w:rPr>
                <w:rFonts w:ascii="Times New Roman" w:hAnsi="Times New Roman"/>
              </w:rPr>
            </w:pP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1A4B470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4F0759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27DBF57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3C65181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D5940B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3414354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64B956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1CAEFF9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08EEFD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692B06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60C9A727" w14:textId="77777777">
        <w:trPr>
          <w:trHeight w:val="240"/>
        </w:trPr>
        <w:tc>
          <w:tcPr>
            <w:tcW w:w="803" w:type="dxa"/>
            <w:tcBorders>
              <w:top w:val="single" w:sz="2" w:space="0" w:color="auto"/>
              <w:left w:val="single" w:sz="2" w:space="0" w:color="auto"/>
              <w:bottom w:val="single" w:sz="2" w:space="0" w:color="auto"/>
              <w:right w:val="single" w:sz="2" w:space="0" w:color="auto"/>
            </w:tcBorders>
            <w:vAlign w:val="center"/>
          </w:tcPr>
          <w:p w14:paraId="59DCAAA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成都润家商业管理有限公司</w:t>
            </w:r>
          </w:p>
        </w:tc>
        <w:tc>
          <w:tcPr>
            <w:tcW w:w="803" w:type="dxa"/>
            <w:tcBorders>
              <w:top w:val="single" w:sz="2" w:space="0" w:color="auto"/>
              <w:left w:val="single" w:sz="2" w:space="0" w:color="auto"/>
              <w:bottom w:val="single" w:sz="2" w:space="0" w:color="auto"/>
              <w:right w:val="single" w:sz="2" w:space="0" w:color="auto"/>
            </w:tcBorders>
            <w:vAlign w:val="center"/>
          </w:tcPr>
          <w:p w14:paraId="018AAF8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房屋租赁</w:t>
            </w:r>
          </w:p>
        </w:tc>
        <w:tc>
          <w:tcPr>
            <w:tcW w:w="803" w:type="dxa"/>
            <w:tcBorders>
              <w:top w:val="single" w:sz="2" w:space="0" w:color="auto"/>
              <w:left w:val="single" w:sz="2" w:space="0" w:color="auto"/>
              <w:bottom w:val="single" w:sz="2" w:space="0" w:color="auto"/>
              <w:right w:val="single" w:sz="2" w:space="0" w:color="auto"/>
            </w:tcBorders>
            <w:vAlign w:val="center"/>
          </w:tcPr>
          <w:p w14:paraId="407C2A4D"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766FB386"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36470208"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D25CB8A"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0DFE56C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1,536,247.49</w:t>
            </w:r>
          </w:p>
        </w:tc>
        <w:tc>
          <w:tcPr>
            <w:tcW w:w="803" w:type="dxa"/>
            <w:tcBorders>
              <w:top w:val="single" w:sz="2" w:space="0" w:color="auto"/>
              <w:left w:val="single" w:sz="2" w:space="0" w:color="auto"/>
              <w:bottom w:val="single" w:sz="2" w:space="0" w:color="auto"/>
              <w:right w:val="single" w:sz="2" w:space="0" w:color="auto"/>
            </w:tcBorders>
            <w:vAlign w:val="center"/>
          </w:tcPr>
          <w:p w14:paraId="715414D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2,465,582.41</w:t>
            </w:r>
          </w:p>
        </w:tc>
        <w:tc>
          <w:tcPr>
            <w:tcW w:w="803" w:type="dxa"/>
            <w:tcBorders>
              <w:top w:val="single" w:sz="2" w:space="0" w:color="auto"/>
              <w:left w:val="single" w:sz="2" w:space="0" w:color="auto"/>
              <w:bottom w:val="single" w:sz="2" w:space="0" w:color="auto"/>
              <w:right w:val="single" w:sz="2" w:space="0" w:color="auto"/>
            </w:tcBorders>
            <w:vAlign w:val="center"/>
          </w:tcPr>
          <w:p w14:paraId="41B0624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67,559.37</w:t>
            </w:r>
          </w:p>
        </w:tc>
        <w:tc>
          <w:tcPr>
            <w:tcW w:w="803" w:type="dxa"/>
            <w:tcBorders>
              <w:top w:val="single" w:sz="2" w:space="0" w:color="auto"/>
              <w:left w:val="single" w:sz="2" w:space="0" w:color="auto"/>
              <w:bottom w:val="single" w:sz="2" w:space="0" w:color="auto"/>
              <w:right w:val="single" w:sz="2" w:space="0" w:color="auto"/>
            </w:tcBorders>
            <w:vAlign w:val="center"/>
          </w:tcPr>
          <w:p w14:paraId="26B8414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186,464.31</w:t>
            </w:r>
          </w:p>
        </w:tc>
        <w:tc>
          <w:tcPr>
            <w:tcW w:w="803" w:type="dxa"/>
            <w:tcBorders>
              <w:top w:val="single" w:sz="2" w:space="0" w:color="auto"/>
              <w:left w:val="single" w:sz="2" w:space="0" w:color="auto"/>
              <w:bottom w:val="single" w:sz="2" w:space="0" w:color="auto"/>
              <w:right w:val="single" w:sz="2" w:space="0" w:color="auto"/>
            </w:tcBorders>
            <w:vAlign w:val="center"/>
          </w:tcPr>
          <w:p w14:paraId="05ABF1D8"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3069AAC9"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67C1085" w14:textId="77777777">
        <w:trPr>
          <w:trHeight w:val="240"/>
        </w:trPr>
        <w:tc>
          <w:tcPr>
            <w:tcW w:w="803" w:type="dxa"/>
            <w:tcBorders>
              <w:top w:val="single" w:sz="2" w:space="0" w:color="auto"/>
              <w:left w:val="single" w:sz="2" w:space="0" w:color="auto"/>
              <w:bottom w:val="single" w:sz="2" w:space="0" w:color="auto"/>
              <w:right w:val="single" w:sz="2" w:space="0" w:color="auto"/>
            </w:tcBorders>
            <w:vAlign w:val="center"/>
          </w:tcPr>
          <w:p w14:paraId="331E5D9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成都润家商业管理有限公司</w:t>
            </w:r>
          </w:p>
        </w:tc>
        <w:tc>
          <w:tcPr>
            <w:tcW w:w="803" w:type="dxa"/>
            <w:tcBorders>
              <w:top w:val="single" w:sz="2" w:space="0" w:color="auto"/>
              <w:left w:val="single" w:sz="2" w:space="0" w:color="auto"/>
              <w:bottom w:val="single" w:sz="2" w:space="0" w:color="auto"/>
              <w:right w:val="single" w:sz="2" w:space="0" w:color="auto"/>
            </w:tcBorders>
            <w:vAlign w:val="center"/>
          </w:tcPr>
          <w:p w14:paraId="2EF9E65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房屋租赁</w:t>
            </w:r>
          </w:p>
        </w:tc>
        <w:tc>
          <w:tcPr>
            <w:tcW w:w="803" w:type="dxa"/>
            <w:tcBorders>
              <w:top w:val="single" w:sz="2" w:space="0" w:color="auto"/>
              <w:left w:val="single" w:sz="2" w:space="0" w:color="auto"/>
              <w:bottom w:val="single" w:sz="2" w:space="0" w:color="auto"/>
              <w:right w:val="single" w:sz="2" w:space="0" w:color="auto"/>
            </w:tcBorders>
            <w:vAlign w:val="center"/>
          </w:tcPr>
          <w:p w14:paraId="44075C92"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9771E42"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19D0C649"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79539F1B"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180BBEAE"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159ED40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167,759.99</w:t>
            </w:r>
          </w:p>
        </w:tc>
        <w:tc>
          <w:tcPr>
            <w:tcW w:w="803" w:type="dxa"/>
            <w:tcBorders>
              <w:top w:val="single" w:sz="2" w:space="0" w:color="auto"/>
              <w:left w:val="single" w:sz="2" w:space="0" w:color="auto"/>
              <w:bottom w:val="single" w:sz="2" w:space="0" w:color="auto"/>
              <w:right w:val="single" w:sz="2" w:space="0" w:color="auto"/>
            </w:tcBorders>
            <w:vAlign w:val="center"/>
          </w:tcPr>
          <w:p w14:paraId="093900F0"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AE5BC58"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0A776EEA"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22E6AC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378,345.45</w:t>
            </w:r>
          </w:p>
        </w:tc>
      </w:tr>
      <w:tr w:rsidR="001D26E7" w:rsidRPr="00F614F9" w14:paraId="3B4F51DA" w14:textId="77777777">
        <w:trPr>
          <w:trHeight w:val="240"/>
        </w:trPr>
        <w:tc>
          <w:tcPr>
            <w:tcW w:w="803" w:type="dxa"/>
            <w:tcBorders>
              <w:top w:val="single" w:sz="2" w:space="0" w:color="auto"/>
              <w:left w:val="single" w:sz="2" w:space="0" w:color="auto"/>
              <w:bottom w:val="single" w:sz="2" w:space="0" w:color="auto"/>
              <w:right w:val="single" w:sz="2" w:space="0" w:color="auto"/>
            </w:tcBorders>
            <w:vAlign w:val="center"/>
          </w:tcPr>
          <w:p w14:paraId="6092685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成都润家商业管理有限公司</w:t>
            </w:r>
          </w:p>
        </w:tc>
        <w:tc>
          <w:tcPr>
            <w:tcW w:w="803" w:type="dxa"/>
            <w:tcBorders>
              <w:top w:val="single" w:sz="2" w:space="0" w:color="auto"/>
              <w:left w:val="single" w:sz="2" w:space="0" w:color="auto"/>
              <w:bottom w:val="single" w:sz="2" w:space="0" w:color="auto"/>
              <w:right w:val="single" w:sz="2" w:space="0" w:color="auto"/>
            </w:tcBorders>
            <w:vAlign w:val="center"/>
          </w:tcPr>
          <w:p w14:paraId="6BBA1AB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房屋租赁</w:t>
            </w:r>
          </w:p>
        </w:tc>
        <w:tc>
          <w:tcPr>
            <w:tcW w:w="803" w:type="dxa"/>
            <w:tcBorders>
              <w:top w:val="single" w:sz="2" w:space="0" w:color="auto"/>
              <w:left w:val="single" w:sz="2" w:space="0" w:color="auto"/>
              <w:bottom w:val="single" w:sz="2" w:space="0" w:color="auto"/>
              <w:right w:val="single" w:sz="2" w:space="0" w:color="auto"/>
            </w:tcBorders>
            <w:vAlign w:val="center"/>
          </w:tcPr>
          <w:p w14:paraId="5D9FA609"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0B19317"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4764C1CE"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7F6BDD9D"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821D1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327,708.42</w:t>
            </w:r>
          </w:p>
        </w:tc>
        <w:tc>
          <w:tcPr>
            <w:tcW w:w="803" w:type="dxa"/>
            <w:tcBorders>
              <w:top w:val="single" w:sz="2" w:space="0" w:color="auto"/>
              <w:left w:val="single" w:sz="2" w:space="0" w:color="auto"/>
              <w:bottom w:val="single" w:sz="2" w:space="0" w:color="auto"/>
              <w:right w:val="single" w:sz="2" w:space="0" w:color="auto"/>
            </w:tcBorders>
            <w:vAlign w:val="center"/>
          </w:tcPr>
          <w:p w14:paraId="747AE31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206,803.80</w:t>
            </w:r>
          </w:p>
        </w:tc>
        <w:tc>
          <w:tcPr>
            <w:tcW w:w="803" w:type="dxa"/>
            <w:tcBorders>
              <w:top w:val="single" w:sz="2" w:space="0" w:color="auto"/>
              <w:left w:val="single" w:sz="2" w:space="0" w:color="auto"/>
              <w:bottom w:val="single" w:sz="2" w:space="0" w:color="auto"/>
              <w:right w:val="single" w:sz="2" w:space="0" w:color="auto"/>
            </w:tcBorders>
            <w:vAlign w:val="center"/>
          </w:tcPr>
          <w:p w14:paraId="2967C57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73,372.18</w:t>
            </w:r>
          </w:p>
        </w:tc>
        <w:tc>
          <w:tcPr>
            <w:tcW w:w="803" w:type="dxa"/>
            <w:tcBorders>
              <w:top w:val="single" w:sz="2" w:space="0" w:color="auto"/>
              <w:left w:val="single" w:sz="2" w:space="0" w:color="auto"/>
              <w:bottom w:val="single" w:sz="2" w:space="0" w:color="auto"/>
              <w:right w:val="single" w:sz="2" w:space="0" w:color="auto"/>
            </w:tcBorders>
            <w:vAlign w:val="center"/>
          </w:tcPr>
          <w:p w14:paraId="0D0F893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83,366.02</w:t>
            </w:r>
          </w:p>
        </w:tc>
        <w:tc>
          <w:tcPr>
            <w:tcW w:w="803" w:type="dxa"/>
            <w:tcBorders>
              <w:top w:val="single" w:sz="2" w:space="0" w:color="auto"/>
              <w:left w:val="single" w:sz="2" w:space="0" w:color="auto"/>
              <w:bottom w:val="single" w:sz="2" w:space="0" w:color="auto"/>
              <w:right w:val="single" w:sz="2" w:space="0" w:color="auto"/>
            </w:tcBorders>
            <w:vAlign w:val="center"/>
          </w:tcPr>
          <w:p w14:paraId="280F45FE"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CFCDA4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BC820AE" w14:textId="77777777">
        <w:trPr>
          <w:trHeight w:val="240"/>
        </w:trPr>
        <w:tc>
          <w:tcPr>
            <w:tcW w:w="803" w:type="dxa"/>
            <w:tcBorders>
              <w:top w:val="single" w:sz="2" w:space="0" w:color="auto"/>
              <w:left w:val="single" w:sz="2" w:space="0" w:color="auto"/>
              <w:bottom w:val="single" w:sz="2" w:space="0" w:color="auto"/>
              <w:right w:val="single" w:sz="2" w:space="0" w:color="auto"/>
            </w:tcBorders>
            <w:vAlign w:val="center"/>
          </w:tcPr>
          <w:p w14:paraId="6D03F38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成都润家商业管理有限公司</w:t>
            </w:r>
          </w:p>
        </w:tc>
        <w:tc>
          <w:tcPr>
            <w:tcW w:w="803" w:type="dxa"/>
            <w:tcBorders>
              <w:top w:val="single" w:sz="2" w:space="0" w:color="auto"/>
              <w:left w:val="single" w:sz="2" w:space="0" w:color="auto"/>
              <w:bottom w:val="single" w:sz="2" w:space="0" w:color="auto"/>
              <w:right w:val="single" w:sz="2" w:space="0" w:color="auto"/>
            </w:tcBorders>
            <w:vAlign w:val="center"/>
          </w:tcPr>
          <w:p w14:paraId="4BA2925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房屋租赁</w:t>
            </w:r>
          </w:p>
        </w:tc>
        <w:tc>
          <w:tcPr>
            <w:tcW w:w="803" w:type="dxa"/>
            <w:tcBorders>
              <w:top w:val="single" w:sz="2" w:space="0" w:color="auto"/>
              <w:left w:val="single" w:sz="2" w:space="0" w:color="auto"/>
              <w:bottom w:val="single" w:sz="2" w:space="0" w:color="auto"/>
              <w:right w:val="single" w:sz="2" w:space="0" w:color="auto"/>
            </w:tcBorders>
            <w:vAlign w:val="center"/>
          </w:tcPr>
          <w:p w14:paraId="36D580E7"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37BF0193"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35AC2E35"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29757DDF"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1B6AACF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62,648.68</w:t>
            </w:r>
          </w:p>
        </w:tc>
        <w:tc>
          <w:tcPr>
            <w:tcW w:w="803" w:type="dxa"/>
            <w:tcBorders>
              <w:top w:val="single" w:sz="2" w:space="0" w:color="auto"/>
              <w:left w:val="single" w:sz="2" w:space="0" w:color="auto"/>
              <w:bottom w:val="single" w:sz="2" w:space="0" w:color="auto"/>
              <w:right w:val="single" w:sz="2" w:space="0" w:color="auto"/>
            </w:tcBorders>
            <w:vAlign w:val="center"/>
          </w:tcPr>
          <w:p w14:paraId="6679D76B"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6B4A085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5,314.53</w:t>
            </w:r>
          </w:p>
        </w:tc>
        <w:tc>
          <w:tcPr>
            <w:tcW w:w="803" w:type="dxa"/>
            <w:tcBorders>
              <w:top w:val="single" w:sz="2" w:space="0" w:color="auto"/>
              <w:left w:val="single" w:sz="2" w:space="0" w:color="auto"/>
              <w:bottom w:val="single" w:sz="2" w:space="0" w:color="auto"/>
              <w:right w:val="single" w:sz="2" w:space="0" w:color="auto"/>
            </w:tcBorders>
            <w:vAlign w:val="center"/>
          </w:tcPr>
          <w:p w14:paraId="122F2E6E" w14:textId="77777777" w:rsidR="001D26E7" w:rsidRPr="00F614F9" w:rsidRDefault="001D26E7">
            <w:pPr>
              <w:spacing w:line="240" w:lineRule="exact"/>
              <w:jc w:val="right"/>
              <w:rPr>
                <w:rFonts w:ascii="Times New Roman" w:eastAsia="宋体" w:hAnsi="Times New Roman"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3714DB3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292,357.11</w:t>
            </w:r>
          </w:p>
        </w:tc>
        <w:tc>
          <w:tcPr>
            <w:tcW w:w="803" w:type="dxa"/>
            <w:tcBorders>
              <w:top w:val="single" w:sz="2" w:space="0" w:color="auto"/>
              <w:left w:val="single" w:sz="2" w:space="0" w:color="auto"/>
              <w:bottom w:val="single" w:sz="2" w:space="0" w:color="auto"/>
              <w:right w:val="single" w:sz="2" w:space="0" w:color="auto"/>
            </w:tcBorders>
            <w:vAlign w:val="center"/>
          </w:tcPr>
          <w:p w14:paraId="362BDCF3" w14:textId="77777777" w:rsidR="001D26E7" w:rsidRPr="00F614F9" w:rsidRDefault="001D26E7">
            <w:pPr>
              <w:spacing w:line="240" w:lineRule="exact"/>
              <w:jc w:val="right"/>
              <w:rPr>
                <w:rFonts w:ascii="Times New Roman" w:eastAsia="宋体" w:hAnsi="Times New Roman" w:cs="宋体"/>
                <w:sz w:val="18"/>
                <w:szCs w:val="18"/>
              </w:rPr>
            </w:pPr>
          </w:p>
        </w:tc>
      </w:tr>
    </w:tbl>
    <w:p w14:paraId="579A9B3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关联租赁情况说明</w:t>
      </w:r>
    </w:p>
    <w:p w14:paraId="614144F3" w14:textId="77777777" w:rsidR="00872599" w:rsidRPr="00F614F9" w:rsidRDefault="00000000">
      <w:pPr>
        <w:pStyle w:val="a3"/>
        <w:spacing w:before="0" w:beforeAutospacing="0" w:after="0" w:afterAutospacing="0"/>
        <w:ind w:firstLine="360"/>
        <w:jc w:val="both"/>
        <w:divId w:val="1222474944"/>
        <w:rPr>
          <w:rFonts w:ascii="Times New Roman" w:hAnsi="Times New Roman" w:cs="Calibri"/>
          <w:sz w:val="21"/>
          <w:szCs w:val="21"/>
        </w:rPr>
      </w:pPr>
      <w:r w:rsidRPr="00F614F9">
        <w:rPr>
          <w:rFonts w:ascii="Times New Roman" w:hAnsi="Times New Roman" w:cs="Calibri" w:hint="eastAsia"/>
          <w:sz w:val="18"/>
          <w:szCs w:val="18"/>
        </w:rPr>
        <w:t>山东龙大美食股份有限公司租入成都润家商业管理有限公司房屋，租赁起始日为</w:t>
      </w:r>
      <w:r w:rsidRPr="00F614F9">
        <w:rPr>
          <w:rFonts w:ascii="Times New Roman" w:hAnsi="Times New Roman" w:cs="Calibri" w:hint="eastAsia"/>
          <w:sz w:val="18"/>
          <w:szCs w:val="18"/>
        </w:rPr>
        <w:t>2021</w:t>
      </w:r>
      <w:r w:rsidRPr="00F614F9">
        <w:rPr>
          <w:rFonts w:ascii="Times New Roman" w:hAnsi="Times New Roman" w:cs="Calibri" w:hint="eastAsia"/>
          <w:sz w:val="18"/>
          <w:szCs w:val="18"/>
        </w:rPr>
        <w:t>年</w:t>
      </w:r>
      <w:r w:rsidRPr="00F614F9">
        <w:rPr>
          <w:rFonts w:ascii="Times New Roman" w:hAnsi="Times New Roman" w:cs="Calibri" w:hint="eastAsia"/>
          <w:sz w:val="18"/>
          <w:szCs w:val="18"/>
        </w:rPr>
        <w:t>8</w:t>
      </w:r>
      <w:r w:rsidRPr="00F614F9">
        <w:rPr>
          <w:rFonts w:ascii="Times New Roman" w:hAnsi="Times New Roman" w:cs="Calibri" w:hint="eastAsia"/>
          <w:sz w:val="18"/>
          <w:szCs w:val="18"/>
        </w:rPr>
        <w:t>月</w:t>
      </w:r>
      <w:r w:rsidRPr="00F614F9">
        <w:rPr>
          <w:rFonts w:ascii="Times New Roman" w:hAnsi="Times New Roman" w:cs="Calibri" w:hint="eastAsia"/>
          <w:sz w:val="18"/>
          <w:szCs w:val="18"/>
        </w:rPr>
        <w:t>1</w:t>
      </w:r>
      <w:r w:rsidRPr="00F614F9">
        <w:rPr>
          <w:rFonts w:ascii="Times New Roman" w:hAnsi="Times New Roman" w:cs="Calibri" w:hint="eastAsia"/>
          <w:sz w:val="18"/>
          <w:szCs w:val="18"/>
        </w:rPr>
        <w:t>日，租赁终止日为</w:t>
      </w:r>
      <w:r w:rsidRPr="00F614F9">
        <w:rPr>
          <w:rFonts w:ascii="Times New Roman" w:hAnsi="Times New Roman" w:cs="Calibri" w:hint="eastAsia"/>
          <w:sz w:val="18"/>
          <w:szCs w:val="18"/>
        </w:rPr>
        <w:t>2023</w:t>
      </w:r>
      <w:r w:rsidRPr="00F614F9">
        <w:rPr>
          <w:rFonts w:ascii="Times New Roman" w:hAnsi="Times New Roman" w:cs="Calibri" w:hint="eastAsia"/>
          <w:sz w:val="18"/>
          <w:szCs w:val="18"/>
        </w:rPr>
        <w:t>年</w:t>
      </w:r>
      <w:r w:rsidRPr="00F614F9">
        <w:rPr>
          <w:rFonts w:ascii="Times New Roman" w:hAnsi="Times New Roman" w:cs="Calibri" w:hint="eastAsia"/>
          <w:sz w:val="18"/>
          <w:szCs w:val="18"/>
        </w:rPr>
        <w:t>9</w:t>
      </w:r>
      <w:r w:rsidRPr="00F614F9">
        <w:rPr>
          <w:rFonts w:ascii="Times New Roman" w:hAnsi="Times New Roman" w:cs="Calibri" w:hint="eastAsia"/>
          <w:sz w:val="18"/>
          <w:szCs w:val="18"/>
        </w:rPr>
        <w:t>月</w:t>
      </w:r>
      <w:r w:rsidRPr="00F614F9">
        <w:rPr>
          <w:rFonts w:ascii="Times New Roman" w:hAnsi="Times New Roman" w:cs="Calibri" w:hint="eastAsia"/>
          <w:sz w:val="18"/>
          <w:szCs w:val="18"/>
        </w:rPr>
        <w:t>30</w:t>
      </w:r>
      <w:r w:rsidRPr="00F614F9">
        <w:rPr>
          <w:rFonts w:ascii="Times New Roman" w:hAnsi="Times New Roman" w:cs="Calibri" w:hint="eastAsia"/>
          <w:sz w:val="18"/>
          <w:szCs w:val="18"/>
        </w:rPr>
        <w:t>日，租赁费定价依据为市场价格；山东龙大美食股份有限公司租入成都润家商业管理有限公司房屋，租赁起始日为</w:t>
      </w:r>
      <w:r w:rsidRPr="00F614F9">
        <w:rPr>
          <w:rFonts w:ascii="Times New Roman" w:hAnsi="Times New Roman" w:cs="Calibri" w:hint="eastAsia"/>
          <w:sz w:val="18"/>
          <w:szCs w:val="18"/>
        </w:rPr>
        <w:t>2022</w:t>
      </w:r>
      <w:r w:rsidRPr="00F614F9">
        <w:rPr>
          <w:rFonts w:ascii="Times New Roman" w:hAnsi="Times New Roman" w:cs="Calibri" w:hint="eastAsia"/>
          <w:sz w:val="18"/>
          <w:szCs w:val="18"/>
        </w:rPr>
        <w:t>年</w:t>
      </w:r>
      <w:r w:rsidRPr="00F614F9">
        <w:rPr>
          <w:rFonts w:ascii="Times New Roman" w:hAnsi="Times New Roman" w:cs="Calibri" w:hint="eastAsia"/>
          <w:sz w:val="18"/>
          <w:szCs w:val="18"/>
        </w:rPr>
        <w:t>3</w:t>
      </w:r>
      <w:r w:rsidRPr="00F614F9">
        <w:rPr>
          <w:rFonts w:ascii="Times New Roman" w:hAnsi="Times New Roman" w:cs="Calibri" w:hint="eastAsia"/>
          <w:sz w:val="18"/>
          <w:szCs w:val="18"/>
        </w:rPr>
        <w:t>月</w:t>
      </w:r>
      <w:r w:rsidRPr="00F614F9">
        <w:rPr>
          <w:rFonts w:ascii="Times New Roman" w:hAnsi="Times New Roman" w:cs="Calibri" w:hint="eastAsia"/>
          <w:sz w:val="18"/>
          <w:szCs w:val="18"/>
        </w:rPr>
        <w:t>18</w:t>
      </w:r>
      <w:r w:rsidRPr="00F614F9">
        <w:rPr>
          <w:rFonts w:ascii="Times New Roman" w:hAnsi="Times New Roman" w:cs="Calibri" w:hint="eastAsia"/>
          <w:sz w:val="18"/>
          <w:szCs w:val="18"/>
        </w:rPr>
        <w:t>日，租赁终止日为</w:t>
      </w:r>
      <w:r w:rsidRPr="00F614F9">
        <w:rPr>
          <w:rFonts w:ascii="Times New Roman" w:hAnsi="Times New Roman" w:cs="Calibri" w:hint="eastAsia"/>
          <w:sz w:val="18"/>
          <w:szCs w:val="18"/>
        </w:rPr>
        <w:t>2022</w:t>
      </w:r>
      <w:r w:rsidRPr="00F614F9">
        <w:rPr>
          <w:rFonts w:ascii="Times New Roman" w:hAnsi="Times New Roman" w:cs="Calibri" w:hint="eastAsia"/>
          <w:sz w:val="18"/>
          <w:szCs w:val="18"/>
        </w:rPr>
        <w:t>年</w:t>
      </w:r>
      <w:r w:rsidRPr="00F614F9">
        <w:rPr>
          <w:rFonts w:ascii="Times New Roman" w:hAnsi="Times New Roman" w:cs="Calibri" w:hint="eastAsia"/>
          <w:sz w:val="18"/>
          <w:szCs w:val="18"/>
        </w:rPr>
        <w:t>12</w:t>
      </w:r>
      <w:r w:rsidRPr="00F614F9">
        <w:rPr>
          <w:rFonts w:ascii="Times New Roman" w:hAnsi="Times New Roman" w:cs="Calibri" w:hint="eastAsia"/>
          <w:sz w:val="18"/>
          <w:szCs w:val="18"/>
        </w:rPr>
        <w:t>月</w:t>
      </w:r>
      <w:r w:rsidRPr="00F614F9">
        <w:rPr>
          <w:rFonts w:ascii="Times New Roman" w:hAnsi="Times New Roman" w:cs="Calibri" w:hint="eastAsia"/>
          <w:sz w:val="18"/>
          <w:szCs w:val="18"/>
        </w:rPr>
        <w:t>31</w:t>
      </w:r>
      <w:r w:rsidRPr="00F614F9">
        <w:rPr>
          <w:rFonts w:ascii="Times New Roman" w:hAnsi="Times New Roman" w:cs="Calibri" w:hint="eastAsia"/>
          <w:sz w:val="18"/>
          <w:szCs w:val="18"/>
        </w:rPr>
        <w:t>日，租赁费定价依据为市场价格；山东龙大生猪产品工程技术研究有限公司租入成都润家商业管理有限公司房屋，租赁起始日为</w:t>
      </w:r>
      <w:r w:rsidRPr="00F614F9">
        <w:rPr>
          <w:rFonts w:ascii="Times New Roman" w:hAnsi="Times New Roman" w:cs="Calibri" w:hint="eastAsia"/>
          <w:sz w:val="18"/>
          <w:szCs w:val="18"/>
        </w:rPr>
        <w:t>2021</w:t>
      </w:r>
      <w:r w:rsidRPr="00F614F9">
        <w:rPr>
          <w:rFonts w:ascii="Times New Roman" w:hAnsi="Times New Roman" w:cs="Calibri" w:hint="eastAsia"/>
          <w:sz w:val="18"/>
          <w:szCs w:val="18"/>
        </w:rPr>
        <w:t>年</w:t>
      </w:r>
      <w:r w:rsidRPr="00F614F9">
        <w:rPr>
          <w:rFonts w:ascii="Times New Roman" w:hAnsi="Times New Roman" w:cs="Calibri" w:hint="eastAsia"/>
          <w:sz w:val="18"/>
          <w:szCs w:val="18"/>
        </w:rPr>
        <w:t>8</w:t>
      </w:r>
      <w:r w:rsidRPr="00F614F9">
        <w:rPr>
          <w:rFonts w:ascii="Times New Roman" w:hAnsi="Times New Roman" w:cs="Calibri" w:hint="eastAsia"/>
          <w:sz w:val="18"/>
          <w:szCs w:val="18"/>
        </w:rPr>
        <w:t>月</w:t>
      </w:r>
      <w:r w:rsidRPr="00F614F9">
        <w:rPr>
          <w:rFonts w:ascii="Times New Roman" w:hAnsi="Times New Roman" w:cs="Calibri" w:hint="eastAsia"/>
          <w:sz w:val="18"/>
          <w:szCs w:val="18"/>
        </w:rPr>
        <w:t>1</w:t>
      </w:r>
      <w:r w:rsidRPr="00F614F9">
        <w:rPr>
          <w:rFonts w:ascii="Times New Roman" w:hAnsi="Times New Roman" w:cs="Calibri" w:hint="eastAsia"/>
          <w:sz w:val="18"/>
          <w:szCs w:val="18"/>
        </w:rPr>
        <w:t>日，租赁终止日为</w:t>
      </w:r>
      <w:r w:rsidRPr="00F614F9">
        <w:rPr>
          <w:rFonts w:ascii="Times New Roman" w:hAnsi="Times New Roman" w:cs="Calibri" w:hint="eastAsia"/>
          <w:sz w:val="18"/>
          <w:szCs w:val="18"/>
        </w:rPr>
        <w:t>2028</w:t>
      </w:r>
      <w:r w:rsidRPr="00F614F9">
        <w:rPr>
          <w:rFonts w:ascii="Times New Roman" w:hAnsi="Times New Roman" w:cs="Calibri" w:hint="eastAsia"/>
          <w:sz w:val="18"/>
          <w:szCs w:val="18"/>
        </w:rPr>
        <w:t>年</w:t>
      </w:r>
      <w:r w:rsidRPr="00F614F9">
        <w:rPr>
          <w:rFonts w:ascii="Times New Roman" w:hAnsi="Times New Roman" w:cs="Calibri" w:hint="eastAsia"/>
          <w:sz w:val="18"/>
          <w:szCs w:val="18"/>
        </w:rPr>
        <w:t>10</w:t>
      </w:r>
      <w:r w:rsidRPr="00F614F9">
        <w:rPr>
          <w:rFonts w:ascii="Times New Roman" w:hAnsi="Times New Roman" w:cs="Calibri" w:hint="eastAsia"/>
          <w:sz w:val="18"/>
          <w:szCs w:val="18"/>
        </w:rPr>
        <w:t>月</w:t>
      </w:r>
      <w:r w:rsidRPr="00F614F9">
        <w:rPr>
          <w:rFonts w:ascii="Times New Roman" w:hAnsi="Times New Roman" w:cs="Calibri" w:hint="eastAsia"/>
          <w:sz w:val="18"/>
          <w:szCs w:val="18"/>
        </w:rPr>
        <w:t>16</w:t>
      </w:r>
      <w:r w:rsidRPr="00F614F9">
        <w:rPr>
          <w:rFonts w:ascii="Times New Roman" w:hAnsi="Times New Roman" w:cs="Calibri" w:hint="eastAsia"/>
          <w:sz w:val="18"/>
          <w:szCs w:val="18"/>
        </w:rPr>
        <w:t>日，租赁费定价依据为市场价格。四川龙鲜活供应链管理有限公司租入成都润家商业管理有限公司房屋，租赁起始日为</w:t>
      </w:r>
      <w:r w:rsidRPr="00F614F9">
        <w:rPr>
          <w:rFonts w:ascii="Times New Roman" w:hAnsi="Times New Roman" w:cs="Calibri" w:hint="eastAsia"/>
          <w:sz w:val="18"/>
          <w:szCs w:val="18"/>
        </w:rPr>
        <w:t>2023</w:t>
      </w:r>
      <w:r w:rsidRPr="00F614F9">
        <w:rPr>
          <w:rFonts w:ascii="Times New Roman" w:hAnsi="Times New Roman" w:cs="Calibri" w:hint="eastAsia"/>
          <w:sz w:val="18"/>
          <w:szCs w:val="18"/>
        </w:rPr>
        <w:t>年</w:t>
      </w:r>
      <w:r w:rsidRPr="00F614F9">
        <w:rPr>
          <w:rFonts w:ascii="Times New Roman" w:hAnsi="Times New Roman" w:cs="Calibri" w:hint="eastAsia"/>
          <w:sz w:val="18"/>
          <w:szCs w:val="18"/>
        </w:rPr>
        <w:t>1</w:t>
      </w:r>
      <w:r w:rsidRPr="00F614F9">
        <w:rPr>
          <w:rFonts w:ascii="Times New Roman" w:hAnsi="Times New Roman" w:cs="Calibri" w:hint="eastAsia"/>
          <w:sz w:val="18"/>
          <w:szCs w:val="18"/>
        </w:rPr>
        <w:t>月</w:t>
      </w:r>
      <w:r w:rsidRPr="00F614F9">
        <w:rPr>
          <w:rFonts w:ascii="Times New Roman" w:hAnsi="Times New Roman" w:cs="Calibri" w:hint="eastAsia"/>
          <w:sz w:val="18"/>
          <w:szCs w:val="18"/>
        </w:rPr>
        <w:t>1</w:t>
      </w:r>
      <w:r w:rsidRPr="00F614F9">
        <w:rPr>
          <w:rFonts w:ascii="Times New Roman" w:hAnsi="Times New Roman" w:cs="Calibri" w:hint="eastAsia"/>
          <w:sz w:val="18"/>
          <w:szCs w:val="18"/>
        </w:rPr>
        <w:t>日，租赁终止日为</w:t>
      </w:r>
      <w:r w:rsidRPr="00F614F9">
        <w:rPr>
          <w:rFonts w:ascii="Times New Roman" w:hAnsi="Times New Roman" w:cs="Calibri" w:hint="eastAsia"/>
          <w:sz w:val="18"/>
          <w:szCs w:val="18"/>
        </w:rPr>
        <w:t>2023</w:t>
      </w:r>
      <w:r w:rsidRPr="00F614F9">
        <w:rPr>
          <w:rFonts w:ascii="Times New Roman" w:hAnsi="Times New Roman" w:cs="Calibri" w:hint="eastAsia"/>
          <w:sz w:val="18"/>
          <w:szCs w:val="18"/>
        </w:rPr>
        <w:t>年</w:t>
      </w:r>
      <w:r w:rsidRPr="00F614F9">
        <w:rPr>
          <w:rFonts w:ascii="Times New Roman" w:hAnsi="Times New Roman" w:cs="Calibri" w:hint="eastAsia"/>
          <w:sz w:val="18"/>
          <w:szCs w:val="18"/>
        </w:rPr>
        <w:t>06</w:t>
      </w:r>
      <w:r w:rsidRPr="00F614F9">
        <w:rPr>
          <w:rFonts w:ascii="Times New Roman" w:hAnsi="Times New Roman" w:cs="Calibri" w:hint="eastAsia"/>
          <w:sz w:val="18"/>
          <w:szCs w:val="18"/>
        </w:rPr>
        <w:t>月</w:t>
      </w:r>
      <w:r w:rsidRPr="00F614F9">
        <w:rPr>
          <w:rFonts w:ascii="Times New Roman" w:hAnsi="Times New Roman" w:cs="Calibri" w:hint="eastAsia"/>
          <w:sz w:val="18"/>
          <w:szCs w:val="18"/>
        </w:rPr>
        <w:t>30</w:t>
      </w:r>
      <w:r w:rsidRPr="00F614F9">
        <w:rPr>
          <w:rFonts w:ascii="Times New Roman" w:hAnsi="Times New Roman" w:cs="Calibri" w:hint="eastAsia"/>
          <w:sz w:val="18"/>
          <w:szCs w:val="18"/>
        </w:rPr>
        <w:t>日，租赁费定价依据为市场价格。</w:t>
      </w:r>
    </w:p>
    <w:p w14:paraId="1FFF126B"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86" w:name="_Toc989428"/>
      <w:r w:rsidRPr="00F614F9">
        <w:rPr>
          <w:rFonts w:ascii="Times New Roman" w:eastAsia="宋体" w:hAnsi="Times New Roman" w:cs="宋体"/>
          <w:b/>
          <w:bCs/>
          <w:szCs w:val="21"/>
        </w:rPr>
        <w:t>（</w:t>
      </w:r>
      <w:r w:rsidRPr="00F614F9">
        <w:rPr>
          <w:rFonts w:ascii="Times New Roman" w:eastAsia="宋体" w:hAnsi="Times New Roman" w:cs="宋体"/>
          <w:b/>
          <w:bCs/>
          <w:szCs w:val="21"/>
        </w:rPr>
        <w:t>4</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关联担保情况</w:t>
      </w:r>
      <w:bookmarkEnd w:id="586"/>
    </w:p>
    <w:p w14:paraId="17725B2E"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本公司作为担保方</w:t>
      </w:r>
    </w:p>
    <w:p w14:paraId="1920B20E" w14:textId="77777777" w:rsidR="007E1BEF" w:rsidRPr="00F614F9" w:rsidRDefault="007E1BEF" w:rsidP="007E1BEF">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hint="eastAsia"/>
          <w:sz w:val="18"/>
          <w:szCs w:val="18"/>
        </w:rPr>
        <w:t>无</w:t>
      </w:r>
    </w:p>
    <w:p w14:paraId="165B7B5C"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本公司作为被担保方</w:t>
      </w:r>
    </w:p>
    <w:p w14:paraId="4E983BB5"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1D26E7" w:rsidRPr="00F614F9" w14:paraId="04F8521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1376CF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65B196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FE9E1E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A8B325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916A65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担保是否已经履行完毕</w:t>
            </w:r>
          </w:p>
        </w:tc>
      </w:tr>
      <w:tr w:rsidR="001D26E7" w:rsidRPr="00F614F9" w14:paraId="77CDBFDE"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572FBB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672EE1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80,000,000.00</w:t>
            </w:r>
          </w:p>
        </w:tc>
        <w:tc>
          <w:tcPr>
            <w:tcW w:w="1928" w:type="dxa"/>
            <w:tcBorders>
              <w:top w:val="single" w:sz="2" w:space="0" w:color="auto"/>
              <w:left w:val="single" w:sz="2" w:space="0" w:color="auto"/>
              <w:bottom w:val="single" w:sz="2" w:space="0" w:color="auto"/>
              <w:right w:val="single" w:sz="2" w:space="0" w:color="auto"/>
            </w:tcBorders>
            <w:vAlign w:val="center"/>
          </w:tcPr>
          <w:p w14:paraId="0C95DB3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28</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C0857A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71766C1"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5C6F806A"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B46ABF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14040E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16,000,000.00</w:t>
            </w:r>
          </w:p>
        </w:tc>
        <w:tc>
          <w:tcPr>
            <w:tcW w:w="1928" w:type="dxa"/>
            <w:tcBorders>
              <w:top w:val="single" w:sz="2" w:space="0" w:color="auto"/>
              <w:left w:val="single" w:sz="2" w:space="0" w:color="auto"/>
              <w:bottom w:val="single" w:sz="2" w:space="0" w:color="auto"/>
              <w:right w:val="single" w:sz="2" w:space="0" w:color="auto"/>
            </w:tcBorders>
            <w:vAlign w:val="center"/>
          </w:tcPr>
          <w:p w14:paraId="2906C8C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27</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450E1C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DF2F360"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683D8E52"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C9E5AD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220FDF5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15,900,000.00</w:t>
            </w:r>
          </w:p>
        </w:tc>
        <w:tc>
          <w:tcPr>
            <w:tcW w:w="1928" w:type="dxa"/>
            <w:tcBorders>
              <w:top w:val="single" w:sz="2" w:space="0" w:color="auto"/>
              <w:left w:val="single" w:sz="2" w:space="0" w:color="auto"/>
              <w:bottom w:val="single" w:sz="2" w:space="0" w:color="auto"/>
              <w:right w:val="single" w:sz="2" w:space="0" w:color="auto"/>
            </w:tcBorders>
            <w:vAlign w:val="center"/>
          </w:tcPr>
          <w:p w14:paraId="55F8FD4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27</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C1873D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121C98A"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09BF7321"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C89BBC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6AF683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3,000,000.00</w:t>
            </w:r>
          </w:p>
        </w:tc>
        <w:tc>
          <w:tcPr>
            <w:tcW w:w="1928" w:type="dxa"/>
            <w:tcBorders>
              <w:top w:val="single" w:sz="2" w:space="0" w:color="auto"/>
              <w:left w:val="single" w:sz="2" w:space="0" w:color="auto"/>
              <w:bottom w:val="single" w:sz="2" w:space="0" w:color="auto"/>
              <w:right w:val="single" w:sz="2" w:space="0" w:color="auto"/>
            </w:tcBorders>
            <w:vAlign w:val="center"/>
          </w:tcPr>
          <w:p w14:paraId="0E1C281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27</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93BB9C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352C795"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2A57AC5D"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0B05DD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90D5C1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45,100,000.00</w:t>
            </w:r>
          </w:p>
        </w:tc>
        <w:tc>
          <w:tcPr>
            <w:tcW w:w="1928" w:type="dxa"/>
            <w:tcBorders>
              <w:top w:val="single" w:sz="2" w:space="0" w:color="auto"/>
              <w:left w:val="single" w:sz="2" w:space="0" w:color="auto"/>
              <w:bottom w:val="single" w:sz="2" w:space="0" w:color="auto"/>
              <w:right w:val="single" w:sz="2" w:space="0" w:color="auto"/>
            </w:tcBorders>
            <w:vAlign w:val="center"/>
          </w:tcPr>
          <w:p w14:paraId="7093E8A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27</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5503A6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1DCAFF9"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071EB08"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07C3B8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3903CE4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620C804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09</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4A157D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24</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CB2BFBA"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CC8191E"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D526F0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0E7ACA5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17B25C2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09</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08716F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24</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989F6A6"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064235DF"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378736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2EF133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82,800,000.00</w:t>
            </w:r>
          </w:p>
        </w:tc>
        <w:tc>
          <w:tcPr>
            <w:tcW w:w="1928" w:type="dxa"/>
            <w:tcBorders>
              <w:top w:val="single" w:sz="2" w:space="0" w:color="auto"/>
              <w:left w:val="single" w:sz="2" w:space="0" w:color="auto"/>
              <w:bottom w:val="single" w:sz="2" w:space="0" w:color="auto"/>
              <w:right w:val="single" w:sz="2" w:space="0" w:color="auto"/>
            </w:tcBorders>
            <w:vAlign w:val="center"/>
          </w:tcPr>
          <w:p w14:paraId="7651AEF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6B1D7B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FACE10A"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065D0AC9"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5195B7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28D5D71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67,200,000.00</w:t>
            </w:r>
          </w:p>
        </w:tc>
        <w:tc>
          <w:tcPr>
            <w:tcW w:w="1928" w:type="dxa"/>
            <w:tcBorders>
              <w:top w:val="single" w:sz="2" w:space="0" w:color="auto"/>
              <w:left w:val="single" w:sz="2" w:space="0" w:color="auto"/>
              <w:bottom w:val="single" w:sz="2" w:space="0" w:color="auto"/>
              <w:right w:val="single" w:sz="2" w:space="0" w:color="auto"/>
            </w:tcBorders>
            <w:vAlign w:val="center"/>
          </w:tcPr>
          <w:p w14:paraId="2EA878E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13</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033D61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13</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FA920D3"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02BABA0D"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A73631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77AE1B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70,000,000.00</w:t>
            </w:r>
          </w:p>
        </w:tc>
        <w:tc>
          <w:tcPr>
            <w:tcW w:w="1928" w:type="dxa"/>
            <w:tcBorders>
              <w:top w:val="single" w:sz="2" w:space="0" w:color="auto"/>
              <w:left w:val="single" w:sz="2" w:space="0" w:color="auto"/>
              <w:bottom w:val="single" w:sz="2" w:space="0" w:color="auto"/>
              <w:right w:val="single" w:sz="2" w:space="0" w:color="auto"/>
            </w:tcBorders>
            <w:vAlign w:val="center"/>
          </w:tcPr>
          <w:p w14:paraId="6D6DD0F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8F60B1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24</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21535B9"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2B50F19B"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0802EE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6094753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3A6253C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9345F4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93898F7"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0E39593D"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B5191C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6352BA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77DC561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16</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AE0D7C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14</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EC2B226"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5605648A"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9212F5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1921B63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3D58D3E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16</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3C6BA1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14</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9DD9E0E"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7F4A9F54"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7EED9B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1123750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184CAFA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16</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0FBA96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14</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19DD6E9"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62ACA964"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CCF4EE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6813CC3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5A8E260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16</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A55E8C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14</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CCF2ADF"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67DD5ABD"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4EB4F4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224C0FA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9,990,000.00</w:t>
            </w:r>
          </w:p>
        </w:tc>
        <w:tc>
          <w:tcPr>
            <w:tcW w:w="1928" w:type="dxa"/>
            <w:tcBorders>
              <w:top w:val="single" w:sz="2" w:space="0" w:color="auto"/>
              <w:left w:val="single" w:sz="2" w:space="0" w:color="auto"/>
              <w:bottom w:val="single" w:sz="2" w:space="0" w:color="auto"/>
              <w:right w:val="single" w:sz="2" w:space="0" w:color="auto"/>
            </w:tcBorders>
            <w:vAlign w:val="center"/>
          </w:tcPr>
          <w:p w14:paraId="5B009B5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153F1C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C6F60B2"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5060298"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1EEE8D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3567545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5,500,000.00</w:t>
            </w:r>
          </w:p>
        </w:tc>
        <w:tc>
          <w:tcPr>
            <w:tcW w:w="1928" w:type="dxa"/>
            <w:tcBorders>
              <w:top w:val="single" w:sz="2" w:space="0" w:color="auto"/>
              <w:left w:val="single" w:sz="2" w:space="0" w:color="auto"/>
              <w:bottom w:val="single" w:sz="2" w:space="0" w:color="auto"/>
              <w:right w:val="single" w:sz="2" w:space="0" w:color="auto"/>
            </w:tcBorders>
            <w:vAlign w:val="center"/>
          </w:tcPr>
          <w:p w14:paraId="581AD44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84ED01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2918E1F"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80CD1A2"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29E581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FA5254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5D94930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7D932C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27E082F"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187BE9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ED3168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731441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6B29C8F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27</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D0EC00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26</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9EAD8B0"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0A90F4FC"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FA77B0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2726882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0C4292F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10BFFA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09</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45C0DF9"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5943026E"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6130DD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4069D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1CD965F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13</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B2A0EC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7858B6E"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6DB71EBC"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AC11F6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DDDE23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4,000,000.00</w:t>
            </w:r>
          </w:p>
        </w:tc>
        <w:tc>
          <w:tcPr>
            <w:tcW w:w="1928" w:type="dxa"/>
            <w:tcBorders>
              <w:top w:val="single" w:sz="2" w:space="0" w:color="auto"/>
              <w:left w:val="single" w:sz="2" w:space="0" w:color="auto"/>
              <w:bottom w:val="single" w:sz="2" w:space="0" w:color="auto"/>
              <w:right w:val="single" w:sz="2" w:space="0" w:color="auto"/>
            </w:tcBorders>
            <w:vAlign w:val="center"/>
          </w:tcPr>
          <w:p w14:paraId="243D573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0489C8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CA98098"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6D7A054A"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522F22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8AFC21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6,000,000.00</w:t>
            </w:r>
          </w:p>
        </w:tc>
        <w:tc>
          <w:tcPr>
            <w:tcW w:w="1928" w:type="dxa"/>
            <w:tcBorders>
              <w:top w:val="single" w:sz="2" w:space="0" w:color="auto"/>
              <w:left w:val="single" w:sz="2" w:space="0" w:color="auto"/>
              <w:bottom w:val="single" w:sz="2" w:space="0" w:color="auto"/>
              <w:right w:val="single" w:sz="2" w:space="0" w:color="auto"/>
            </w:tcBorders>
            <w:vAlign w:val="center"/>
          </w:tcPr>
          <w:p w14:paraId="19B6C27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24</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34FAA6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22</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248C9FE"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676B4A04"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D29D70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92A033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6BCA950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24</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5C3CF8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22</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3FE8CC5"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636C7343"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A035D3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0E1CA23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7B87BC2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14AB38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22</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9D74B31"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05FF4D6A"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28EB0B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71E8BD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79E685E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22</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BABB28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4EBD2B6"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62427652"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E497EF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49806E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674D582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17</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D3ADB2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5F56577"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2D1341B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AC21DC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烟台龙大养殖</w:t>
            </w:r>
            <w:r w:rsidRPr="00F614F9">
              <w:rPr>
                <w:rFonts w:ascii="Times New Roman" w:eastAsia="宋体" w:hAnsi="Times New Roman" w:cs="宋体"/>
                <w:sz w:val="18"/>
                <w:szCs w:val="18"/>
              </w:rPr>
              <w:lastRenderedPageBreak/>
              <w:t>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73FE1E8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lastRenderedPageBreak/>
              <w:t>4,500,000.00</w:t>
            </w:r>
          </w:p>
        </w:tc>
        <w:tc>
          <w:tcPr>
            <w:tcW w:w="1928" w:type="dxa"/>
            <w:tcBorders>
              <w:top w:val="single" w:sz="2" w:space="0" w:color="auto"/>
              <w:left w:val="single" w:sz="2" w:space="0" w:color="auto"/>
              <w:bottom w:val="single" w:sz="2" w:space="0" w:color="auto"/>
              <w:right w:val="single" w:sz="2" w:space="0" w:color="auto"/>
            </w:tcBorders>
            <w:vAlign w:val="center"/>
          </w:tcPr>
          <w:p w14:paraId="76E6382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905D80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03E9CD3"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7D0F7B2"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6CCD51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0B176B0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87,500,000.00</w:t>
            </w:r>
          </w:p>
        </w:tc>
        <w:tc>
          <w:tcPr>
            <w:tcW w:w="1928" w:type="dxa"/>
            <w:tcBorders>
              <w:top w:val="single" w:sz="2" w:space="0" w:color="auto"/>
              <w:left w:val="single" w:sz="2" w:space="0" w:color="auto"/>
              <w:bottom w:val="single" w:sz="2" w:space="0" w:color="auto"/>
              <w:right w:val="single" w:sz="2" w:space="0" w:color="auto"/>
            </w:tcBorders>
            <w:vAlign w:val="center"/>
          </w:tcPr>
          <w:p w14:paraId="1C71FB0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BB835A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2026</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26</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4F00A89"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053C9EC"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6BB3DE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莱阳市</w:t>
            </w:r>
            <w:proofErr w:type="gramStart"/>
            <w:r w:rsidRPr="00F614F9">
              <w:rPr>
                <w:rFonts w:ascii="Times New Roman" w:eastAsia="宋体" w:hAnsi="Times New Roman" w:cs="宋体"/>
                <w:sz w:val="18"/>
                <w:szCs w:val="18"/>
              </w:rPr>
              <w:t>悦果堂果蔬食品</w:t>
            </w:r>
            <w:proofErr w:type="gramEnd"/>
            <w:r w:rsidRPr="00F614F9">
              <w:rPr>
                <w:rFonts w:ascii="Times New Roman" w:eastAsia="宋体" w:hAnsi="Times New Roman" w:cs="宋体"/>
                <w:sz w:val="18"/>
                <w:szCs w:val="18"/>
              </w:rPr>
              <w:t>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842C9B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47,000,000.00</w:t>
            </w:r>
          </w:p>
        </w:tc>
        <w:tc>
          <w:tcPr>
            <w:tcW w:w="1928" w:type="dxa"/>
            <w:tcBorders>
              <w:top w:val="single" w:sz="2" w:space="0" w:color="auto"/>
              <w:left w:val="single" w:sz="2" w:space="0" w:color="auto"/>
              <w:bottom w:val="single" w:sz="2" w:space="0" w:color="auto"/>
              <w:right w:val="single" w:sz="2" w:space="0" w:color="auto"/>
            </w:tcBorders>
            <w:vAlign w:val="center"/>
          </w:tcPr>
          <w:p w14:paraId="45425D6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29</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E06416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28</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1074E4D"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21897E79"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976369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7718AF6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60,000,000.00</w:t>
            </w:r>
          </w:p>
        </w:tc>
        <w:tc>
          <w:tcPr>
            <w:tcW w:w="1928" w:type="dxa"/>
            <w:tcBorders>
              <w:top w:val="single" w:sz="2" w:space="0" w:color="auto"/>
              <w:left w:val="single" w:sz="2" w:space="0" w:color="auto"/>
              <w:bottom w:val="single" w:sz="2" w:space="0" w:color="auto"/>
              <w:right w:val="single" w:sz="2" w:space="0" w:color="auto"/>
            </w:tcBorders>
            <w:vAlign w:val="center"/>
          </w:tcPr>
          <w:p w14:paraId="090E8C0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E1F325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DDA7A0F"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639CCA29"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2C5A67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638F4FF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0BFC57F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AC70A9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0ED888F"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741B3623"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1047C9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742D2DD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70,000,000.00</w:t>
            </w:r>
          </w:p>
        </w:tc>
        <w:tc>
          <w:tcPr>
            <w:tcW w:w="1928" w:type="dxa"/>
            <w:tcBorders>
              <w:top w:val="single" w:sz="2" w:space="0" w:color="auto"/>
              <w:left w:val="single" w:sz="2" w:space="0" w:color="auto"/>
              <w:bottom w:val="single" w:sz="2" w:space="0" w:color="auto"/>
              <w:right w:val="single" w:sz="2" w:space="0" w:color="auto"/>
            </w:tcBorders>
            <w:vAlign w:val="center"/>
          </w:tcPr>
          <w:p w14:paraId="04452BD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2021</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CAE8AC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2026</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26</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F0EC151"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06522CA0"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2F8C45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2C911F8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9,000,000.00</w:t>
            </w:r>
          </w:p>
        </w:tc>
        <w:tc>
          <w:tcPr>
            <w:tcW w:w="1928" w:type="dxa"/>
            <w:tcBorders>
              <w:top w:val="single" w:sz="2" w:space="0" w:color="auto"/>
              <w:left w:val="single" w:sz="2" w:space="0" w:color="auto"/>
              <w:bottom w:val="single" w:sz="2" w:space="0" w:color="auto"/>
              <w:right w:val="single" w:sz="2" w:space="0" w:color="auto"/>
            </w:tcBorders>
            <w:vAlign w:val="center"/>
          </w:tcPr>
          <w:p w14:paraId="5673B41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11</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FD1CB9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E7B96BA"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50C38B21"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9869B7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C0603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60,000,000.00</w:t>
            </w:r>
          </w:p>
        </w:tc>
        <w:tc>
          <w:tcPr>
            <w:tcW w:w="1928" w:type="dxa"/>
            <w:tcBorders>
              <w:top w:val="single" w:sz="2" w:space="0" w:color="auto"/>
              <w:left w:val="single" w:sz="2" w:space="0" w:color="auto"/>
              <w:bottom w:val="single" w:sz="2" w:space="0" w:color="auto"/>
              <w:right w:val="single" w:sz="2" w:space="0" w:color="auto"/>
            </w:tcBorders>
            <w:vAlign w:val="center"/>
          </w:tcPr>
          <w:p w14:paraId="6DB03B7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29</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CE5A54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28</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102BAC3"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87D8891"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8BD44F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100C42C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6,608,509.83</w:t>
            </w:r>
          </w:p>
        </w:tc>
        <w:tc>
          <w:tcPr>
            <w:tcW w:w="1928" w:type="dxa"/>
            <w:tcBorders>
              <w:top w:val="single" w:sz="2" w:space="0" w:color="auto"/>
              <w:left w:val="single" w:sz="2" w:space="0" w:color="auto"/>
              <w:bottom w:val="single" w:sz="2" w:space="0" w:color="auto"/>
              <w:right w:val="single" w:sz="2" w:space="0" w:color="auto"/>
            </w:tcBorders>
            <w:vAlign w:val="center"/>
          </w:tcPr>
          <w:p w14:paraId="416A8DD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FD0E1E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23</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B7812FE"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5E9CD93E"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2ED0AE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2AC80CC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3,391,490.17</w:t>
            </w:r>
          </w:p>
        </w:tc>
        <w:tc>
          <w:tcPr>
            <w:tcW w:w="1928" w:type="dxa"/>
            <w:tcBorders>
              <w:top w:val="single" w:sz="2" w:space="0" w:color="auto"/>
              <w:left w:val="single" w:sz="2" w:space="0" w:color="auto"/>
              <w:bottom w:val="single" w:sz="2" w:space="0" w:color="auto"/>
              <w:right w:val="single" w:sz="2" w:space="0" w:color="auto"/>
            </w:tcBorders>
            <w:vAlign w:val="center"/>
          </w:tcPr>
          <w:p w14:paraId="579FAF8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05</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41D711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23</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8891950"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54A5DB58"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2470EC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3B0F517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55B54C9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7495C6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02</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46AEA28"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1F73EDF0"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9DC9E8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1FB9850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35,000,000.00</w:t>
            </w:r>
          </w:p>
        </w:tc>
        <w:tc>
          <w:tcPr>
            <w:tcW w:w="1928" w:type="dxa"/>
            <w:tcBorders>
              <w:top w:val="single" w:sz="2" w:space="0" w:color="auto"/>
              <w:left w:val="single" w:sz="2" w:space="0" w:color="auto"/>
              <w:bottom w:val="single" w:sz="2" w:space="0" w:color="auto"/>
              <w:right w:val="single" w:sz="2" w:space="0" w:color="auto"/>
            </w:tcBorders>
            <w:vAlign w:val="center"/>
          </w:tcPr>
          <w:p w14:paraId="2B31CA3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27</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0287EC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C951C85"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5941355"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D7BDEF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424735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462,900.00</w:t>
            </w:r>
          </w:p>
        </w:tc>
        <w:tc>
          <w:tcPr>
            <w:tcW w:w="1928" w:type="dxa"/>
            <w:tcBorders>
              <w:top w:val="single" w:sz="2" w:space="0" w:color="auto"/>
              <w:left w:val="single" w:sz="2" w:space="0" w:color="auto"/>
              <w:bottom w:val="single" w:sz="2" w:space="0" w:color="auto"/>
              <w:right w:val="single" w:sz="2" w:space="0" w:color="auto"/>
            </w:tcBorders>
            <w:vAlign w:val="center"/>
          </w:tcPr>
          <w:p w14:paraId="156A3F8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28</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814E7B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50AACCD"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28E7B869"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CB67C1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FC2905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737,100.00</w:t>
            </w:r>
          </w:p>
        </w:tc>
        <w:tc>
          <w:tcPr>
            <w:tcW w:w="1928" w:type="dxa"/>
            <w:tcBorders>
              <w:top w:val="single" w:sz="2" w:space="0" w:color="auto"/>
              <w:left w:val="single" w:sz="2" w:space="0" w:color="auto"/>
              <w:bottom w:val="single" w:sz="2" w:space="0" w:color="auto"/>
              <w:right w:val="single" w:sz="2" w:space="0" w:color="auto"/>
            </w:tcBorders>
            <w:vAlign w:val="center"/>
          </w:tcPr>
          <w:p w14:paraId="462900B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07</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27</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E0E8BB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04</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22</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F1377CC"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4839A9F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C9A4BD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265B693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5,800,000.00</w:t>
            </w:r>
          </w:p>
        </w:tc>
        <w:tc>
          <w:tcPr>
            <w:tcW w:w="1928" w:type="dxa"/>
            <w:tcBorders>
              <w:top w:val="single" w:sz="2" w:space="0" w:color="auto"/>
              <w:left w:val="single" w:sz="2" w:space="0" w:color="auto"/>
              <w:bottom w:val="single" w:sz="2" w:space="0" w:color="auto"/>
              <w:right w:val="single" w:sz="2" w:space="0" w:color="auto"/>
            </w:tcBorders>
            <w:vAlign w:val="center"/>
          </w:tcPr>
          <w:p w14:paraId="1BDF559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09</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22</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1E3650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22</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BA8DD2B"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387059E9"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73A3F9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0A5B1E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83,000,000.00</w:t>
            </w:r>
          </w:p>
        </w:tc>
        <w:tc>
          <w:tcPr>
            <w:tcW w:w="1928" w:type="dxa"/>
            <w:tcBorders>
              <w:top w:val="single" w:sz="2" w:space="0" w:color="auto"/>
              <w:left w:val="single" w:sz="2" w:space="0" w:color="auto"/>
              <w:bottom w:val="single" w:sz="2" w:space="0" w:color="auto"/>
              <w:right w:val="single" w:sz="2" w:space="0" w:color="auto"/>
            </w:tcBorders>
            <w:vAlign w:val="center"/>
          </w:tcPr>
          <w:p w14:paraId="2FA60FE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0BC105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9CBBF23"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0C9373C4"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936225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3CCFAC7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75,000,000.00</w:t>
            </w:r>
          </w:p>
        </w:tc>
        <w:tc>
          <w:tcPr>
            <w:tcW w:w="1928" w:type="dxa"/>
            <w:tcBorders>
              <w:top w:val="single" w:sz="2" w:space="0" w:color="auto"/>
              <w:left w:val="single" w:sz="2" w:space="0" w:color="auto"/>
              <w:bottom w:val="single" w:sz="2" w:space="0" w:color="auto"/>
              <w:right w:val="single" w:sz="2" w:space="0" w:color="auto"/>
            </w:tcBorders>
            <w:vAlign w:val="center"/>
          </w:tcPr>
          <w:p w14:paraId="0617EA5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08</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24</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E8592F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09</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23</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5634679"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24F1F1B6"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FCCD79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0773D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397F578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28</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54EA65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54F796C"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35636EB1"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0D2A5E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C33D0D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7,000,000.00</w:t>
            </w:r>
          </w:p>
        </w:tc>
        <w:tc>
          <w:tcPr>
            <w:tcW w:w="1928" w:type="dxa"/>
            <w:tcBorders>
              <w:top w:val="single" w:sz="2" w:space="0" w:color="auto"/>
              <w:left w:val="single" w:sz="2" w:space="0" w:color="auto"/>
              <w:bottom w:val="single" w:sz="2" w:space="0" w:color="auto"/>
              <w:right w:val="single" w:sz="2" w:space="0" w:color="auto"/>
            </w:tcBorders>
            <w:vAlign w:val="center"/>
          </w:tcPr>
          <w:p w14:paraId="4ADF588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28</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553915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25</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1FB0109"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08082D2C"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29A4D8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349CE3A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14:paraId="01D531B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28</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AE102F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26</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53C5EA8"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09429AA5"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CB9B82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3BDB128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7,000,000.00</w:t>
            </w:r>
          </w:p>
        </w:tc>
        <w:tc>
          <w:tcPr>
            <w:tcW w:w="1928" w:type="dxa"/>
            <w:tcBorders>
              <w:top w:val="single" w:sz="2" w:space="0" w:color="auto"/>
              <w:left w:val="single" w:sz="2" w:space="0" w:color="auto"/>
              <w:bottom w:val="single" w:sz="2" w:space="0" w:color="auto"/>
              <w:right w:val="single" w:sz="2" w:space="0" w:color="auto"/>
            </w:tcBorders>
            <w:vAlign w:val="center"/>
          </w:tcPr>
          <w:p w14:paraId="5E6294C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6F2073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E0C4F15"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38E944D9"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B33606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D05BBD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7,000,000.00</w:t>
            </w:r>
          </w:p>
        </w:tc>
        <w:tc>
          <w:tcPr>
            <w:tcW w:w="1928" w:type="dxa"/>
            <w:tcBorders>
              <w:top w:val="single" w:sz="2" w:space="0" w:color="auto"/>
              <w:left w:val="single" w:sz="2" w:space="0" w:color="auto"/>
              <w:bottom w:val="single" w:sz="2" w:space="0" w:color="auto"/>
              <w:right w:val="single" w:sz="2" w:space="0" w:color="auto"/>
            </w:tcBorders>
            <w:vAlign w:val="center"/>
          </w:tcPr>
          <w:p w14:paraId="4004D77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4CAC35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1B431DA"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79AF1FCF"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8030BB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7E4CE2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21,000,000.00</w:t>
            </w:r>
          </w:p>
        </w:tc>
        <w:tc>
          <w:tcPr>
            <w:tcW w:w="1928" w:type="dxa"/>
            <w:tcBorders>
              <w:top w:val="single" w:sz="2" w:space="0" w:color="auto"/>
              <w:left w:val="single" w:sz="2" w:space="0" w:color="auto"/>
              <w:bottom w:val="single" w:sz="2" w:space="0" w:color="auto"/>
              <w:right w:val="single" w:sz="2" w:space="0" w:color="auto"/>
            </w:tcBorders>
            <w:vAlign w:val="center"/>
          </w:tcPr>
          <w:p w14:paraId="7FC6BA1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18</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5DDD61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A6B83E1"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29F223DE"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E64369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758E47F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46,350,000.00</w:t>
            </w:r>
          </w:p>
        </w:tc>
        <w:tc>
          <w:tcPr>
            <w:tcW w:w="1928" w:type="dxa"/>
            <w:tcBorders>
              <w:top w:val="single" w:sz="2" w:space="0" w:color="auto"/>
              <w:left w:val="single" w:sz="2" w:space="0" w:color="auto"/>
              <w:bottom w:val="single" w:sz="2" w:space="0" w:color="auto"/>
              <w:right w:val="single" w:sz="2" w:space="0" w:color="auto"/>
            </w:tcBorders>
            <w:vAlign w:val="center"/>
          </w:tcPr>
          <w:p w14:paraId="6E6ADEA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20</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4EBF73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2025</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06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19</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B78F23F"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7EB66BA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956D25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蓝润发展控股集团有限公司</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山东龙大美食股份有限公司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22D0338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350,000,000.00</w:t>
            </w:r>
          </w:p>
        </w:tc>
        <w:tc>
          <w:tcPr>
            <w:tcW w:w="1928" w:type="dxa"/>
            <w:tcBorders>
              <w:top w:val="single" w:sz="2" w:space="0" w:color="auto"/>
              <w:left w:val="single" w:sz="2" w:space="0" w:color="auto"/>
              <w:bottom w:val="single" w:sz="2" w:space="0" w:color="auto"/>
              <w:right w:val="single" w:sz="2" w:space="0" w:color="auto"/>
            </w:tcBorders>
            <w:vAlign w:val="center"/>
          </w:tcPr>
          <w:p w14:paraId="2855159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26</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32AE68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2024</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10</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24</w:t>
            </w:r>
            <w:r w:rsidRPr="00F614F9">
              <w:rPr>
                <w:rFonts w:ascii="Times New Roman" w:eastAsia="宋体" w:hAnsi="Times New Roman"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FDA8F3F" w14:textId="77777777" w:rsidR="001D26E7" w:rsidRPr="00F614F9" w:rsidRDefault="00000000" w:rsidP="007E1BEF">
            <w:pPr>
              <w:spacing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否</w:t>
            </w:r>
          </w:p>
        </w:tc>
      </w:tr>
      <w:tr w:rsidR="001D26E7" w:rsidRPr="00F614F9" w14:paraId="26B92576"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74CEAF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1CDEE4F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1,621,840,000.00</w:t>
            </w:r>
          </w:p>
        </w:tc>
        <w:tc>
          <w:tcPr>
            <w:tcW w:w="1928" w:type="dxa"/>
            <w:tcBorders>
              <w:top w:val="single" w:sz="2" w:space="0" w:color="auto"/>
              <w:left w:val="single" w:sz="2" w:space="0" w:color="auto"/>
              <w:bottom w:val="single" w:sz="2" w:space="0" w:color="auto"/>
              <w:right w:val="single" w:sz="2" w:space="0" w:color="auto"/>
            </w:tcBorders>
            <w:vAlign w:val="center"/>
          </w:tcPr>
          <w:p w14:paraId="2E02AC67" w14:textId="77777777" w:rsidR="001D26E7" w:rsidRPr="00F614F9" w:rsidRDefault="001D26E7">
            <w:pPr>
              <w:spacing w:line="240" w:lineRule="exac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79CA8A3" w14:textId="77777777" w:rsidR="001D26E7" w:rsidRPr="00F614F9" w:rsidRDefault="001D26E7">
            <w:pPr>
              <w:spacing w:line="240" w:lineRule="exac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FFE380E" w14:textId="77777777" w:rsidR="001D26E7" w:rsidRPr="00F614F9" w:rsidRDefault="001D26E7">
            <w:pPr>
              <w:spacing w:line="240" w:lineRule="exact"/>
              <w:rPr>
                <w:rFonts w:ascii="Times New Roman" w:eastAsia="宋体" w:hAnsi="Times New Roman" w:cs="宋体"/>
                <w:sz w:val="18"/>
                <w:szCs w:val="18"/>
              </w:rPr>
            </w:pPr>
          </w:p>
        </w:tc>
      </w:tr>
    </w:tbl>
    <w:p w14:paraId="27DEF86F"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关联担保情况说明</w:t>
      </w:r>
    </w:p>
    <w:p w14:paraId="2FED88A0" w14:textId="77777777" w:rsidR="00872599" w:rsidRPr="00F614F9" w:rsidRDefault="00000000">
      <w:pPr>
        <w:pStyle w:val="a3"/>
        <w:divId w:val="553271985"/>
        <w:rPr>
          <w:rFonts w:ascii="Times New Roman" w:hAnsi="Times New Roman"/>
          <w:sz w:val="18"/>
          <w:szCs w:val="18"/>
        </w:rPr>
      </w:pPr>
      <w:r w:rsidRPr="00F614F9">
        <w:rPr>
          <w:rFonts w:ascii="Times New Roman" w:hAnsi="Times New Roman" w:hint="eastAsia"/>
          <w:sz w:val="18"/>
          <w:szCs w:val="18"/>
        </w:rPr>
        <w:t>无</w:t>
      </w:r>
    </w:p>
    <w:p w14:paraId="469F34D9"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87" w:name="_Toc989429"/>
      <w:r w:rsidRPr="00F614F9">
        <w:rPr>
          <w:rFonts w:ascii="Times New Roman" w:eastAsia="宋体" w:hAnsi="Times New Roman" w:cs="宋体"/>
          <w:b/>
          <w:bCs/>
          <w:szCs w:val="21"/>
        </w:rPr>
        <w:t>（</w:t>
      </w:r>
      <w:r w:rsidRPr="00F614F9">
        <w:rPr>
          <w:rFonts w:ascii="Times New Roman" w:eastAsia="宋体" w:hAnsi="Times New Roman" w:cs="宋体"/>
          <w:b/>
          <w:bCs/>
          <w:szCs w:val="21"/>
        </w:rPr>
        <w:t>5</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关联方资金拆借</w:t>
      </w:r>
      <w:bookmarkEnd w:id="587"/>
    </w:p>
    <w:p w14:paraId="64BB30B0" w14:textId="77777777" w:rsidR="007E1BEF" w:rsidRPr="00F614F9" w:rsidRDefault="007E1BEF" w:rsidP="007E1BEF">
      <w:pPr>
        <w:spacing w:before="40" w:after="40" w:line="240" w:lineRule="exact"/>
        <w:ind w:firstLineChars="200" w:firstLine="360"/>
        <w:rPr>
          <w:rFonts w:ascii="Times New Roman" w:eastAsia="宋体" w:hAnsi="Times New Roman" w:cs="宋体"/>
          <w:sz w:val="18"/>
          <w:szCs w:val="18"/>
        </w:rPr>
      </w:pPr>
      <w:bookmarkStart w:id="588" w:name="_Toc989430"/>
      <w:r w:rsidRPr="00F614F9">
        <w:rPr>
          <w:rFonts w:ascii="Times New Roman" w:eastAsia="宋体" w:hAnsi="Times New Roman" w:cs="宋体" w:hint="eastAsia"/>
          <w:sz w:val="18"/>
          <w:szCs w:val="18"/>
        </w:rPr>
        <w:t>无</w:t>
      </w:r>
    </w:p>
    <w:p w14:paraId="7C47B131"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r w:rsidRPr="00F614F9">
        <w:rPr>
          <w:rFonts w:ascii="Times New Roman" w:eastAsia="宋体" w:hAnsi="Times New Roman" w:cs="宋体"/>
          <w:b/>
          <w:bCs/>
          <w:szCs w:val="21"/>
        </w:rPr>
        <w:t>（</w:t>
      </w:r>
      <w:r w:rsidRPr="00F614F9">
        <w:rPr>
          <w:rFonts w:ascii="Times New Roman" w:eastAsia="宋体" w:hAnsi="Times New Roman" w:cs="宋体"/>
          <w:b/>
          <w:bCs/>
          <w:szCs w:val="21"/>
        </w:rPr>
        <w:t>6</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关联方资产转让、债务重组情况</w:t>
      </w:r>
      <w:bookmarkEnd w:id="588"/>
    </w:p>
    <w:p w14:paraId="65659C29" w14:textId="77777777" w:rsidR="007E1BEF" w:rsidRPr="00F614F9" w:rsidRDefault="007E1BEF" w:rsidP="007E1BEF">
      <w:pPr>
        <w:spacing w:before="40" w:after="40" w:line="240" w:lineRule="exact"/>
        <w:ind w:firstLineChars="200" w:firstLine="360"/>
        <w:rPr>
          <w:rFonts w:ascii="Times New Roman" w:eastAsia="宋体" w:hAnsi="Times New Roman" w:cs="宋体"/>
          <w:sz w:val="18"/>
          <w:szCs w:val="18"/>
        </w:rPr>
      </w:pPr>
      <w:bookmarkStart w:id="589" w:name="_Toc989431"/>
      <w:r w:rsidRPr="00F614F9">
        <w:rPr>
          <w:rFonts w:ascii="Times New Roman" w:eastAsia="宋体" w:hAnsi="Times New Roman" w:cs="宋体" w:hint="eastAsia"/>
          <w:sz w:val="18"/>
          <w:szCs w:val="18"/>
        </w:rPr>
        <w:t>无</w:t>
      </w:r>
    </w:p>
    <w:p w14:paraId="0624B860"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r w:rsidRPr="00F614F9">
        <w:rPr>
          <w:rFonts w:ascii="Times New Roman" w:eastAsia="宋体" w:hAnsi="Times New Roman" w:cs="宋体"/>
          <w:b/>
          <w:bCs/>
          <w:szCs w:val="21"/>
        </w:rPr>
        <w:t>（</w:t>
      </w:r>
      <w:r w:rsidRPr="00F614F9">
        <w:rPr>
          <w:rFonts w:ascii="Times New Roman" w:eastAsia="宋体" w:hAnsi="Times New Roman" w:cs="宋体"/>
          <w:b/>
          <w:bCs/>
          <w:szCs w:val="21"/>
        </w:rPr>
        <w:t>7</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关键管理人员报酬</w:t>
      </w:r>
      <w:bookmarkEnd w:id="589"/>
    </w:p>
    <w:p w14:paraId="49C1E86E"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3B2BA61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FEAE9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7C762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CE735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3AA9D8A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48FF0A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关键管理人员报酬</w:t>
            </w:r>
          </w:p>
        </w:tc>
        <w:tc>
          <w:tcPr>
            <w:tcW w:w="3213" w:type="dxa"/>
            <w:tcBorders>
              <w:top w:val="single" w:sz="2" w:space="0" w:color="auto"/>
              <w:left w:val="single" w:sz="2" w:space="0" w:color="auto"/>
              <w:bottom w:val="single" w:sz="2" w:space="0" w:color="auto"/>
              <w:right w:val="single" w:sz="2" w:space="0" w:color="auto"/>
            </w:tcBorders>
            <w:vAlign w:val="center"/>
          </w:tcPr>
          <w:p w14:paraId="71106C9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2,309,810.36</w:t>
            </w:r>
          </w:p>
        </w:tc>
        <w:tc>
          <w:tcPr>
            <w:tcW w:w="3213" w:type="dxa"/>
            <w:tcBorders>
              <w:top w:val="single" w:sz="2" w:space="0" w:color="auto"/>
              <w:left w:val="single" w:sz="2" w:space="0" w:color="auto"/>
              <w:bottom w:val="single" w:sz="2" w:space="0" w:color="auto"/>
              <w:right w:val="single" w:sz="2" w:space="0" w:color="auto"/>
            </w:tcBorders>
            <w:vAlign w:val="center"/>
          </w:tcPr>
          <w:p w14:paraId="1E22DDF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3,099,292.16</w:t>
            </w:r>
          </w:p>
        </w:tc>
      </w:tr>
    </w:tbl>
    <w:p w14:paraId="20E90736"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90" w:name="_Toc989432"/>
      <w:r w:rsidRPr="00F614F9">
        <w:rPr>
          <w:rFonts w:ascii="Times New Roman" w:eastAsia="宋体" w:hAnsi="Times New Roman" w:cs="宋体"/>
          <w:b/>
          <w:bCs/>
          <w:szCs w:val="21"/>
        </w:rPr>
        <w:t>（</w:t>
      </w:r>
      <w:r w:rsidRPr="00F614F9">
        <w:rPr>
          <w:rFonts w:ascii="Times New Roman" w:eastAsia="宋体" w:hAnsi="Times New Roman" w:cs="宋体"/>
          <w:b/>
          <w:bCs/>
          <w:szCs w:val="21"/>
        </w:rPr>
        <w:t>8</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其他关联交易</w:t>
      </w:r>
      <w:bookmarkEnd w:id="590"/>
    </w:p>
    <w:p w14:paraId="26C67138" w14:textId="77777777" w:rsidR="0080040E" w:rsidRPr="0080040E" w:rsidRDefault="0080040E" w:rsidP="0080040E">
      <w:pPr>
        <w:divId w:val="1509558924"/>
        <w:rPr>
          <w:rFonts w:ascii="宋体" w:eastAsia="宋体" w:hAnsi="宋体"/>
          <w:sz w:val="18"/>
          <w:szCs w:val="20"/>
        </w:rPr>
      </w:pPr>
      <w:r w:rsidRPr="0080040E">
        <w:rPr>
          <w:rFonts w:ascii="宋体" w:eastAsia="宋体" w:hAnsi="宋体"/>
          <w:sz w:val="18"/>
          <w:szCs w:val="20"/>
        </w:rPr>
        <w:t>利息收入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1762"/>
        <w:gridCol w:w="2399"/>
        <w:gridCol w:w="2463"/>
      </w:tblGrid>
      <w:tr w:rsidR="0080040E" w14:paraId="671DE55A" w14:textId="77777777" w:rsidTr="0080040E">
        <w:trPr>
          <w:divId w:val="1509558924"/>
          <w:trHeight w:val="340"/>
          <w:tblHeader/>
        </w:trPr>
        <w:tc>
          <w:tcPr>
            <w:tcW w:w="1560" w:type="pct"/>
            <w:vAlign w:val="center"/>
          </w:tcPr>
          <w:p w14:paraId="25F23994" w14:textId="77777777" w:rsidR="0080040E" w:rsidRDefault="0080040E" w:rsidP="0080040E">
            <w:pPr>
              <w:autoSpaceDE w:val="0"/>
              <w:autoSpaceDN w:val="0"/>
              <w:adjustRightInd w:val="0"/>
              <w:jc w:val="center"/>
              <w:rPr>
                <w:sz w:val="18"/>
                <w:szCs w:val="18"/>
              </w:rPr>
            </w:pPr>
            <w:r>
              <w:rPr>
                <w:kern w:val="0"/>
                <w:sz w:val="18"/>
                <w:szCs w:val="18"/>
              </w:rPr>
              <w:t>关联方</w:t>
            </w:r>
          </w:p>
        </w:tc>
        <w:tc>
          <w:tcPr>
            <w:tcW w:w="915" w:type="pct"/>
            <w:vAlign w:val="center"/>
          </w:tcPr>
          <w:p w14:paraId="58979A23" w14:textId="77777777" w:rsidR="0080040E" w:rsidRDefault="0080040E" w:rsidP="0080040E">
            <w:pPr>
              <w:autoSpaceDE w:val="0"/>
              <w:autoSpaceDN w:val="0"/>
              <w:adjustRightInd w:val="0"/>
              <w:jc w:val="center"/>
              <w:rPr>
                <w:sz w:val="18"/>
                <w:szCs w:val="18"/>
              </w:rPr>
            </w:pPr>
            <w:r>
              <w:rPr>
                <w:sz w:val="18"/>
                <w:szCs w:val="18"/>
              </w:rPr>
              <w:t>关联交易内容</w:t>
            </w:r>
          </w:p>
        </w:tc>
        <w:tc>
          <w:tcPr>
            <w:tcW w:w="1246" w:type="pct"/>
            <w:vAlign w:val="center"/>
          </w:tcPr>
          <w:p w14:paraId="4B011378" w14:textId="77777777" w:rsidR="0080040E" w:rsidRDefault="0080040E" w:rsidP="0080040E">
            <w:pPr>
              <w:autoSpaceDE w:val="0"/>
              <w:autoSpaceDN w:val="0"/>
              <w:adjustRightInd w:val="0"/>
              <w:jc w:val="center"/>
              <w:rPr>
                <w:sz w:val="18"/>
                <w:szCs w:val="18"/>
              </w:rPr>
            </w:pPr>
            <w:r>
              <w:rPr>
                <w:kern w:val="0"/>
                <w:sz w:val="18"/>
                <w:szCs w:val="18"/>
              </w:rPr>
              <w:t>本年发生额</w:t>
            </w:r>
          </w:p>
        </w:tc>
        <w:tc>
          <w:tcPr>
            <w:tcW w:w="1279" w:type="pct"/>
            <w:vAlign w:val="center"/>
          </w:tcPr>
          <w:p w14:paraId="0354CBDF" w14:textId="77777777" w:rsidR="0080040E" w:rsidRDefault="0080040E" w:rsidP="0080040E">
            <w:pPr>
              <w:autoSpaceDE w:val="0"/>
              <w:autoSpaceDN w:val="0"/>
              <w:adjustRightInd w:val="0"/>
              <w:jc w:val="center"/>
              <w:rPr>
                <w:sz w:val="18"/>
                <w:szCs w:val="18"/>
              </w:rPr>
            </w:pPr>
            <w:r>
              <w:rPr>
                <w:kern w:val="0"/>
                <w:sz w:val="18"/>
                <w:szCs w:val="18"/>
              </w:rPr>
              <w:t>上年发生额</w:t>
            </w:r>
          </w:p>
        </w:tc>
      </w:tr>
      <w:tr w:rsidR="0080040E" w14:paraId="32CD395E" w14:textId="77777777" w:rsidTr="0080040E">
        <w:trPr>
          <w:divId w:val="1509558924"/>
          <w:trHeight w:val="340"/>
        </w:trPr>
        <w:tc>
          <w:tcPr>
            <w:tcW w:w="1560" w:type="pct"/>
            <w:noWrap/>
            <w:vAlign w:val="center"/>
          </w:tcPr>
          <w:p w14:paraId="00F4A882" w14:textId="77777777" w:rsidR="0080040E" w:rsidRDefault="0080040E" w:rsidP="0080040E">
            <w:pPr>
              <w:autoSpaceDE w:val="0"/>
              <w:autoSpaceDN w:val="0"/>
              <w:adjustRightInd w:val="0"/>
              <w:rPr>
                <w:sz w:val="18"/>
                <w:szCs w:val="18"/>
              </w:rPr>
            </w:pPr>
            <w:r>
              <w:rPr>
                <w:kern w:val="0"/>
                <w:sz w:val="18"/>
                <w:szCs w:val="18"/>
              </w:rPr>
              <w:t>达州银行股份有限公司</w:t>
            </w:r>
          </w:p>
        </w:tc>
        <w:tc>
          <w:tcPr>
            <w:tcW w:w="915" w:type="pct"/>
            <w:noWrap/>
            <w:vAlign w:val="center"/>
          </w:tcPr>
          <w:p w14:paraId="44F1428A" w14:textId="77777777" w:rsidR="0080040E" w:rsidRDefault="0080040E" w:rsidP="0080040E">
            <w:pPr>
              <w:autoSpaceDE w:val="0"/>
              <w:autoSpaceDN w:val="0"/>
              <w:adjustRightInd w:val="0"/>
              <w:jc w:val="center"/>
              <w:rPr>
                <w:sz w:val="18"/>
                <w:szCs w:val="18"/>
              </w:rPr>
            </w:pPr>
            <w:r>
              <w:rPr>
                <w:kern w:val="0"/>
                <w:sz w:val="18"/>
                <w:szCs w:val="18"/>
              </w:rPr>
              <w:t>利息收入</w:t>
            </w:r>
          </w:p>
        </w:tc>
        <w:tc>
          <w:tcPr>
            <w:tcW w:w="1246" w:type="pct"/>
            <w:noWrap/>
            <w:vAlign w:val="center"/>
          </w:tcPr>
          <w:p w14:paraId="769294A1" w14:textId="77777777" w:rsidR="0080040E" w:rsidRPr="0080040E" w:rsidRDefault="0080040E" w:rsidP="0080040E">
            <w:pPr>
              <w:jc w:val="right"/>
              <w:rPr>
                <w:rFonts w:ascii="Times New Roman" w:hAnsi="Times New Roman" w:cs="Times New Roman"/>
                <w:sz w:val="18"/>
                <w:szCs w:val="18"/>
              </w:rPr>
            </w:pPr>
            <w:r w:rsidRPr="0080040E">
              <w:rPr>
                <w:rFonts w:ascii="Times New Roman" w:hAnsi="Times New Roman" w:cs="Times New Roman"/>
                <w:sz w:val="18"/>
                <w:szCs w:val="18"/>
              </w:rPr>
              <w:t xml:space="preserve">          20,024,977.99 </w:t>
            </w:r>
          </w:p>
        </w:tc>
        <w:tc>
          <w:tcPr>
            <w:tcW w:w="1279" w:type="pct"/>
            <w:noWrap/>
            <w:vAlign w:val="center"/>
          </w:tcPr>
          <w:p w14:paraId="705CCA63" w14:textId="77777777" w:rsidR="0080040E" w:rsidRPr="0080040E" w:rsidRDefault="0080040E" w:rsidP="0080040E">
            <w:pPr>
              <w:jc w:val="right"/>
              <w:rPr>
                <w:rFonts w:ascii="Times New Roman" w:hAnsi="Times New Roman" w:cs="Times New Roman"/>
                <w:sz w:val="18"/>
                <w:szCs w:val="18"/>
              </w:rPr>
            </w:pPr>
            <w:r w:rsidRPr="0080040E">
              <w:rPr>
                <w:rFonts w:ascii="Times New Roman" w:hAnsi="Times New Roman" w:cs="Times New Roman"/>
                <w:sz w:val="18"/>
                <w:szCs w:val="18"/>
              </w:rPr>
              <w:t xml:space="preserve">          42,002,031.12 </w:t>
            </w:r>
          </w:p>
        </w:tc>
      </w:tr>
    </w:tbl>
    <w:p w14:paraId="061E994D" w14:textId="77777777" w:rsidR="00872599" w:rsidRPr="00F614F9" w:rsidRDefault="00872599">
      <w:pPr>
        <w:pStyle w:val="a3"/>
        <w:divId w:val="1509558924"/>
        <w:rPr>
          <w:rFonts w:ascii="Times New Roman" w:hAnsi="Times New Roman"/>
          <w:sz w:val="18"/>
          <w:szCs w:val="18"/>
        </w:rPr>
      </w:pPr>
    </w:p>
    <w:p w14:paraId="5EEBE3C1" w14:textId="77777777" w:rsidR="001D26E7" w:rsidRPr="00F614F9" w:rsidRDefault="00000000">
      <w:pPr>
        <w:pStyle w:val="3"/>
        <w:spacing w:line="280" w:lineRule="exact"/>
        <w:jc w:val="left"/>
        <w:rPr>
          <w:rFonts w:ascii="Times New Roman" w:hAnsi="Times New Roman" w:cs="宋体"/>
          <w:b/>
          <w:bCs/>
        </w:rPr>
      </w:pPr>
      <w:bookmarkStart w:id="591" w:name="_Toc989433"/>
      <w:r w:rsidRPr="00F614F9">
        <w:rPr>
          <w:rFonts w:ascii="Times New Roman" w:hAnsi="Times New Roman" w:cs="宋体"/>
          <w:b/>
          <w:bCs/>
        </w:rPr>
        <w:t>6</w:t>
      </w:r>
      <w:r w:rsidRPr="00F614F9">
        <w:rPr>
          <w:rFonts w:ascii="Times New Roman" w:hAnsi="Times New Roman" w:cs="宋体"/>
          <w:b/>
          <w:bCs/>
        </w:rPr>
        <w:t>、关联方应收应付款项</w:t>
      </w:r>
      <w:bookmarkEnd w:id="591"/>
    </w:p>
    <w:p w14:paraId="1A8D5994"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92" w:name="_Toc989434"/>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应收项目</w:t>
      </w:r>
      <w:bookmarkEnd w:id="592"/>
    </w:p>
    <w:p w14:paraId="3BB23CE9"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7"/>
        <w:gridCol w:w="1606"/>
        <w:gridCol w:w="1606"/>
        <w:gridCol w:w="1607"/>
        <w:gridCol w:w="1606"/>
        <w:gridCol w:w="1607"/>
      </w:tblGrid>
      <w:tr w:rsidR="001D26E7" w:rsidRPr="00F614F9" w14:paraId="48DEF713" w14:textId="77777777">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FD78EB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项目名称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B89B9D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关联方</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DAA9CD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550692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69CC4966" w14:textId="77777777">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CB9820C" w14:textId="77777777" w:rsidR="001D26E7" w:rsidRPr="00F614F9" w:rsidRDefault="001D26E7">
            <w:pPr>
              <w:rPr>
                <w:rFonts w:ascii="Times New Roman" w:hAnsi="Times New Roman"/>
              </w:rPr>
            </w:pP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3BEE0A5" w14:textId="77777777" w:rsidR="001D26E7" w:rsidRPr="00F614F9" w:rsidRDefault="001D26E7">
            <w:pPr>
              <w:rPr>
                <w:rFonts w:ascii="Times New Roman" w:hAnsi="Times New Roman"/>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CBD156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CEBB74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坏账准备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9E255D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B02E9B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坏账准备</w:t>
            </w:r>
          </w:p>
        </w:tc>
      </w:tr>
      <w:tr w:rsidR="001D26E7" w:rsidRPr="00F614F9" w14:paraId="6980E2E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D28B21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7D44BC4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成都璞悦酒店管理有限公司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50F7B1C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1,249,207.64</w:t>
            </w:r>
          </w:p>
        </w:tc>
        <w:tc>
          <w:tcPr>
            <w:tcW w:w="1606" w:type="dxa"/>
            <w:tcBorders>
              <w:top w:val="single" w:sz="2" w:space="0" w:color="auto"/>
              <w:left w:val="single" w:sz="2" w:space="0" w:color="auto"/>
              <w:bottom w:val="single" w:sz="2" w:space="0" w:color="auto"/>
              <w:right w:val="single" w:sz="2" w:space="0" w:color="auto"/>
            </w:tcBorders>
            <w:vAlign w:val="center"/>
          </w:tcPr>
          <w:p w14:paraId="496D06B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233,000.88</w:t>
            </w:r>
          </w:p>
        </w:tc>
        <w:tc>
          <w:tcPr>
            <w:tcW w:w="1606" w:type="dxa"/>
            <w:tcBorders>
              <w:top w:val="single" w:sz="2" w:space="0" w:color="auto"/>
              <w:left w:val="single" w:sz="2" w:space="0" w:color="auto"/>
              <w:bottom w:val="single" w:sz="2" w:space="0" w:color="auto"/>
              <w:right w:val="single" w:sz="2" w:space="0" w:color="auto"/>
            </w:tcBorders>
            <w:vAlign w:val="center"/>
          </w:tcPr>
          <w:p w14:paraId="76A7CDB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2,048,424.53</w:t>
            </w:r>
          </w:p>
        </w:tc>
        <w:tc>
          <w:tcPr>
            <w:tcW w:w="1606" w:type="dxa"/>
            <w:tcBorders>
              <w:top w:val="single" w:sz="2" w:space="0" w:color="auto"/>
              <w:left w:val="single" w:sz="2" w:space="0" w:color="auto"/>
              <w:bottom w:val="single" w:sz="2" w:space="0" w:color="auto"/>
              <w:right w:val="single" w:sz="2" w:space="0" w:color="auto"/>
            </w:tcBorders>
            <w:vAlign w:val="center"/>
          </w:tcPr>
          <w:p w14:paraId="1E8B852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45,851.46</w:t>
            </w:r>
          </w:p>
        </w:tc>
      </w:tr>
      <w:tr w:rsidR="001D26E7" w:rsidRPr="00F614F9" w14:paraId="5E9ACAB1"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08D32F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应收账款</w:t>
            </w:r>
          </w:p>
        </w:tc>
        <w:tc>
          <w:tcPr>
            <w:tcW w:w="1606" w:type="dxa"/>
            <w:tcBorders>
              <w:top w:val="single" w:sz="2" w:space="0" w:color="auto"/>
              <w:left w:val="single" w:sz="2" w:space="0" w:color="auto"/>
              <w:bottom w:val="single" w:sz="2" w:space="0" w:color="auto"/>
              <w:right w:val="single" w:sz="2" w:space="0" w:color="auto"/>
            </w:tcBorders>
            <w:vAlign w:val="center"/>
          </w:tcPr>
          <w:p w14:paraId="13E954C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成都佳享食品有限公司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7964F881"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19E53E4"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205226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686,863.92</w:t>
            </w:r>
          </w:p>
        </w:tc>
        <w:tc>
          <w:tcPr>
            <w:tcW w:w="1606" w:type="dxa"/>
            <w:tcBorders>
              <w:top w:val="single" w:sz="2" w:space="0" w:color="auto"/>
              <w:left w:val="single" w:sz="2" w:space="0" w:color="auto"/>
              <w:bottom w:val="single" w:sz="2" w:space="0" w:color="auto"/>
              <w:right w:val="single" w:sz="2" w:space="0" w:color="auto"/>
            </w:tcBorders>
            <w:vAlign w:val="center"/>
          </w:tcPr>
          <w:p w14:paraId="3A04A0D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13,793.58</w:t>
            </w:r>
          </w:p>
        </w:tc>
      </w:tr>
      <w:tr w:rsidR="001D26E7" w:rsidRPr="00F614F9" w14:paraId="3854FB97"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35ED4C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其他应收款</w:t>
            </w:r>
          </w:p>
        </w:tc>
        <w:tc>
          <w:tcPr>
            <w:tcW w:w="1606" w:type="dxa"/>
            <w:tcBorders>
              <w:top w:val="single" w:sz="2" w:space="0" w:color="auto"/>
              <w:left w:val="single" w:sz="2" w:space="0" w:color="auto"/>
              <w:bottom w:val="single" w:sz="2" w:space="0" w:color="auto"/>
              <w:right w:val="single" w:sz="2" w:space="0" w:color="auto"/>
            </w:tcBorders>
            <w:vAlign w:val="center"/>
          </w:tcPr>
          <w:p w14:paraId="1816708D"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四川远鸿物业管理</w:t>
            </w:r>
            <w:proofErr w:type="gramEnd"/>
            <w:r w:rsidRPr="00F614F9">
              <w:rPr>
                <w:rFonts w:ascii="Times New Roman" w:eastAsia="宋体" w:hAnsi="Times New Roman" w:cs="宋体"/>
                <w:sz w:val="18"/>
                <w:szCs w:val="18"/>
              </w:rPr>
              <w:t>有限公司温江分公司</w:t>
            </w:r>
          </w:p>
        </w:tc>
        <w:tc>
          <w:tcPr>
            <w:tcW w:w="1606" w:type="dxa"/>
            <w:tcBorders>
              <w:top w:val="single" w:sz="2" w:space="0" w:color="auto"/>
              <w:left w:val="single" w:sz="2" w:space="0" w:color="auto"/>
              <w:bottom w:val="single" w:sz="2" w:space="0" w:color="auto"/>
              <w:right w:val="single" w:sz="2" w:space="0" w:color="auto"/>
            </w:tcBorders>
            <w:vAlign w:val="center"/>
          </w:tcPr>
          <w:p w14:paraId="2FE88DF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606" w:type="dxa"/>
            <w:tcBorders>
              <w:top w:val="single" w:sz="2" w:space="0" w:color="auto"/>
              <w:left w:val="single" w:sz="2" w:space="0" w:color="auto"/>
              <w:bottom w:val="single" w:sz="2" w:space="0" w:color="auto"/>
              <w:right w:val="single" w:sz="2" w:space="0" w:color="auto"/>
            </w:tcBorders>
            <w:vAlign w:val="center"/>
          </w:tcPr>
          <w:p w14:paraId="079C08A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79.83</w:t>
            </w:r>
          </w:p>
        </w:tc>
        <w:tc>
          <w:tcPr>
            <w:tcW w:w="1606" w:type="dxa"/>
            <w:tcBorders>
              <w:top w:val="single" w:sz="2" w:space="0" w:color="auto"/>
              <w:left w:val="single" w:sz="2" w:space="0" w:color="auto"/>
              <w:bottom w:val="single" w:sz="2" w:space="0" w:color="auto"/>
              <w:right w:val="single" w:sz="2" w:space="0" w:color="auto"/>
            </w:tcBorders>
            <w:vAlign w:val="center"/>
          </w:tcPr>
          <w:p w14:paraId="08052ED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606" w:type="dxa"/>
            <w:tcBorders>
              <w:top w:val="single" w:sz="2" w:space="0" w:color="auto"/>
              <w:left w:val="single" w:sz="2" w:space="0" w:color="auto"/>
              <w:bottom w:val="single" w:sz="2" w:space="0" w:color="auto"/>
              <w:right w:val="single" w:sz="2" w:space="0" w:color="auto"/>
            </w:tcBorders>
            <w:vAlign w:val="center"/>
          </w:tcPr>
          <w:p w14:paraId="49E384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22.91</w:t>
            </w:r>
          </w:p>
        </w:tc>
      </w:tr>
      <w:tr w:rsidR="001D26E7" w:rsidRPr="00F614F9" w14:paraId="376C7D90"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F44AB1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其他应收款</w:t>
            </w:r>
          </w:p>
        </w:tc>
        <w:tc>
          <w:tcPr>
            <w:tcW w:w="1606" w:type="dxa"/>
            <w:tcBorders>
              <w:top w:val="single" w:sz="2" w:space="0" w:color="auto"/>
              <w:left w:val="single" w:sz="2" w:space="0" w:color="auto"/>
              <w:bottom w:val="single" w:sz="2" w:space="0" w:color="auto"/>
              <w:right w:val="single" w:sz="2" w:space="0" w:color="auto"/>
            </w:tcBorders>
            <w:vAlign w:val="center"/>
          </w:tcPr>
          <w:p w14:paraId="786580E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成都润家商业管理有限公司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90E0F8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86,575.32</w:t>
            </w:r>
          </w:p>
        </w:tc>
        <w:tc>
          <w:tcPr>
            <w:tcW w:w="1606" w:type="dxa"/>
            <w:tcBorders>
              <w:top w:val="single" w:sz="2" w:space="0" w:color="auto"/>
              <w:left w:val="single" w:sz="2" w:space="0" w:color="auto"/>
              <w:bottom w:val="single" w:sz="2" w:space="0" w:color="auto"/>
              <w:right w:val="single" w:sz="2" w:space="0" w:color="auto"/>
            </w:tcBorders>
            <w:vAlign w:val="center"/>
          </w:tcPr>
          <w:p w14:paraId="5B778FE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35,876.85</w:t>
            </w:r>
          </w:p>
        </w:tc>
        <w:tc>
          <w:tcPr>
            <w:tcW w:w="1606" w:type="dxa"/>
            <w:tcBorders>
              <w:top w:val="single" w:sz="2" w:space="0" w:color="auto"/>
              <w:left w:val="single" w:sz="2" w:space="0" w:color="auto"/>
              <w:bottom w:val="single" w:sz="2" w:space="0" w:color="auto"/>
              <w:right w:val="single" w:sz="2" w:space="0" w:color="auto"/>
            </w:tcBorders>
            <w:vAlign w:val="center"/>
          </w:tcPr>
          <w:p w14:paraId="14D9730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89,575.32</w:t>
            </w:r>
          </w:p>
        </w:tc>
        <w:tc>
          <w:tcPr>
            <w:tcW w:w="1606" w:type="dxa"/>
            <w:tcBorders>
              <w:top w:val="single" w:sz="2" w:space="0" w:color="auto"/>
              <w:left w:val="single" w:sz="2" w:space="0" w:color="auto"/>
              <w:bottom w:val="single" w:sz="2" w:space="0" w:color="auto"/>
              <w:right w:val="single" w:sz="2" w:space="0" w:color="auto"/>
            </w:tcBorders>
            <w:vAlign w:val="center"/>
          </w:tcPr>
          <w:p w14:paraId="751EBE0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15,178.25</w:t>
            </w:r>
          </w:p>
        </w:tc>
      </w:tr>
      <w:tr w:rsidR="001D26E7" w:rsidRPr="00F614F9" w14:paraId="418E167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819DC8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其他应收款</w:t>
            </w:r>
          </w:p>
        </w:tc>
        <w:tc>
          <w:tcPr>
            <w:tcW w:w="1606" w:type="dxa"/>
            <w:tcBorders>
              <w:top w:val="single" w:sz="2" w:space="0" w:color="auto"/>
              <w:left w:val="single" w:sz="2" w:space="0" w:color="auto"/>
              <w:bottom w:val="single" w:sz="2" w:space="0" w:color="auto"/>
              <w:right w:val="single" w:sz="2" w:space="0" w:color="auto"/>
            </w:tcBorders>
            <w:vAlign w:val="center"/>
          </w:tcPr>
          <w:p w14:paraId="732EBB8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成都佳享食品有限公司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2DD0D9F"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5607609"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09D18F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909,000.00</w:t>
            </w:r>
          </w:p>
        </w:tc>
        <w:tc>
          <w:tcPr>
            <w:tcW w:w="1606" w:type="dxa"/>
            <w:tcBorders>
              <w:top w:val="single" w:sz="2" w:space="0" w:color="auto"/>
              <w:left w:val="single" w:sz="2" w:space="0" w:color="auto"/>
              <w:bottom w:val="single" w:sz="2" w:space="0" w:color="auto"/>
              <w:right w:val="single" w:sz="2" w:space="0" w:color="auto"/>
            </w:tcBorders>
            <w:vAlign w:val="center"/>
          </w:tcPr>
          <w:p w14:paraId="55D4034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18,180.00</w:t>
            </w:r>
          </w:p>
        </w:tc>
      </w:tr>
      <w:tr w:rsidR="001D26E7" w:rsidRPr="00F614F9" w14:paraId="2EE9E84F"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300365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其他应收款</w:t>
            </w:r>
          </w:p>
        </w:tc>
        <w:tc>
          <w:tcPr>
            <w:tcW w:w="1606" w:type="dxa"/>
            <w:tcBorders>
              <w:top w:val="single" w:sz="2" w:space="0" w:color="auto"/>
              <w:left w:val="single" w:sz="2" w:space="0" w:color="auto"/>
              <w:bottom w:val="single" w:sz="2" w:space="0" w:color="auto"/>
              <w:right w:val="single" w:sz="2" w:space="0" w:color="auto"/>
            </w:tcBorders>
            <w:vAlign w:val="center"/>
          </w:tcPr>
          <w:p w14:paraId="3A304A3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宣威市鼎宏食品有限公司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99B1D4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2,870,000.00</w:t>
            </w:r>
          </w:p>
        </w:tc>
        <w:tc>
          <w:tcPr>
            <w:tcW w:w="1606" w:type="dxa"/>
            <w:tcBorders>
              <w:top w:val="single" w:sz="2" w:space="0" w:color="auto"/>
              <w:left w:val="single" w:sz="2" w:space="0" w:color="auto"/>
              <w:bottom w:val="single" w:sz="2" w:space="0" w:color="auto"/>
              <w:right w:val="single" w:sz="2" w:space="0" w:color="auto"/>
            </w:tcBorders>
            <w:vAlign w:val="center"/>
          </w:tcPr>
          <w:p w14:paraId="7EC0329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2,296,000.00</w:t>
            </w:r>
          </w:p>
        </w:tc>
        <w:tc>
          <w:tcPr>
            <w:tcW w:w="1606" w:type="dxa"/>
            <w:tcBorders>
              <w:top w:val="single" w:sz="2" w:space="0" w:color="auto"/>
              <w:left w:val="single" w:sz="2" w:space="0" w:color="auto"/>
              <w:bottom w:val="single" w:sz="2" w:space="0" w:color="auto"/>
              <w:right w:val="single" w:sz="2" w:space="0" w:color="auto"/>
            </w:tcBorders>
            <w:vAlign w:val="center"/>
          </w:tcPr>
          <w:p w14:paraId="2E60E0D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2,870,000.00</w:t>
            </w:r>
          </w:p>
        </w:tc>
        <w:tc>
          <w:tcPr>
            <w:tcW w:w="1606" w:type="dxa"/>
            <w:tcBorders>
              <w:top w:val="single" w:sz="2" w:space="0" w:color="auto"/>
              <w:left w:val="single" w:sz="2" w:space="0" w:color="auto"/>
              <w:bottom w:val="single" w:sz="2" w:space="0" w:color="auto"/>
              <w:right w:val="single" w:sz="2" w:space="0" w:color="auto"/>
            </w:tcBorders>
            <w:vAlign w:val="center"/>
          </w:tcPr>
          <w:p w14:paraId="559E247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1,435,000.00</w:t>
            </w:r>
          </w:p>
        </w:tc>
      </w:tr>
      <w:tr w:rsidR="001D26E7" w:rsidRPr="00F614F9" w14:paraId="7AC15288"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E81FAE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预付款项</w:t>
            </w:r>
          </w:p>
        </w:tc>
        <w:tc>
          <w:tcPr>
            <w:tcW w:w="1606" w:type="dxa"/>
            <w:tcBorders>
              <w:top w:val="single" w:sz="2" w:space="0" w:color="auto"/>
              <w:left w:val="single" w:sz="2" w:space="0" w:color="auto"/>
              <w:bottom w:val="single" w:sz="2" w:space="0" w:color="auto"/>
              <w:right w:val="single" w:sz="2" w:space="0" w:color="auto"/>
            </w:tcBorders>
            <w:vAlign w:val="center"/>
          </w:tcPr>
          <w:p w14:paraId="3B8493AB"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牧原食品</w:t>
            </w:r>
            <w:proofErr w:type="gramEnd"/>
            <w:r w:rsidRPr="00F614F9">
              <w:rPr>
                <w:rFonts w:ascii="Times New Roman" w:eastAsia="宋体" w:hAnsi="Times New Roman" w:cs="宋体"/>
                <w:sz w:val="18"/>
                <w:szCs w:val="18"/>
              </w:rPr>
              <w:t>股份有限公司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821CFB9" w14:textId="77777777" w:rsidR="001D26E7" w:rsidRPr="00F614F9" w:rsidRDefault="002B3EAC">
            <w:pPr>
              <w:spacing w:line="240" w:lineRule="exact"/>
              <w:jc w:val="right"/>
              <w:rPr>
                <w:rFonts w:ascii="Times New Roman" w:eastAsia="宋体" w:hAnsi="Times New Roman" w:cs="宋体"/>
                <w:sz w:val="18"/>
                <w:szCs w:val="18"/>
              </w:rPr>
            </w:pPr>
            <w:r w:rsidRPr="002B3EAC">
              <w:rPr>
                <w:rFonts w:ascii="Times New Roman" w:eastAsia="宋体" w:hAnsi="Times New Roman" w:cs="宋体"/>
                <w:sz w:val="18"/>
                <w:szCs w:val="18"/>
              </w:rPr>
              <w:t>1,998,216.64</w:t>
            </w:r>
          </w:p>
        </w:tc>
        <w:tc>
          <w:tcPr>
            <w:tcW w:w="1606" w:type="dxa"/>
            <w:tcBorders>
              <w:top w:val="single" w:sz="2" w:space="0" w:color="auto"/>
              <w:left w:val="single" w:sz="2" w:space="0" w:color="auto"/>
              <w:bottom w:val="single" w:sz="2" w:space="0" w:color="auto"/>
              <w:right w:val="single" w:sz="2" w:space="0" w:color="auto"/>
            </w:tcBorders>
            <w:vAlign w:val="center"/>
          </w:tcPr>
          <w:p w14:paraId="742AECC8"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DCAA92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1,306,639.11</w:t>
            </w:r>
          </w:p>
        </w:tc>
        <w:tc>
          <w:tcPr>
            <w:tcW w:w="1606" w:type="dxa"/>
            <w:tcBorders>
              <w:top w:val="single" w:sz="2" w:space="0" w:color="auto"/>
              <w:left w:val="single" w:sz="2" w:space="0" w:color="auto"/>
              <w:bottom w:val="single" w:sz="2" w:space="0" w:color="auto"/>
              <w:right w:val="single" w:sz="2" w:space="0" w:color="auto"/>
            </w:tcBorders>
            <w:vAlign w:val="center"/>
          </w:tcPr>
          <w:p w14:paraId="52C8C1D8"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2C1D2A3"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5882E2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预付款项</w:t>
            </w:r>
          </w:p>
        </w:tc>
        <w:tc>
          <w:tcPr>
            <w:tcW w:w="1606" w:type="dxa"/>
            <w:tcBorders>
              <w:top w:val="single" w:sz="2" w:space="0" w:color="auto"/>
              <w:left w:val="single" w:sz="2" w:space="0" w:color="auto"/>
              <w:bottom w:val="single" w:sz="2" w:space="0" w:color="auto"/>
              <w:right w:val="single" w:sz="2" w:space="0" w:color="auto"/>
            </w:tcBorders>
            <w:vAlign w:val="center"/>
          </w:tcPr>
          <w:p w14:paraId="345F8D0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青岛飞熊锦鑫科技有限公司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50B1E683"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3E5066E"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43497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2,080.73</w:t>
            </w:r>
          </w:p>
        </w:tc>
        <w:tc>
          <w:tcPr>
            <w:tcW w:w="1606" w:type="dxa"/>
            <w:tcBorders>
              <w:top w:val="single" w:sz="2" w:space="0" w:color="auto"/>
              <w:left w:val="single" w:sz="2" w:space="0" w:color="auto"/>
              <w:bottom w:val="single" w:sz="2" w:space="0" w:color="auto"/>
              <w:right w:val="single" w:sz="2" w:space="0" w:color="auto"/>
            </w:tcBorders>
            <w:vAlign w:val="center"/>
          </w:tcPr>
          <w:p w14:paraId="40B09E9D" w14:textId="77777777" w:rsidR="001D26E7" w:rsidRPr="00F614F9" w:rsidRDefault="001D26E7">
            <w:pPr>
              <w:spacing w:line="240" w:lineRule="exact"/>
              <w:jc w:val="right"/>
              <w:rPr>
                <w:rFonts w:ascii="Times New Roman" w:eastAsia="宋体" w:hAnsi="Times New Roman" w:cs="宋体"/>
                <w:sz w:val="18"/>
                <w:szCs w:val="18"/>
              </w:rPr>
            </w:pPr>
          </w:p>
        </w:tc>
      </w:tr>
      <w:tr w:rsidR="002B3EAC" w:rsidRPr="00F614F9" w14:paraId="56135972"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0BA9CBD" w14:textId="77777777" w:rsidR="002B3EAC" w:rsidRPr="00F614F9" w:rsidRDefault="002B3EAC">
            <w:pPr>
              <w:spacing w:line="240" w:lineRule="exact"/>
              <w:rPr>
                <w:rFonts w:ascii="Times New Roman" w:eastAsia="宋体" w:hAnsi="Times New Roman" w:cs="宋体"/>
                <w:sz w:val="18"/>
                <w:szCs w:val="18"/>
              </w:rPr>
            </w:pPr>
            <w:r w:rsidRPr="002B3EAC">
              <w:rPr>
                <w:rFonts w:ascii="Times New Roman" w:eastAsia="宋体" w:hAnsi="Times New Roman" w:cs="宋体" w:hint="eastAsia"/>
                <w:sz w:val="18"/>
                <w:szCs w:val="18"/>
              </w:rPr>
              <w:lastRenderedPageBreak/>
              <w:t>预付款项</w:t>
            </w:r>
          </w:p>
        </w:tc>
        <w:tc>
          <w:tcPr>
            <w:tcW w:w="1606" w:type="dxa"/>
            <w:tcBorders>
              <w:top w:val="single" w:sz="2" w:space="0" w:color="auto"/>
              <w:left w:val="single" w:sz="2" w:space="0" w:color="auto"/>
              <w:bottom w:val="single" w:sz="2" w:space="0" w:color="auto"/>
              <w:right w:val="single" w:sz="2" w:space="0" w:color="auto"/>
            </w:tcBorders>
            <w:vAlign w:val="center"/>
          </w:tcPr>
          <w:p w14:paraId="421C0395" w14:textId="77777777" w:rsidR="002B3EAC" w:rsidRPr="00F614F9" w:rsidRDefault="002B3EAC">
            <w:pPr>
              <w:spacing w:line="240" w:lineRule="exact"/>
              <w:rPr>
                <w:rFonts w:ascii="Times New Roman" w:eastAsia="宋体" w:hAnsi="Times New Roman" w:cs="宋体"/>
                <w:sz w:val="18"/>
                <w:szCs w:val="18"/>
              </w:rPr>
            </w:pPr>
            <w:r w:rsidRPr="002B3EAC">
              <w:rPr>
                <w:rFonts w:ascii="Times New Roman" w:eastAsia="宋体" w:hAnsi="Times New Roman" w:cs="宋体"/>
                <w:sz w:val="18"/>
                <w:szCs w:val="18"/>
              </w:rPr>
              <w:t>成都润家商业管理有限公司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47C24DF6" w14:textId="77777777" w:rsidR="002B3EAC" w:rsidRPr="00F614F9" w:rsidRDefault="002B3EAC">
            <w:pPr>
              <w:spacing w:line="240" w:lineRule="exact"/>
              <w:jc w:val="right"/>
              <w:rPr>
                <w:rFonts w:ascii="Times New Roman" w:eastAsia="宋体" w:hAnsi="Times New Roman" w:cs="宋体"/>
                <w:sz w:val="18"/>
                <w:szCs w:val="18"/>
              </w:rPr>
            </w:pPr>
            <w:r w:rsidRPr="002B3EAC">
              <w:rPr>
                <w:rFonts w:ascii="Times New Roman" w:eastAsia="宋体" w:hAnsi="Times New Roman" w:cs="宋体"/>
                <w:sz w:val="18"/>
                <w:szCs w:val="18"/>
              </w:rPr>
              <w:t>20,000.00</w:t>
            </w:r>
          </w:p>
        </w:tc>
        <w:tc>
          <w:tcPr>
            <w:tcW w:w="1606" w:type="dxa"/>
            <w:tcBorders>
              <w:top w:val="single" w:sz="2" w:space="0" w:color="auto"/>
              <w:left w:val="single" w:sz="2" w:space="0" w:color="auto"/>
              <w:bottom w:val="single" w:sz="2" w:space="0" w:color="auto"/>
              <w:right w:val="single" w:sz="2" w:space="0" w:color="auto"/>
            </w:tcBorders>
            <w:vAlign w:val="center"/>
          </w:tcPr>
          <w:p w14:paraId="0435A040" w14:textId="77777777" w:rsidR="002B3EAC" w:rsidRPr="00F614F9" w:rsidRDefault="002B3EAC">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8516E7A" w14:textId="77777777" w:rsidR="002B3EAC" w:rsidRPr="00F614F9" w:rsidRDefault="002B3EAC">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707ECC8" w14:textId="77777777" w:rsidR="002B3EAC" w:rsidRPr="00F614F9" w:rsidRDefault="002B3EAC">
            <w:pPr>
              <w:spacing w:line="240" w:lineRule="exact"/>
              <w:jc w:val="right"/>
              <w:rPr>
                <w:rFonts w:ascii="Times New Roman" w:eastAsia="宋体" w:hAnsi="Times New Roman" w:cs="宋体"/>
                <w:sz w:val="18"/>
                <w:szCs w:val="18"/>
              </w:rPr>
            </w:pPr>
          </w:p>
        </w:tc>
      </w:tr>
      <w:tr w:rsidR="001D26E7" w:rsidRPr="00F614F9" w14:paraId="71A9D14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F5B4B5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货币资金</w:t>
            </w:r>
          </w:p>
        </w:tc>
        <w:tc>
          <w:tcPr>
            <w:tcW w:w="1606" w:type="dxa"/>
            <w:tcBorders>
              <w:top w:val="single" w:sz="2" w:space="0" w:color="auto"/>
              <w:left w:val="single" w:sz="2" w:space="0" w:color="auto"/>
              <w:bottom w:val="single" w:sz="2" w:space="0" w:color="auto"/>
              <w:right w:val="single" w:sz="2" w:space="0" w:color="auto"/>
            </w:tcBorders>
            <w:vAlign w:val="center"/>
          </w:tcPr>
          <w:p w14:paraId="2C67570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达州银行股份有限公司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13816C8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408,966,390.02</w:t>
            </w:r>
          </w:p>
        </w:tc>
        <w:tc>
          <w:tcPr>
            <w:tcW w:w="1606" w:type="dxa"/>
            <w:tcBorders>
              <w:top w:val="single" w:sz="2" w:space="0" w:color="auto"/>
              <w:left w:val="single" w:sz="2" w:space="0" w:color="auto"/>
              <w:bottom w:val="single" w:sz="2" w:space="0" w:color="auto"/>
              <w:right w:val="single" w:sz="2" w:space="0" w:color="auto"/>
            </w:tcBorders>
            <w:vAlign w:val="center"/>
          </w:tcPr>
          <w:p w14:paraId="672D1C21"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89D1AD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731,901,485.99</w:t>
            </w:r>
          </w:p>
        </w:tc>
        <w:tc>
          <w:tcPr>
            <w:tcW w:w="1606" w:type="dxa"/>
            <w:tcBorders>
              <w:top w:val="single" w:sz="2" w:space="0" w:color="auto"/>
              <w:left w:val="single" w:sz="2" w:space="0" w:color="auto"/>
              <w:bottom w:val="single" w:sz="2" w:space="0" w:color="auto"/>
              <w:right w:val="single" w:sz="2" w:space="0" w:color="auto"/>
            </w:tcBorders>
            <w:vAlign w:val="center"/>
          </w:tcPr>
          <w:p w14:paraId="4E1AB54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7FFDC43"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ACE016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6C19D02B" w14:textId="77777777" w:rsidR="001D26E7" w:rsidRPr="00F614F9" w:rsidRDefault="001D26E7">
            <w:pPr>
              <w:spacing w:line="240" w:lineRule="exac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5540173" w14:textId="77777777" w:rsidR="001D26E7" w:rsidRPr="00F614F9" w:rsidRDefault="00DC51DE">
            <w:pPr>
              <w:spacing w:line="240" w:lineRule="exact"/>
              <w:jc w:val="right"/>
              <w:rPr>
                <w:rFonts w:ascii="Times New Roman" w:eastAsia="宋体" w:hAnsi="Times New Roman" w:cs="宋体"/>
                <w:sz w:val="18"/>
                <w:szCs w:val="18"/>
              </w:rPr>
            </w:pPr>
            <w:r w:rsidRPr="00DC51DE">
              <w:rPr>
                <w:rFonts w:ascii="Times New Roman" w:eastAsia="宋体" w:hAnsi="Times New Roman" w:cs="宋体"/>
                <w:sz w:val="18"/>
                <w:szCs w:val="18"/>
              </w:rPr>
              <w:t>415,190,489.62</w:t>
            </w:r>
          </w:p>
        </w:tc>
        <w:tc>
          <w:tcPr>
            <w:tcW w:w="1606" w:type="dxa"/>
            <w:tcBorders>
              <w:top w:val="single" w:sz="2" w:space="0" w:color="auto"/>
              <w:left w:val="single" w:sz="2" w:space="0" w:color="auto"/>
              <w:bottom w:val="single" w:sz="2" w:space="0" w:color="auto"/>
              <w:right w:val="single" w:sz="2" w:space="0" w:color="auto"/>
            </w:tcBorders>
            <w:vAlign w:val="center"/>
          </w:tcPr>
          <w:p w14:paraId="72C86E1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2,564,957.56</w:t>
            </w:r>
          </w:p>
        </w:tc>
        <w:tc>
          <w:tcPr>
            <w:tcW w:w="1606" w:type="dxa"/>
            <w:tcBorders>
              <w:top w:val="single" w:sz="2" w:space="0" w:color="auto"/>
              <w:left w:val="single" w:sz="2" w:space="0" w:color="auto"/>
              <w:bottom w:val="single" w:sz="2" w:space="0" w:color="auto"/>
              <w:right w:val="single" w:sz="2" w:space="0" w:color="auto"/>
            </w:tcBorders>
            <w:vAlign w:val="center"/>
          </w:tcPr>
          <w:p w14:paraId="0E3570D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739,814,169.60</w:t>
            </w:r>
          </w:p>
        </w:tc>
        <w:tc>
          <w:tcPr>
            <w:tcW w:w="1606" w:type="dxa"/>
            <w:tcBorders>
              <w:top w:val="single" w:sz="2" w:space="0" w:color="auto"/>
              <w:left w:val="single" w:sz="2" w:space="0" w:color="auto"/>
              <w:bottom w:val="single" w:sz="2" w:space="0" w:color="auto"/>
              <w:right w:val="single" w:sz="2" w:space="0" w:color="auto"/>
            </w:tcBorders>
            <w:vAlign w:val="center"/>
          </w:tcPr>
          <w:p w14:paraId="33365FA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1,528,026.20</w:t>
            </w:r>
          </w:p>
        </w:tc>
      </w:tr>
    </w:tbl>
    <w:p w14:paraId="3DB1CD55"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593" w:name="_Toc989435"/>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应付项目</w:t>
      </w:r>
      <w:bookmarkEnd w:id="593"/>
    </w:p>
    <w:p w14:paraId="691F0B4C"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1D26E7" w:rsidRPr="00F614F9" w14:paraId="362736DF" w14:textId="77777777" w:rsidTr="00B21A26">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67013F2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5E054C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A21CE3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DF1892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期初账面余额</w:t>
            </w:r>
          </w:p>
        </w:tc>
      </w:tr>
      <w:tr w:rsidR="001D26E7" w:rsidRPr="00F614F9" w14:paraId="5157B950" w14:textId="77777777" w:rsidTr="00B21A26">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1970C82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tcPr>
          <w:p w14:paraId="16BC44E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成都佳享食品有限公司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4FAC5AF6"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22A71A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3,557,503.44</w:t>
            </w:r>
          </w:p>
        </w:tc>
      </w:tr>
      <w:tr w:rsidR="001D26E7" w:rsidRPr="00F614F9" w14:paraId="30242FE0" w14:textId="77777777" w:rsidTr="00B21A26">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2D6D062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tcPr>
          <w:p w14:paraId="4A91188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青岛东方睿智商贸有限公司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3B6796A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14,238.25</w:t>
            </w:r>
          </w:p>
        </w:tc>
        <w:tc>
          <w:tcPr>
            <w:tcW w:w="2410" w:type="dxa"/>
            <w:tcBorders>
              <w:top w:val="single" w:sz="2" w:space="0" w:color="auto"/>
              <w:left w:val="single" w:sz="2" w:space="0" w:color="auto"/>
              <w:bottom w:val="single" w:sz="2" w:space="0" w:color="auto"/>
              <w:right w:val="single" w:sz="2" w:space="0" w:color="auto"/>
            </w:tcBorders>
            <w:vAlign w:val="center"/>
          </w:tcPr>
          <w:p w14:paraId="100BCF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202,516.89</w:t>
            </w:r>
          </w:p>
        </w:tc>
      </w:tr>
      <w:tr w:rsidR="001D26E7" w:rsidRPr="00F614F9" w14:paraId="3181ABBC" w14:textId="77777777" w:rsidTr="00B21A26">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774D7E1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tcPr>
          <w:p w14:paraId="72EA15E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青岛飞熊领鲜科技有限公司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19576D47"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A080A5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6,091,876.10</w:t>
            </w:r>
          </w:p>
        </w:tc>
      </w:tr>
      <w:tr w:rsidR="001D26E7" w:rsidRPr="00F614F9" w14:paraId="79DFC4BB" w14:textId="77777777" w:rsidTr="00B21A26">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56A6160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tcPr>
          <w:p w14:paraId="3CA6DB8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青岛联合友和食品有限公司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683FFE70"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A11045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4,718,411.59</w:t>
            </w:r>
          </w:p>
        </w:tc>
      </w:tr>
      <w:tr w:rsidR="001D26E7" w:rsidRPr="00F614F9" w14:paraId="1F8A0E4F" w14:textId="77777777" w:rsidTr="00B21A26">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188B3F6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tcPr>
          <w:p w14:paraId="310B596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青岛优尼特</w:t>
            </w:r>
            <w:proofErr w:type="gramStart"/>
            <w:r w:rsidRPr="00F614F9">
              <w:rPr>
                <w:rFonts w:ascii="Times New Roman" w:eastAsia="宋体" w:hAnsi="Times New Roman" w:cs="宋体"/>
                <w:sz w:val="18"/>
                <w:szCs w:val="18"/>
              </w:rPr>
              <w:t>尚品食品</w:t>
            </w:r>
            <w:proofErr w:type="gramEnd"/>
            <w:r w:rsidRPr="00F614F9">
              <w:rPr>
                <w:rFonts w:ascii="Times New Roman" w:eastAsia="宋体" w:hAnsi="Times New Roman" w:cs="宋体"/>
                <w:sz w:val="18"/>
                <w:szCs w:val="18"/>
              </w:rPr>
              <w:t>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1B71DD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3,155.96</w:t>
            </w:r>
          </w:p>
        </w:tc>
        <w:tc>
          <w:tcPr>
            <w:tcW w:w="2410" w:type="dxa"/>
            <w:tcBorders>
              <w:top w:val="single" w:sz="2" w:space="0" w:color="auto"/>
              <w:left w:val="single" w:sz="2" w:space="0" w:color="auto"/>
              <w:bottom w:val="single" w:sz="2" w:space="0" w:color="auto"/>
              <w:right w:val="single" w:sz="2" w:space="0" w:color="auto"/>
            </w:tcBorders>
            <w:vAlign w:val="center"/>
          </w:tcPr>
          <w:p w14:paraId="7A4E0E5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3,155.96</w:t>
            </w:r>
          </w:p>
        </w:tc>
      </w:tr>
      <w:tr w:rsidR="001D26E7" w:rsidRPr="00F614F9" w14:paraId="2D17FD95" w14:textId="77777777" w:rsidTr="00B21A26">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0E539E6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tcPr>
          <w:p w14:paraId="38EFB320"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四川远鸿物业管理</w:t>
            </w:r>
            <w:proofErr w:type="gramEnd"/>
            <w:r w:rsidRPr="00F614F9">
              <w:rPr>
                <w:rFonts w:ascii="Times New Roman" w:eastAsia="宋体" w:hAnsi="Times New Roman" w:cs="宋体"/>
                <w:sz w:val="18"/>
                <w:szCs w:val="18"/>
              </w:rPr>
              <w:t>有限公司温江分公司</w:t>
            </w:r>
          </w:p>
        </w:tc>
        <w:tc>
          <w:tcPr>
            <w:tcW w:w="2410" w:type="dxa"/>
            <w:tcBorders>
              <w:top w:val="single" w:sz="2" w:space="0" w:color="auto"/>
              <w:left w:val="single" w:sz="2" w:space="0" w:color="auto"/>
              <w:bottom w:val="single" w:sz="2" w:space="0" w:color="auto"/>
              <w:right w:val="single" w:sz="2" w:space="0" w:color="auto"/>
            </w:tcBorders>
            <w:vAlign w:val="center"/>
          </w:tcPr>
          <w:p w14:paraId="5EB79BD4"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4E1FF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2,324.45</w:t>
            </w:r>
          </w:p>
        </w:tc>
      </w:tr>
      <w:tr w:rsidR="001D26E7" w:rsidRPr="00F614F9" w14:paraId="0022173E" w14:textId="77777777" w:rsidTr="00B21A26">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0C6804E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tcPr>
          <w:p w14:paraId="0D9138F0"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牧原食品</w:t>
            </w:r>
            <w:proofErr w:type="gramEnd"/>
            <w:r w:rsidRPr="00F614F9">
              <w:rPr>
                <w:rFonts w:ascii="Times New Roman" w:eastAsia="宋体" w:hAnsi="Times New Roman" w:cs="宋体"/>
                <w:sz w:val="18"/>
                <w:szCs w:val="18"/>
              </w:rPr>
              <w:t>股份有限公司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1741FDF2"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9B7ED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161,604.56</w:t>
            </w:r>
          </w:p>
        </w:tc>
      </w:tr>
      <w:tr w:rsidR="001D26E7" w:rsidRPr="00F614F9" w14:paraId="6C20B833" w14:textId="77777777" w:rsidTr="00B21A26">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36E25C2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应付票据</w:t>
            </w:r>
          </w:p>
        </w:tc>
        <w:tc>
          <w:tcPr>
            <w:tcW w:w="2410" w:type="dxa"/>
            <w:tcBorders>
              <w:top w:val="single" w:sz="2" w:space="0" w:color="auto"/>
              <w:left w:val="single" w:sz="2" w:space="0" w:color="auto"/>
              <w:bottom w:val="single" w:sz="2" w:space="0" w:color="auto"/>
              <w:right w:val="single" w:sz="2" w:space="0" w:color="auto"/>
            </w:tcBorders>
            <w:vAlign w:val="center"/>
          </w:tcPr>
          <w:p w14:paraId="24F5E13E"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牧原食品</w:t>
            </w:r>
            <w:proofErr w:type="gramEnd"/>
            <w:r w:rsidRPr="00F614F9">
              <w:rPr>
                <w:rFonts w:ascii="Times New Roman" w:eastAsia="宋体" w:hAnsi="Times New Roman" w:cs="宋体"/>
                <w:sz w:val="18"/>
                <w:szCs w:val="18"/>
              </w:rPr>
              <w:t>股份有限公司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07CEDBA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129,090,000.00</w:t>
            </w:r>
          </w:p>
        </w:tc>
        <w:tc>
          <w:tcPr>
            <w:tcW w:w="2410" w:type="dxa"/>
            <w:tcBorders>
              <w:top w:val="single" w:sz="2" w:space="0" w:color="auto"/>
              <w:left w:val="single" w:sz="2" w:space="0" w:color="auto"/>
              <w:bottom w:val="single" w:sz="2" w:space="0" w:color="auto"/>
              <w:right w:val="single" w:sz="2" w:space="0" w:color="auto"/>
            </w:tcBorders>
            <w:vAlign w:val="center"/>
          </w:tcPr>
          <w:p w14:paraId="25CE084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60,000,000.00</w:t>
            </w:r>
          </w:p>
        </w:tc>
      </w:tr>
      <w:tr w:rsidR="001D26E7" w:rsidRPr="00F614F9" w14:paraId="204D06E2" w14:textId="77777777" w:rsidTr="00B21A26">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3E477B0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应付票据</w:t>
            </w:r>
          </w:p>
        </w:tc>
        <w:tc>
          <w:tcPr>
            <w:tcW w:w="2410" w:type="dxa"/>
            <w:tcBorders>
              <w:top w:val="single" w:sz="2" w:space="0" w:color="auto"/>
              <w:left w:val="single" w:sz="2" w:space="0" w:color="auto"/>
              <w:bottom w:val="single" w:sz="2" w:space="0" w:color="auto"/>
              <w:right w:val="single" w:sz="2" w:space="0" w:color="auto"/>
            </w:tcBorders>
            <w:vAlign w:val="center"/>
          </w:tcPr>
          <w:p w14:paraId="5746C69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青岛飞熊领鲜科技有限公司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513D073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69,764,916.67</w:t>
            </w:r>
          </w:p>
        </w:tc>
        <w:tc>
          <w:tcPr>
            <w:tcW w:w="2410" w:type="dxa"/>
            <w:tcBorders>
              <w:top w:val="single" w:sz="2" w:space="0" w:color="auto"/>
              <w:left w:val="single" w:sz="2" w:space="0" w:color="auto"/>
              <w:bottom w:val="single" w:sz="2" w:space="0" w:color="auto"/>
              <w:right w:val="single" w:sz="2" w:space="0" w:color="auto"/>
            </w:tcBorders>
            <w:vAlign w:val="center"/>
          </w:tcPr>
          <w:p w14:paraId="2D4A8E9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180,000,000.00</w:t>
            </w:r>
          </w:p>
        </w:tc>
      </w:tr>
      <w:tr w:rsidR="001D26E7" w:rsidRPr="00F614F9" w14:paraId="5B9EE50C" w14:textId="77777777" w:rsidTr="00B21A26">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460DBF4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其他应付款</w:t>
            </w:r>
          </w:p>
        </w:tc>
        <w:tc>
          <w:tcPr>
            <w:tcW w:w="2410" w:type="dxa"/>
            <w:tcBorders>
              <w:top w:val="single" w:sz="2" w:space="0" w:color="auto"/>
              <w:left w:val="single" w:sz="2" w:space="0" w:color="auto"/>
              <w:bottom w:val="single" w:sz="2" w:space="0" w:color="auto"/>
              <w:right w:val="single" w:sz="2" w:space="0" w:color="auto"/>
            </w:tcBorders>
            <w:vAlign w:val="center"/>
          </w:tcPr>
          <w:p w14:paraId="186FE2F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上海新农科技股份有限公司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1762948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61,740,000.00</w:t>
            </w:r>
          </w:p>
        </w:tc>
        <w:tc>
          <w:tcPr>
            <w:tcW w:w="2410" w:type="dxa"/>
            <w:tcBorders>
              <w:top w:val="single" w:sz="2" w:space="0" w:color="auto"/>
              <w:left w:val="single" w:sz="2" w:space="0" w:color="auto"/>
              <w:bottom w:val="single" w:sz="2" w:space="0" w:color="auto"/>
              <w:right w:val="single" w:sz="2" w:space="0" w:color="auto"/>
            </w:tcBorders>
            <w:vAlign w:val="center"/>
          </w:tcPr>
          <w:p w14:paraId="3BE858A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9C7F7EE" w14:textId="77777777" w:rsidTr="00B21A26">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79C5F56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租赁负债</w:t>
            </w:r>
          </w:p>
        </w:tc>
        <w:tc>
          <w:tcPr>
            <w:tcW w:w="2410" w:type="dxa"/>
            <w:tcBorders>
              <w:top w:val="single" w:sz="2" w:space="0" w:color="auto"/>
              <w:left w:val="single" w:sz="2" w:space="0" w:color="auto"/>
              <w:bottom w:val="single" w:sz="2" w:space="0" w:color="auto"/>
              <w:right w:val="single" w:sz="2" w:space="0" w:color="auto"/>
            </w:tcBorders>
            <w:vAlign w:val="center"/>
          </w:tcPr>
          <w:p w14:paraId="3A63FD1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成都润家商业管理有限公司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28F0DCE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1,856,765.43</w:t>
            </w:r>
          </w:p>
        </w:tc>
        <w:tc>
          <w:tcPr>
            <w:tcW w:w="2410" w:type="dxa"/>
            <w:tcBorders>
              <w:top w:val="single" w:sz="2" w:space="0" w:color="auto"/>
              <w:left w:val="single" w:sz="2" w:space="0" w:color="auto"/>
              <w:bottom w:val="single" w:sz="2" w:space="0" w:color="auto"/>
              <w:right w:val="single" w:sz="2" w:space="0" w:color="auto"/>
            </w:tcBorders>
            <w:vAlign w:val="center"/>
          </w:tcPr>
          <w:p w14:paraId="3B58692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2,873,340.67</w:t>
            </w:r>
          </w:p>
        </w:tc>
      </w:tr>
      <w:tr w:rsidR="001D26E7" w:rsidRPr="00F614F9" w14:paraId="5A024117" w14:textId="77777777" w:rsidTr="00B21A26">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177F46B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合同负债</w:t>
            </w:r>
          </w:p>
        </w:tc>
        <w:tc>
          <w:tcPr>
            <w:tcW w:w="2410" w:type="dxa"/>
            <w:tcBorders>
              <w:top w:val="single" w:sz="2" w:space="0" w:color="auto"/>
              <w:left w:val="single" w:sz="2" w:space="0" w:color="auto"/>
              <w:bottom w:val="single" w:sz="2" w:space="0" w:color="auto"/>
              <w:right w:val="single" w:sz="2" w:space="0" w:color="auto"/>
            </w:tcBorders>
            <w:vAlign w:val="center"/>
          </w:tcPr>
          <w:p w14:paraId="08C8D1D8"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四川远鸿物业管理</w:t>
            </w:r>
            <w:proofErr w:type="gramEnd"/>
            <w:r w:rsidRPr="00F614F9">
              <w:rPr>
                <w:rFonts w:ascii="Times New Roman" w:eastAsia="宋体" w:hAnsi="Times New Roman" w:cs="宋体"/>
                <w:sz w:val="18"/>
                <w:szCs w:val="18"/>
              </w:rPr>
              <w:t>有限公司温江分公司</w:t>
            </w:r>
          </w:p>
        </w:tc>
        <w:tc>
          <w:tcPr>
            <w:tcW w:w="2410" w:type="dxa"/>
            <w:tcBorders>
              <w:top w:val="single" w:sz="2" w:space="0" w:color="auto"/>
              <w:left w:val="single" w:sz="2" w:space="0" w:color="auto"/>
              <w:bottom w:val="single" w:sz="2" w:space="0" w:color="auto"/>
              <w:right w:val="single" w:sz="2" w:space="0" w:color="auto"/>
            </w:tcBorders>
            <w:vAlign w:val="center"/>
          </w:tcPr>
          <w:p w14:paraId="1B270C8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816.51</w:t>
            </w:r>
          </w:p>
        </w:tc>
        <w:tc>
          <w:tcPr>
            <w:tcW w:w="2410" w:type="dxa"/>
            <w:tcBorders>
              <w:top w:val="single" w:sz="2" w:space="0" w:color="auto"/>
              <w:left w:val="single" w:sz="2" w:space="0" w:color="auto"/>
              <w:bottom w:val="single" w:sz="2" w:space="0" w:color="auto"/>
              <w:right w:val="single" w:sz="2" w:space="0" w:color="auto"/>
            </w:tcBorders>
            <w:vAlign w:val="center"/>
          </w:tcPr>
          <w:p w14:paraId="4417A42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9E50856" w14:textId="77777777" w:rsidTr="00B21A26">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2387FB0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合同负债</w:t>
            </w:r>
          </w:p>
        </w:tc>
        <w:tc>
          <w:tcPr>
            <w:tcW w:w="2410" w:type="dxa"/>
            <w:tcBorders>
              <w:top w:val="single" w:sz="2" w:space="0" w:color="auto"/>
              <w:left w:val="single" w:sz="2" w:space="0" w:color="auto"/>
              <w:bottom w:val="single" w:sz="2" w:space="0" w:color="auto"/>
              <w:right w:val="single" w:sz="2" w:space="0" w:color="auto"/>
            </w:tcBorders>
            <w:vAlign w:val="center"/>
          </w:tcPr>
          <w:p w14:paraId="32B6160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成都璞悦酒店管理有限公司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0E79011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0.78</w:t>
            </w:r>
          </w:p>
        </w:tc>
        <w:tc>
          <w:tcPr>
            <w:tcW w:w="2410" w:type="dxa"/>
            <w:tcBorders>
              <w:top w:val="single" w:sz="2" w:space="0" w:color="auto"/>
              <w:left w:val="single" w:sz="2" w:space="0" w:color="auto"/>
              <w:bottom w:val="single" w:sz="2" w:space="0" w:color="auto"/>
              <w:right w:val="single" w:sz="2" w:space="0" w:color="auto"/>
            </w:tcBorders>
            <w:vAlign w:val="center"/>
          </w:tcPr>
          <w:p w14:paraId="532C69D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CF4BAFB" w14:textId="77777777" w:rsidTr="00B21A26">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127DC40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合同负债</w:t>
            </w:r>
          </w:p>
        </w:tc>
        <w:tc>
          <w:tcPr>
            <w:tcW w:w="2410" w:type="dxa"/>
            <w:tcBorders>
              <w:top w:val="single" w:sz="2" w:space="0" w:color="auto"/>
              <w:left w:val="single" w:sz="2" w:space="0" w:color="auto"/>
              <w:bottom w:val="single" w:sz="2" w:space="0" w:color="auto"/>
              <w:right w:val="single" w:sz="2" w:space="0" w:color="auto"/>
            </w:tcBorders>
            <w:vAlign w:val="center"/>
          </w:tcPr>
          <w:p w14:paraId="7DD612E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青岛飞熊领鲜科技有限公司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189F8035"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A0640E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1,055,347.91</w:t>
            </w:r>
          </w:p>
        </w:tc>
      </w:tr>
      <w:tr w:rsidR="001D26E7" w:rsidRPr="00F614F9" w14:paraId="33E5C896" w14:textId="77777777" w:rsidTr="00B21A26">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73B5F99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合同负债</w:t>
            </w:r>
          </w:p>
        </w:tc>
        <w:tc>
          <w:tcPr>
            <w:tcW w:w="2410" w:type="dxa"/>
            <w:tcBorders>
              <w:top w:val="single" w:sz="2" w:space="0" w:color="auto"/>
              <w:left w:val="single" w:sz="2" w:space="0" w:color="auto"/>
              <w:bottom w:val="single" w:sz="2" w:space="0" w:color="auto"/>
              <w:right w:val="single" w:sz="2" w:space="0" w:color="auto"/>
            </w:tcBorders>
            <w:vAlign w:val="center"/>
          </w:tcPr>
          <w:p w14:paraId="2734D77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青岛全</w:t>
            </w:r>
            <w:proofErr w:type="gramStart"/>
            <w:r w:rsidRPr="00F614F9">
              <w:rPr>
                <w:rFonts w:ascii="Times New Roman" w:eastAsia="宋体" w:hAnsi="Times New Roman" w:cs="宋体"/>
                <w:sz w:val="18"/>
                <w:szCs w:val="18"/>
              </w:rPr>
              <w:t>澳供应链科技</w:t>
            </w:r>
            <w:proofErr w:type="gramEnd"/>
            <w:r w:rsidRPr="00F614F9">
              <w:rPr>
                <w:rFonts w:ascii="Times New Roman" w:eastAsia="宋体" w:hAnsi="Times New Roman" w:cs="宋体"/>
                <w:sz w:val="18"/>
                <w:szCs w:val="18"/>
              </w:rPr>
              <w:t>股份有</w:t>
            </w:r>
            <w:r w:rsidRPr="00F614F9">
              <w:rPr>
                <w:rFonts w:ascii="Times New Roman" w:eastAsia="宋体" w:hAnsi="Times New Roman" w:cs="宋体"/>
                <w:sz w:val="18"/>
                <w:szCs w:val="18"/>
              </w:rPr>
              <w:t> </w:t>
            </w:r>
            <w:r w:rsidRPr="00F614F9">
              <w:rPr>
                <w:rFonts w:ascii="Times New Roman" w:eastAsia="宋体" w:hAnsi="Times New Roman" w:cs="宋体"/>
                <w:sz w:val="18"/>
                <w:szCs w:val="18"/>
              </w:rPr>
              <w:t>限公司</w:t>
            </w:r>
          </w:p>
        </w:tc>
        <w:tc>
          <w:tcPr>
            <w:tcW w:w="2410" w:type="dxa"/>
            <w:tcBorders>
              <w:top w:val="single" w:sz="2" w:space="0" w:color="auto"/>
              <w:left w:val="single" w:sz="2" w:space="0" w:color="auto"/>
              <w:bottom w:val="single" w:sz="2" w:space="0" w:color="auto"/>
              <w:right w:val="single" w:sz="2" w:space="0" w:color="auto"/>
            </w:tcBorders>
            <w:vAlign w:val="center"/>
          </w:tcPr>
          <w:p w14:paraId="313BDB1C" w14:textId="77777777" w:rsidR="001D26E7" w:rsidRPr="00F614F9" w:rsidRDefault="001D26E7">
            <w:pPr>
              <w:spacing w:line="240" w:lineRule="exact"/>
              <w:jc w:val="righ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0518EF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4,519.22</w:t>
            </w:r>
          </w:p>
        </w:tc>
      </w:tr>
      <w:tr w:rsidR="001D26E7" w:rsidRPr="00F614F9" w14:paraId="663FC2AB" w14:textId="77777777" w:rsidTr="00B21A26">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114CE0D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合同负债</w:t>
            </w:r>
          </w:p>
        </w:tc>
        <w:tc>
          <w:tcPr>
            <w:tcW w:w="2410" w:type="dxa"/>
            <w:tcBorders>
              <w:top w:val="single" w:sz="2" w:space="0" w:color="auto"/>
              <w:left w:val="single" w:sz="2" w:space="0" w:color="auto"/>
              <w:bottom w:val="single" w:sz="2" w:space="0" w:color="auto"/>
              <w:right w:val="single" w:sz="2" w:space="0" w:color="auto"/>
            </w:tcBorders>
            <w:vAlign w:val="center"/>
          </w:tcPr>
          <w:p w14:paraId="4D5A2A0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青岛联合友和食品有限公司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170A9EB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2,276.48</w:t>
            </w:r>
          </w:p>
        </w:tc>
        <w:tc>
          <w:tcPr>
            <w:tcW w:w="2410" w:type="dxa"/>
            <w:tcBorders>
              <w:top w:val="single" w:sz="2" w:space="0" w:color="auto"/>
              <w:left w:val="single" w:sz="2" w:space="0" w:color="auto"/>
              <w:bottom w:val="single" w:sz="2" w:space="0" w:color="auto"/>
              <w:right w:val="single" w:sz="2" w:space="0" w:color="auto"/>
            </w:tcBorders>
            <w:vAlign w:val="center"/>
          </w:tcPr>
          <w:p w14:paraId="0D7896D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1,197.58</w:t>
            </w:r>
          </w:p>
        </w:tc>
      </w:tr>
      <w:tr w:rsidR="001D26E7" w:rsidRPr="00F614F9" w14:paraId="72D4DFB4" w14:textId="77777777" w:rsidTr="00B21A26">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371C110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合同负债</w:t>
            </w:r>
          </w:p>
        </w:tc>
        <w:tc>
          <w:tcPr>
            <w:tcW w:w="2410" w:type="dxa"/>
            <w:tcBorders>
              <w:top w:val="single" w:sz="2" w:space="0" w:color="auto"/>
              <w:left w:val="single" w:sz="2" w:space="0" w:color="auto"/>
              <w:bottom w:val="single" w:sz="2" w:space="0" w:color="auto"/>
              <w:right w:val="single" w:sz="2" w:space="0" w:color="auto"/>
            </w:tcBorders>
            <w:vAlign w:val="center"/>
          </w:tcPr>
          <w:p w14:paraId="4AC643D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蓬莱富华冷藏有限公司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3326349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828,541.15</w:t>
            </w:r>
          </w:p>
        </w:tc>
        <w:tc>
          <w:tcPr>
            <w:tcW w:w="2410" w:type="dxa"/>
            <w:tcBorders>
              <w:top w:val="single" w:sz="2" w:space="0" w:color="auto"/>
              <w:left w:val="single" w:sz="2" w:space="0" w:color="auto"/>
              <w:bottom w:val="single" w:sz="2" w:space="0" w:color="auto"/>
              <w:right w:val="single" w:sz="2" w:space="0" w:color="auto"/>
            </w:tcBorders>
            <w:vAlign w:val="center"/>
          </w:tcPr>
          <w:p w14:paraId="5BBCBE1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7B1768D" w14:textId="77777777" w:rsidTr="00B21A26">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6B96DF7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1606F75A" w14:textId="77777777" w:rsidR="001D26E7" w:rsidRPr="00F614F9" w:rsidRDefault="001D26E7">
            <w:pPr>
              <w:spacing w:line="240" w:lineRule="exact"/>
              <w:rPr>
                <w:rFonts w:ascii="Times New Roman" w:eastAsia="宋体" w:hAnsi="Times New Roman"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44BF09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263,300,711.23</w:t>
            </w:r>
          </w:p>
        </w:tc>
        <w:tc>
          <w:tcPr>
            <w:tcW w:w="2410" w:type="dxa"/>
            <w:tcBorders>
              <w:top w:val="single" w:sz="2" w:space="0" w:color="auto"/>
              <w:left w:val="single" w:sz="2" w:space="0" w:color="auto"/>
              <w:bottom w:val="single" w:sz="2" w:space="0" w:color="auto"/>
              <w:right w:val="single" w:sz="2" w:space="0" w:color="auto"/>
            </w:tcBorders>
            <w:vAlign w:val="center"/>
          </w:tcPr>
          <w:p w14:paraId="1058BF5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258,671,798.37</w:t>
            </w:r>
          </w:p>
        </w:tc>
      </w:tr>
    </w:tbl>
    <w:p w14:paraId="2E1DC20F" w14:textId="77777777" w:rsidR="001D26E7" w:rsidRPr="00F614F9" w:rsidRDefault="00000000">
      <w:pPr>
        <w:pStyle w:val="3"/>
        <w:spacing w:line="280" w:lineRule="exact"/>
        <w:jc w:val="left"/>
        <w:rPr>
          <w:rFonts w:ascii="Times New Roman" w:hAnsi="Times New Roman" w:cs="宋体"/>
          <w:b/>
          <w:bCs/>
        </w:rPr>
      </w:pPr>
      <w:bookmarkStart w:id="594" w:name="_Toc989436"/>
      <w:r w:rsidRPr="00F614F9">
        <w:rPr>
          <w:rFonts w:ascii="Times New Roman" w:hAnsi="Times New Roman" w:cs="宋体"/>
          <w:b/>
          <w:bCs/>
        </w:rPr>
        <w:t>7</w:t>
      </w:r>
      <w:r w:rsidRPr="00F614F9">
        <w:rPr>
          <w:rFonts w:ascii="Times New Roman" w:hAnsi="Times New Roman" w:cs="宋体"/>
          <w:b/>
          <w:bCs/>
        </w:rPr>
        <w:t>、关联方承诺</w:t>
      </w:r>
      <w:bookmarkEnd w:id="594"/>
    </w:p>
    <w:p w14:paraId="46AA9430" w14:textId="77777777" w:rsidR="00872599" w:rsidRPr="00F614F9" w:rsidRDefault="00000000">
      <w:pPr>
        <w:pStyle w:val="a3"/>
        <w:spacing w:before="0" w:beforeAutospacing="0" w:after="0" w:afterAutospacing="0"/>
        <w:ind w:firstLine="540"/>
        <w:divId w:val="1051223208"/>
        <w:rPr>
          <w:rFonts w:ascii="Times New Roman" w:eastAsia="等线" w:hAnsi="Times New Roman"/>
          <w:sz w:val="21"/>
          <w:szCs w:val="21"/>
        </w:rPr>
      </w:pPr>
      <w:r w:rsidRPr="00F614F9">
        <w:rPr>
          <w:rFonts w:ascii="Times New Roman" w:hAnsi="Times New Roman" w:hint="eastAsia"/>
          <w:sz w:val="18"/>
          <w:szCs w:val="18"/>
        </w:rPr>
        <w:t>公司实际控制人戴学斌、董翔，公司控股股东蓝润发展控股集团有限公司，公司股东龙大食品集团有限公司、伊藤忠（中国）集团有限公司（</w:t>
      </w:r>
      <w:r w:rsidRPr="00F614F9">
        <w:rPr>
          <w:rFonts w:ascii="Times New Roman" w:hAnsi="Times New Roman" w:hint="eastAsia"/>
          <w:sz w:val="18"/>
          <w:szCs w:val="18"/>
        </w:rPr>
        <w:t>2021</w:t>
      </w:r>
      <w:r w:rsidRPr="00F614F9">
        <w:rPr>
          <w:rFonts w:ascii="Times New Roman" w:hAnsi="Times New Roman" w:hint="eastAsia"/>
          <w:sz w:val="18"/>
          <w:szCs w:val="18"/>
        </w:rPr>
        <w:t>年度已减持）、莱阳银龙投资有限公司，公司董事、监事、高级管理人员已</w:t>
      </w:r>
      <w:proofErr w:type="gramStart"/>
      <w:r w:rsidRPr="00F614F9">
        <w:rPr>
          <w:rFonts w:ascii="Times New Roman" w:hAnsi="Times New Roman" w:hint="eastAsia"/>
          <w:sz w:val="18"/>
          <w:szCs w:val="18"/>
        </w:rPr>
        <w:t>作出</w:t>
      </w:r>
      <w:proofErr w:type="gramEnd"/>
      <w:r w:rsidRPr="00F614F9">
        <w:rPr>
          <w:rFonts w:ascii="Times New Roman" w:hAnsi="Times New Roman" w:hint="eastAsia"/>
          <w:sz w:val="18"/>
          <w:szCs w:val="18"/>
        </w:rPr>
        <w:t>关于避免或减少关联交易的承诺，承诺</w:t>
      </w:r>
      <w:proofErr w:type="gramStart"/>
      <w:r w:rsidRPr="00F614F9">
        <w:rPr>
          <w:rFonts w:ascii="Times New Roman" w:hAnsi="Times New Roman" w:hint="eastAsia"/>
          <w:sz w:val="18"/>
          <w:szCs w:val="18"/>
        </w:rPr>
        <w:t>其及其</w:t>
      </w:r>
      <w:proofErr w:type="gramEnd"/>
      <w:r w:rsidRPr="00F614F9">
        <w:rPr>
          <w:rFonts w:ascii="Times New Roman" w:hAnsi="Times New Roman" w:hint="eastAsia"/>
          <w:sz w:val="18"/>
          <w:szCs w:val="18"/>
        </w:rPr>
        <w:t>控股或控制的企业（公司及其控股或控制的企业除外）与公司及其控股或控制的企业之间将尽可能地避免或减少关联交易；对于无法避免或者有合理原因而发生的关联交易，将遵循市场公正、公平、公开的原则，并依法签订协议，履行合法程序，按照有关法律法规、规则以及公司章程等有关规定履行信息披露义务和办理有关报批手续，保证不通过关联交易损害公司及其他股东的合法权益。及其控股或控制的企业（公司及其控股或控制的企业除外）不向公司拆借、占用公司资金或采取由公司代垫款、代偿债务等方式侵占公司资金。</w:t>
      </w:r>
    </w:p>
    <w:p w14:paraId="1903CE01" w14:textId="77777777" w:rsidR="001D26E7" w:rsidRPr="00F614F9" w:rsidRDefault="00000000">
      <w:pPr>
        <w:pStyle w:val="3"/>
        <w:spacing w:line="280" w:lineRule="exact"/>
        <w:jc w:val="left"/>
        <w:rPr>
          <w:rFonts w:ascii="Times New Roman" w:hAnsi="Times New Roman" w:cs="宋体"/>
          <w:b/>
          <w:bCs/>
        </w:rPr>
      </w:pPr>
      <w:bookmarkStart w:id="595" w:name="_Toc989437"/>
      <w:r w:rsidRPr="00F614F9">
        <w:rPr>
          <w:rFonts w:ascii="Times New Roman" w:hAnsi="Times New Roman" w:cs="宋体"/>
          <w:b/>
          <w:bCs/>
        </w:rPr>
        <w:t>8</w:t>
      </w:r>
      <w:r w:rsidRPr="00F614F9">
        <w:rPr>
          <w:rFonts w:ascii="Times New Roman" w:hAnsi="Times New Roman" w:cs="宋体"/>
          <w:b/>
          <w:bCs/>
        </w:rPr>
        <w:t>、其他</w:t>
      </w:r>
      <w:bookmarkEnd w:id="595"/>
    </w:p>
    <w:p w14:paraId="4202CAAA" w14:textId="77777777" w:rsidR="00872599" w:rsidRPr="00F614F9" w:rsidRDefault="00000000">
      <w:pPr>
        <w:pStyle w:val="a3"/>
        <w:divId w:val="1405370281"/>
        <w:rPr>
          <w:rFonts w:ascii="Times New Roman" w:hAnsi="Times New Roman"/>
          <w:sz w:val="18"/>
          <w:szCs w:val="18"/>
        </w:rPr>
      </w:pPr>
      <w:r w:rsidRPr="00F614F9">
        <w:rPr>
          <w:rFonts w:ascii="Times New Roman" w:hAnsi="Times New Roman" w:hint="eastAsia"/>
          <w:sz w:val="18"/>
          <w:szCs w:val="18"/>
        </w:rPr>
        <w:t>无</w:t>
      </w:r>
    </w:p>
    <w:p w14:paraId="0025AE7C"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596" w:name="_Toc989438"/>
      <w:bookmarkStart w:id="597" w:name="_Toc164024836"/>
      <w:r w:rsidRPr="00F614F9">
        <w:rPr>
          <w:rFonts w:ascii="Times New Roman" w:eastAsia="宋体" w:hAnsi="Times New Roman" w:cs="宋体"/>
          <w:b/>
          <w:bCs/>
          <w:sz w:val="24"/>
          <w:szCs w:val="24"/>
        </w:rPr>
        <w:lastRenderedPageBreak/>
        <w:t>十五、股份支付</w:t>
      </w:r>
      <w:bookmarkEnd w:id="596"/>
      <w:bookmarkEnd w:id="597"/>
    </w:p>
    <w:p w14:paraId="40A36C8A" w14:textId="77777777" w:rsidR="001D26E7" w:rsidRPr="00F614F9" w:rsidRDefault="00000000">
      <w:pPr>
        <w:pStyle w:val="3"/>
        <w:spacing w:line="280" w:lineRule="exact"/>
        <w:jc w:val="left"/>
        <w:rPr>
          <w:rFonts w:ascii="Times New Roman" w:hAnsi="Times New Roman" w:cs="宋体"/>
          <w:b/>
          <w:bCs/>
        </w:rPr>
      </w:pPr>
      <w:bookmarkStart w:id="598" w:name="_Toc989439"/>
      <w:r w:rsidRPr="00F614F9">
        <w:rPr>
          <w:rFonts w:ascii="Times New Roman" w:hAnsi="Times New Roman" w:cs="宋体"/>
          <w:b/>
          <w:bCs/>
        </w:rPr>
        <w:t>1</w:t>
      </w:r>
      <w:r w:rsidRPr="00F614F9">
        <w:rPr>
          <w:rFonts w:ascii="Times New Roman" w:hAnsi="Times New Roman" w:cs="宋体"/>
          <w:b/>
          <w:bCs/>
        </w:rPr>
        <w:t>、股份支付总体情况</w:t>
      </w:r>
      <w:bookmarkEnd w:id="598"/>
    </w:p>
    <w:p w14:paraId="5887CB64"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6C929AB6"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1D26E7" w:rsidRPr="00F614F9" w14:paraId="36AD14E0"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F461AB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授予对象类别</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F7C068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本期授予</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413EC7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本期行权</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B62A51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本期解锁</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264F8E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本期失效</w:t>
            </w:r>
          </w:p>
        </w:tc>
      </w:tr>
      <w:tr w:rsidR="001D26E7" w:rsidRPr="00F614F9" w14:paraId="39EC783E"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906AB3F" w14:textId="77777777" w:rsidR="001D26E7" w:rsidRPr="00F614F9" w:rsidRDefault="001D26E7">
            <w:pPr>
              <w:rPr>
                <w:rFonts w:ascii="Times New Roman" w:hAnsi="Times New Roman"/>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FE4498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3E4CDD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BBA04E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A5BE51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27194C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A64765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B1C093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D99A21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r>
    </w:tbl>
    <w:p w14:paraId="3FCDB060"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期末发行在外的股票期权或其他权益工具</w:t>
      </w:r>
    </w:p>
    <w:p w14:paraId="50F42226"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0CEEC63"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5D4F70F9" w14:textId="77777777" w:rsidR="001D26E7" w:rsidRPr="00F614F9" w:rsidRDefault="007E1BEF">
      <w:pPr>
        <w:rPr>
          <w:rFonts w:ascii="Times New Roman" w:eastAsia="宋体" w:hAnsi="Times New Roman"/>
          <w:sz w:val="18"/>
          <w:szCs w:val="20"/>
        </w:rPr>
      </w:pPr>
      <w:r w:rsidRPr="00F614F9">
        <w:rPr>
          <w:rFonts w:ascii="Times New Roman" w:eastAsia="宋体" w:hAnsi="Times New Roman" w:hint="eastAsia"/>
          <w:sz w:val="18"/>
          <w:szCs w:val="20"/>
        </w:rPr>
        <w:t>无</w:t>
      </w:r>
    </w:p>
    <w:p w14:paraId="4BADE695" w14:textId="77777777" w:rsidR="001D26E7" w:rsidRPr="00F614F9" w:rsidRDefault="00000000">
      <w:pPr>
        <w:pStyle w:val="3"/>
        <w:spacing w:line="280" w:lineRule="exact"/>
        <w:jc w:val="left"/>
        <w:rPr>
          <w:rFonts w:ascii="Times New Roman" w:hAnsi="Times New Roman" w:cs="宋体"/>
          <w:b/>
          <w:bCs/>
        </w:rPr>
      </w:pPr>
      <w:bookmarkStart w:id="599" w:name="_Toc989440"/>
      <w:r w:rsidRPr="00F614F9">
        <w:rPr>
          <w:rFonts w:ascii="Times New Roman" w:hAnsi="Times New Roman" w:cs="宋体"/>
          <w:b/>
          <w:bCs/>
        </w:rPr>
        <w:t>2</w:t>
      </w:r>
      <w:r w:rsidRPr="00F614F9">
        <w:rPr>
          <w:rFonts w:ascii="Times New Roman" w:hAnsi="Times New Roman" w:cs="宋体"/>
          <w:b/>
          <w:bCs/>
        </w:rPr>
        <w:t>、以权益结算的股份支付情况</w:t>
      </w:r>
      <w:bookmarkEnd w:id="599"/>
    </w:p>
    <w:p w14:paraId="6973D21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1B4EE49E"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1D26E7" w:rsidRPr="00F614F9" w14:paraId="26C9BA0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CA5405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授予日权益工具公允价值的确定方法</w:t>
            </w:r>
          </w:p>
        </w:tc>
        <w:tc>
          <w:tcPr>
            <w:tcW w:w="4820" w:type="dxa"/>
            <w:tcBorders>
              <w:top w:val="single" w:sz="2" w:space="0" w:color="auto"/>
              <w:left w:val="single" w:sz="2" w:space="0" w:color="auto"/>
              <w:bottom w:val="single" w:sz="2" w:space="0" w:color="auto"/>
              <w:right w:val="single" w:sz="2" w:space="0" w:color="auto"/>
            </w:tcBorders>
            <w:vAlign w:val="center"/>
          </w:tcPr>
          <w:p w14:paraId="2AA2134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限制性股权激励按照授予日股票收盘价格确定</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期权公允价值按照布</w:t>
            </w:r>
            <w:proofErr w:type="gramStart"/>
            <w:r w:rsidRPr="00F614F9">
              <w:rPr>
                <w:rFonts w:ascii="Times New Roman" w:eastAsia="宋体" w:hAnsi="Times New Roman" w:cs="宋体"/>
                <w:sz w:val="18"/>
                <w:szCs w:val="18"/>
              </w:rPr>
              <w:t>莱</w:t>
            </w:r>
            <w:proofErr w:type="gramEnd"/>
            <w:r w:rsidRPr="00F614F9">
              <w:rPr>
                <w:rFonts w:ascii="Times New Roman" w:eastAsia="宋体" w:hAnsi="Times New Roman" w:cs="宋体"/>
                <w:sz w:val="18"/>
                <w:szCs w:val="18"/>
              </w:rPr>
              <w:t>克</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斯科尔斯模型计算</w:t>
            </w:r>
          </w:p>
        </w:tc>
      </w:tr>
      <w:tr w:rsidR="001D26E7" w:rsidRPr="00F614F9" w14:paraId="6A806510"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3F2330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授予日权益工具公允价值的重要参数</w:t>
            </w:r>
          </w:p>
        </w:tc>
        <w:tc>
          <w:tcPr>
            <w:tcW w:w="4820" w:type="dxa"/>
            <w:tcBorders>
              <w:top w:val="single" w:sz="2" w:space="0" w:color="auto"/>
              <w:left w:val="single" w:sz="2" w:space="0" w:color="auto"/>
              <w:bottom w:val="single" w:sz="2" w:space="0" w:color="auto"/>
              <w:right w:val="single" w:sz="2" w:space="0" w:color="auto"/>
            </w:tcBorders>
            <w:vAlign w:val="center"/>
          </w:tcPr>
          <w:p w14:paraId="1D9B510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实际授予激励对象的转增后总份额</w:t>
            </w:r>
          </w:p>
        </w:tc>
      </w:tr>
      <w:tr w:rsidR="001D26E7" w:rsidRPr="00F614F9" w14:paraId="07F35C5F"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AB209C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本期估计与上期估计有重大差异的原因</w:t>
            </w:r>
          </w:p>
        </w:tc>
        <w:tc>
          <w:tcPr>
            <w:tcW w:w="4820" w:type="dxa"/>
            <w:tcBorders>
              <w:top w:val="single" w:sz="2" w:space="0" w:color="auto"/>
              <w:left w:val="single" w:sz="2" w:space="0" w:color="auto"/>
              <w:bottom w:val="single" w:sz="2" w:space="0" w:color="auto"/>
              <w:right w:val="single" w:sz="2" w:space="0" w:color="auto"/>
            </w:tcBorders>
            <w:vAlign w:val="center"/>
          </w:tcPr>
          <w:p w14:paraId="7B2CFD0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无</w:t>
            </w:r>
          </w:p>
        </w:tc>
      </w:tr>
      <w:tr w:rsidR="001D26E7" w:rsidRPr="00F614F9" w14:paraId="3725F145"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E2B5AC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以权益结算的股份支付计入资本公积的累计金额</w:t>
            </w:r>
          </w:p>
        </w:tc>
        <w:tc>
          <w:tcPr>
            <w:tcW w:w="4820" w:type="dxa"/>
            <w:tcBorders>
              <w:top w:val="single" w:sz="2" w:space="0" w:color="auto"/>
              <w:left w:val="single" w:sz="2" w:space="0" w:color="auto"/>
              <w:bottom w:val="single" w:sz="2" w:space="0" w:color="auto"/>
              <w:right w:val="single" w:sz="2" w:space="0" w:color="auto"/>
            </w:tcBorders>
            <w:vAlign w:val="center"/>
          </w:tcPr>
          <w:p w14:paraId="0046CCA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41,989,720.05</w:t>
            </w:r>
          </w:p>
        </w:tc>
      </w:tr>
      <w:tr w:rsidR="001D26E7" w:rsidRPr="00F614F9" w14:paraId="61C7A2E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5A5AC4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本期以权益结算的股份支付确认的费用总额</w:t>
            </w:r>
          </w:p>
        </w:tc>
        <w:tc>
          <w:tcPr>
            <w:tcW w:w="4820" w:type="dxa"/>
            <w:tcBorders>
              <w:top w:val="single" w:sz="2" w:space="0" w:color="auto"/>
              <w:left w:val="single" w:sz="2" w:space="0" w:color="auto"/>
              <w:bottom w:val="single" w:sz="2" w:space="0" w:color="auto"/>
              <w:right w:val="single" w:sz="2" w:space="0" w:color="auto"/>
            </w:tcBorders>
            <w:vAlign w:val="center"/>
          </w:tcPr>
          <w:p w14:paraId="7FCFCBB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bl>
    <w:p w14:paraId="42C0FCA3"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其他说明：</w:t>
      </w:r>
    </w:p>
    <w:p w14:paraId="00A8E411" w14:textId="77777777" w:rsidR="00872599" w:rsidRPr="00F614F9" w:rsidRDefault="00000000">
      <w:pPr>
        <w:pStyle w:val="a3"/>
        <w:divId w:val="1540777757"/>
        <w:rPr>
          <w:rFonts w:ascii="Times New Roman" w:hAnsi="Times New Roman"/>
          <w:sz w:val="18"/>
          <w:szCs w:val="18"/>
        </w:rPr>
      </w:pPr>
      <w:r w:rsidRPr="00F614F9">
        <w:rPr>
          <w:rFonts w:ascii="Times New Roman" w:hAnsi="Times New Roman" w:hint="eastAsia"/>
          <w:sz w:val="18"/>
          <w:szCs w:val="18"/>
        </w:rPr>
        <w:t>无</w:t>
      </w:r>
    </w:p>
    <w:p w14:paraId="6A421466" w14:textId="77777777" w:rsidR="001D26E7" w:rsidRPr="00F614F9" w:rsidRDefault="00000000">
      <w:pPr>
        <w:pStyle w:val="3"/>
        <w:spacing w:line="280" w:lineRule="exact"/>
        <w:jc w:val="left"/>
        <w:rPr>
          <w:rFonts w:ascii="Times New Roman" w:hAnsi="Times New Roman" w:cs="宋体"/>
          <w:b/>
          <w:bCs/>
        </w:rPr>
      </w:pPr>
      <w:bookmarkStart w:id="600" w:name="_Toc989441"/>
      <w:r w:rsidRPr="00F614F9">
        <w:rPr>
          <w:rFonts w:ascii="Times New Roman" w:hAnsi="Times New Roman" w:cs="宋体"/>
          <w:b/>
          <w:bCs/>
        </w:rPr>
        <w:t>3</w:t>
      </w:r>
      <w:r w:rsidRPr="00F614F9">
        <w:rPr>
          <w:rFonts w:ascii="Times New Roman" w:hAnsi="Times New Roman" w:cs="宋体"/>
          <w:b/>
          <w:bCs/>
        </w:rPr>
        <w:t>、以现金结算的股份支付情况</w:t>
      </w:r>
      <w:bookmarkEnd w:id="600"/>
    </w:p>
    <w:p w14:paraId="04157E0D"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791745E" w14:textId="77777777" w:rsidR="001D26E7" w:rsidRPr="00F614F9" w:rsidRDefault="00000000">
      <w:pPr>
        <w:pStyle w:val="3"/>
        <w:spacing w:line="280" w:lineRule="exact"/>
        <w:jc w:val="left"/>
        <w:rPr>
          <w:rFonts w:ascii="Times New Roman" w:hAnsi="Times New Roman" w:cs="宋体"/>
          <w:b/>
          <w:bCs/>
        </w:rPr>
      </w:pPr>
      <w:bookmarkStart w:id="601" w:name="_Toc989442"/>
      <w:r w:rsidRPr="00F614F9">
        <w:rPr>
          <w:rFonts w:ascii="Times New Roman" w:hAnsi="Times New Roman" w:cs="宋体"/>
          <w:b/>
          <w:bCs/>
        </w:rPr>
        <w:t>4</w:t>
      </w:r>
      <w:r w:rsidRPr="00F614F9">
        <w:rPr>
          <w:rFonts w:ascii="Times New Roman" w:hAnsi="Times New Roman" w:cs="宋体"/>
          <w:b/>
          <w:bCs/>
        </w:rPr>
        <w:t>、本期股份支付费用</w:t>
      </w:r>
      <w:bookmarkEnd w:id="601"/>
    </w:p>
    <w:p w14:paraId="322A041B"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10EC3E01" w14:textId="77777777" w:rsidR="001D26E7" w:rsidRPr="00F614F9" w:rsidRDefault="00000000">
      <w:pPr>
        <w:pStyle w:val="3"/>
        <w:spacing w:line="280" w:lineRule="exact"/>
        <w:jc w:val="left"/>
        <w:rPr>
          <w:rFonts w:ascii="Times New Roman" w:hAnsi="Times New Roman" w:cs="宋体"/>
          <w:b/>
          <w:bCs/>
        </w:rPr>
      </w:pPr>
      <w:bookmarkStart w:id="602" w:name="_Toc989443"/>
      <w:r w:rsidRPr="00F614F9">
        <w:rPr>
          <w:rFonts w:ascii="Times New Roman" w:hAnsi="Times New Roman" w:cs="宋体"/>
          <w:b/>
          <w:bCs/>
        </w:rPr>
        <w:t>5</w:t>
      </w:r>
      <w:r w:rsidRPr="00F614F9">
        <w:rPr>
          <w:rFonts w:ascii="Times New Roman" w:hAnsi="Times New Roman" w:cs="宋体"/>
          <w:b/>
          <w:bCs/>
        </w:rPr>
        <w:t>、股份支付的修改、终止情况</w:t>
      </w:r>
      <w:bookmarkEnd w:id="602"/>
    </w:p>
    <w:p w14:paraId="521356B2" w14:textId="77777777" w:rsidR="00872599" w:rsidRPr="00F614F9" w:rsidRDefault="00000000">
      <w:pPr>
        <w:pStyle w:val="a3"/>
        <w:divId w:val="1686665675"/>
        <w:rPr>
          <w:rFonts w:ascii="Times New Roman" w:hAnsi="Times New Roman"/>
          <w:sz w:val="18"/>
          <w:szCs w:val="18"/>
        </w:rPr>
      </w:pPr>
      <w:r w:rsidRPr="00F614F9">
        <w:rPr>
          <w:rFonts w:ascii="Times New Roman" w:hAnsi="Times New Roman" w:hint="eastAsia"/>
          <w:sz w:val="18"/>
          <w:szCs w:val="18"/>
        </w:rPr>
        <w:t>无</w:t>
      </w:r>
    </w:p>
    <w:p w14:paraId="4AF1DC8E" w14:textId="77777777" w:rsidR="001D26E7" w:rsidRPr="00F614F9" w:rsidRDefault="00000000">
      <w:pPr>
        <w:pStyle w:val="3"/>
        <w:spacing w:line="280" w:lineRule="exact"/>
        <w:jc w:val="left"/>
        <w:rPr>
          <w:rFonts w:ascii="Times New Roman" w:hAnsi="Times New Roman" w:cs="宋体"/>
          <w:b/>
          <w:bCs/>
        </w:rPr>
      </w:pPr>
      <w:bookmarkStart w:id="603" w:name="_Toc989444"/>
      <w:r w:rsidRPr="00F614F9">
        <w:rPr>
          <w:rFonts w:ascii="Times New Roman" w:hAnsi="Times New Roman" w:cs="宋体"/>
          <w:b/>
          <w:bCs/>
        </w:rPr>
        <w:t>6</w:t>
      </w:r>
      <w:r w:rsidRPr="00F614F9">
        <w:rPr>
          <w:rFonts w:ascii="Times New Roman" w:hAnsi="Times New Roman" w:cs="宋体"/>
          <w:b/>
          <w:bCs/>
        </w:rPr>
        <w:t>、其他</w:t>
      </w:r>
      <w:r w:rsidRPr="00F614F9">
        <w:rPr>
          <w:rFonts w:ascii="Times New Roman" w:hAnsi="Times New Roman" w:cs="宋体"/>
          <w:b/>
          <w:bCs/>
        </w:rPr>
        <w:t xml:space="preserve"> </w:t>
      </w:r>
      <w:bookmarkEnd w:id="603"/>
    </w:p>
    <w:p w14:paraId="3BA71106" w14:textId="77777777" w:rsidR="00872599" w:rsidRPr="00F614F9" w:rsidRDefault="00000000">
      <w:pPr>
        <w:pStyle w:val="a3"/>
        <w:divId w:val="904949713"/>
        <w:rPr>
          <w:rFonts w:ascii="Times New Roman" w:hAnsi="Times New Roman"/>
          <w:sz w:val="18"/>
          <w:szCs w:val="18"/>
        </w:rPr>
      </w:pPr>
      <w:r w:rsidRPr="00F614F9">
        <w:rPr>
          <w:rFonts w:ascii="Times New Roman" w:hAnsi="Times New Roman" w:hint="eastAsia"/>
          <w:sz w:val="18"/>
          <w:szCs w:val="18"/>
        </w:rPr>
        <w:t>无</w:t>
      </w:r>
    </w:p>
    <w:p w14:paraId="1344DA11"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604" w:name="_Toc989445"/>
      <w:bookmarkStart w:id="605" w:name="_Toc164024837"/>
      <w:r w:rsidRPr="00F614F9">
        <w:rPr>
          <w:rFonts w:ascii="Times New Roman" w:eastAsia="宋体" w:hAnsi="Times New Roman" w:cs="宋体"/>
          <w:b/>
          <w:bCs/>
          <w:sz w:val="24"/>
          <w:szCs w:val="24"/>
        </w:rPr>
        <w:lastRenderedPageBreak/>
        <w:t>十六、承诺及或有事项</w:t>
      </w:r>
      <w:bookmarkEnd w:id="604"/>
      <w:bookmarkEnd w:id="605"/>
    </w:p>
    <w:p w14:paraId="536E6B35" w14:textId="77777777" w:rsidR="001D26E7" w:rsidRPr="00F614F9" w:rsidRDefault="00000000">
      <w:pPr>
        <w:pStyle w:val="3"/>
        <w:spacing w:line="280" w:lineRule="exact"/>
        <w:jc w:val="left"/>
        <w:rPr>
          <w:rFonts w:ascii="Times New Roman" w:hAnsi="Times New Roman" w:cs="宋体"/>
          <w:b/>
          <w:bCs/>
        </w:rPr>
      </w:pPr>
      <w:bookmarkStart w:id="606" w:name="_Toc989446"/>
      <w:r w:rsidRPr="00F614F9">
        <w:rPr>
          <w:rFonts w:ascii="Times New Roman" w:hAnsi="Times New Roman" w:cs="宋体"/>
          <w:b/>
          <w:bCs/>
        </w:rPr>
        <w:t>1</w:t>
      </w:r>
      <w:r w:rsidRPr="00F614F9">
        <w:rPr>
          <w:rFonts w:ascii="Times New Roman" w:hAnsi="Times New Roman" w:cs="宋体"/>
          <w:b/>
          <w:bCs/>
        </w:rPr>
        <w:t>、重要承诺事项</w:t>
      </w:r>
      <w:bookmarkEnd w:id="606"/>
    </w:p>
    <w:p w14:paraId="4E13B07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资产负债表</w:t>
      </w:r>
      <w:proofErr w:type="gramStart"/>
      <w:r w:rsidRPr="00F614F9">
        <w:rPr>
          <w:rFonts w:ascii="Times New Roman" w:eastAsia="宋体" w:hAnsi="Times New Roman" w:cs="宋体"/>
          <w:sz w:val="18"/>
          <w:szCs w:val="18"/>
        </w:rPr>
        <w:t>日存在</w:t>
      </w:r>
      <w:proofErr w:type="gramEnd"/>
      <w:r w:rsidRPr="00F614F9">
        <w:rPr>
          <w:rFonts w:ascii="Times New Roman" w:eastAsia="宋体" w:hAnsi="Times New Roman" w:cs="宋体"/>
          <w:sz w:val="18"/>
          <w:szCs w:val="18"/>
        </w:rPr>
        <w:t>的重要承诺</w:t>
      </w:r>
    </w:p>
    <w:p w14:paraId="64658165"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w:t>
      </w:r>
      <w:r w:rsidRPr="00F614F9">
        <w:rPr>
          <w:rFonts w:ascii="Times New Roman" w:eastAsia="宋体" w:hAnsi="Times New Roman"/>
          <w:sz w:val="18"/>
          <w:szCs w:val="20"/>
        </w:rPr>
        <w:t>1</w:t>
      </w:r>
      <w:r w:rsidRPr="00F614F9">
        <w:rPr>
          <w:rFonts w:ascii="Times New Roman" w:eastAsia="宋体" w:hAnsi="Times New Roman" w:hint="eastAsia"/>
          <w:sz w:val="18"/>
          <w:szCs w:val="20"/>
        </w:rPr>
        <w:t>）本公司于</w:t>
      </w:r>
      <w:r w:rsidRPr="00F614F9">
        <w:rPr>
          <w:rFonts w:ascii="Times New Roman" w:eastAsia="宋体" w:hAnsi="Times New Roman"/>
          <w:sz w:val="18"/>
          <w:szCs w:val="20"/>
        </w:rPr>
        <w:t>2020</w:t>
      </w:r>
      <w:r w:rsidRPr="00F614F9">
        <w:rPr>
          <w:rFonts w:ascii="Times New Roman" w:eastAsia="宋体" w:hAnsi="Times New Roman" w:hint="eastAsia"/>
          <w:sz w:val="18"/>
          <w:szCs w:val="20"/>
        </w:rPr>
        <w:t>年</w:t>
      </w:r>
      <w:r w:rsidRPr="00F614F9">
        <w:rPr>
          <w:rFonts w:ascii="Times New Roman" w:eastAsia="宋体" w:hAnsi="Times New Roman"/>
          <w:sz w:val="18"/>
          <w:szCs w:val="20"/>
        </w:rPr>
        <w:t>3</w:t>
      </w:r>
      <w:r w:rsidRPr="00F614F9">
        <w:rPr>
          <w:rFonts w:ascii="Times New Roman" w:eastAsia="宋体" w:hAnsi="Times New Roman" w:hint="eastAsia"/>
          <w:sz w:val="18"/>
          <w:szCs w:val="20"/>
        </w:rPr>
        <w:t>月</w:t>
      </w:r>
      <w:r w:rsidRPr="00F614F9">
        <w:rPr>
          <w:rFonts w:ascii="Times New Roman" w:eastAsia="宋体" w:hAnsi="Times New Roman"/>
          <w:sz w:val="18"/>
          <w:szCs w:val="20"/>
        </w:rPr>
        <w:t>20</w:t>
      </w:r>
      <w:r w:rsidRPr="00F614F9">
        <w:rPr>
          <w:rFonts w:ascii="Times New Roman" w:eastAsia="宋体" w:hAnsi="Times New Roman" w:hint="eastAsia"/>
          <w:sz w:val="18"/>
          <w:szCs w:val="20"/>
        </w:rPr>
        <w:t>日设立全资子公司青岛龙大管理咨询服务有限公司，注册资本为</w:t>
      </w:r>
      <w:r w:rsidRPr="00F614F9">
        <w:rPr>
          <w:rFonts w:ascii="Times New Roman" w:eastAsia="宋体" w:hAnsi="Times New Roman"/>
          <w:sz w:val="18"/>
          <w:szCs w:val="20"/>
        </w:rPr>
        <w:t>1,000</w:t>
      </w:r>
      <w:r w:rsidRPr="00F614F9">
        <w:rPr>
          <w:rFonts w:ascii="Times New Roman" w:eastAsia="宋体" w:hAnsi="Times New Roman" w:hint="eastAsia"/>
          <w:sz w:val="18"/>
          <w:szCs w:val="20"/>
        </w:rPr>
        <w:t>万元，章程约定出资时间为</w:t>
      </w:r>
      <w:r w:rsidRPr="00F614F9">
        <w:rPr>
          <w:rFonts w:ascii="Times New Roman" w:eastAsia="宋体" w:hAnsi="Times New Roman"/>
          <w:sz w:val="18"/>
          <w:szCs w:val="20"/>
        </w:rPr>
        <w:t>2020</w:t>
      </w:r>
      <w:r w:rsidRPr="00F614F9">
        <w:rPr>
          <w:rFonts w:ascii="Times New Roman" w:eastAsia="宋体" w:hAnsi="Times New Roman" w:hint="eastAsia"/>
          <w:sz w:val="18"/>
          <w:szCs w:val="20"/>
        </w:rPr>
        <w:t>年</w:t>
      </w:r>
      <w:r w:rsidRPr="00F614F9">
        <w:rPr>
          <w:rFonts w:ascii="Times New Roman" w:eastAsia="宋体" w:hAnsi="Times New Roman"/>
          <w:sz w:val="18"/>
          <w:szCs w:val="20"/>
        </w:rPr>
        <w:t>5</w:t>
      </w:r>
      <w:r w:rsidRPr="00F614F9">
        <w:rPr>
          <w:rFonts w:ascii="Times New Roman" w:eastAsia="宋体" w:hAnsi="Times New Roman" w:hint="eastAsia"/>
          <w:sz w:val="18"/>
          <w:szCs w:val="20"/>
        </w:rPr>
        <w:t>月</w:t>
      </w:r>
      <w:r w:rsidRPr="00F614F9">
        <w:rPr>
          <w:rFonts w:ascii="Times New Roman" w:eastAsia="宋体" w:hAnsi="Times New Roman"/>
          <w:sz w:val="18"/>
          <w:szCs w:val="20"/>
        </w:rPr>
        <w:t>30</w:t>
      </w:r>
      <w:r w:rsidRPr="00F614F9">
        <w:rPr>
          <w:rFonts w:ascii="Times New Roman" w:eastAsia="宋体" w:hAnsi="Times New Roman" w:hint="eastAsia"/>
          <w:sz w:val="18"/>
          <w:szCs w:val="20"/>
        </w:rPr>
        <w:t>日。</w:t>
      </w:r>
    </w:p>
    <w:p w14:paraId="2521FA6D"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截至</w:t>
      </w:r>
      <w:r w:rsidRPr="00F614F9">
        <w:rPr>
          <w:rFonts w:ascii="Times New Roman" w:eastAsia="宋体" w:hAnsi="Times New Roman"/>
          <w:sz w:val="18"/>
          <w:szCs w:val="20"/>
        </w:rPr>
        <w:t>2023</w:t>
      </w:r>
      <w:r w:rsidRPr="00F614F9">
        <w:rPr>
          <w:rFonts w:ascii="Times New Roman" w:eastAsia="宋体" w:hAnsi="Times New Roman" w:hint="eastAsia"/>
          <w:sz w:val="18"/>
          <w:szCs w:val="20"/>
        </w:rPr>
        <w:t>年</w:t>
      </w:r>
      <w:r w:rsidRPr="00F614F9">
        <w:rPr>
          <w:rFonts w:ascii="Times New Roman" w:eastAsia="宋体" w:hAnsi="Times New Roman"/>
          <w:sz w:val="18"/>
          <w:szCs w:val="20"/>
        </w:rPr>
        <w:t>12</w:t>
      </w:r>
      <w:r w:rsidRPr="00F614F9">
        <w:rPr>
          <w:rFonts w:ascii="Times New Roman" w:eastAsia="宋体" w:hAnsi="Times New Roman" w:hint="eastAsia"/>
          <w:sz w:val="18"/>
          <w:szCs w:val="20"/>
        </w:rPr>
        <w:t>月</w:t>
      </w:r>
      <w:r w:rsidRPr="00F614F9">
        <w:rPr>
          <w:rFonts w:ascii="Times New Roman" w:eastAsia="宋体" w:hAnsi="Times New Roman"/>
          <w:sz w:val="18"/>
          <w:szCs w:val="20"/>
        </w:rPr>
        <w:t>31</w:t>
      </w:r>
      <w:r w:rsidRPr="00F614F9">
        <w:rPr>
          <w:rFonts w:ascii="Times New Roman" w:eastAsia="宋体" w:hAnsi="Times New Roman" w:hint="eastAsia"/>
          <w:sz w:val="18"/>
          <w:szCs w:val="20"/>
        </w:rPr>
        <w:t>日，本公司实缴出资</w:t>
      </w:r>
      <w:r w:rsidRPr="00F614F9">
        <w:rPr>
          <w:rFonts w:ascii="Times New Roman" w:eastAsia="宋体" w:hAnsi="Times New Roman"/>
          <w:sz w:val="18"/>
          <w:szCs w:val="20"/>
        </w:rPr>
        <w:t>0</w:t>
      </w:r>
      <w:r w:rsidRPr="00F614F9">
        <w:rPr>
          <w:rFonts w:ascii="Times New Roman" w:eastAsia="宋体" w:hAnsi="Times New Roman" w:hint="eastAsia"/>
          <w:sz w:val="18"/>
          <w:szCs w:val="20"/>
        </w:rPr>
        <w:t>元，剩余</w:t>
      </w:r>
      <w:r w:rsidRPr="00F614F9">
        <w:rPr>
          <w:rFonts w:ascii="Times New Roman" w:eastAsia="宋体" w:hAnsi="Times New Roman"/>
          <w:sz w:val="18"/>
          <w:szCs w:val="20"/>
        </w:rPr>
        <w:t>10,000,000.00</w:t>
      </w:r>
      <w:r w:rsidRPr="00F614F9">
        <w:rPr>
          <w:rFonts w:ascii="Times New Roman" w:eastAsia="宋体" w:hAnsi="Times New Roman" w:hint="eastAsia"/>
          <w:sz w:val="18"/>
          <w:szCs w:val="20"/>
        </w:rPr>
        <w:t>元尚未出资。</w:t>
      </w:r>
    </w:p>
    <w:p w14:paraId="2390EF4E"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w:t>
      </w:r>
      <w:r w:rsidRPr="00F614F9">
        <w:rPr>
          <w:rFonts w:ascii="Times New Roman" w:eastAsia="宋体" w:hAnsi="Times New Roman"/>
          <w:sz w:val="18"/>
          <w:szCs w:val="20"/>
        </w:rPr>
        <w:t>2</w:t>
      </w:r>
      <w:r w:rsidRPr="00F614F9">
        <w:rPr>
          <w:rFonts w:ascii="Times New Roman" w:eastAsia="宋体" w:hAnsi="Times New Roman" w:hint="eastAsia"/>
          <w:sz w:val="18"/>
          <w:szCs w:val="20"/>
        </w:rPr>
        <w:t>）本公司于</w:t>
      </w:r>
      <w:r w:rsidRPr="00F614F9">
        <w:rPr>
          <w:rFonts w:ascii="Times New Roman" w:eastAsia="宋体" w:hAnsi="Times New Roman"/>
          <w:sz w:val="18"/>
          <w:szCs w:val="20"/>
        </w:rPr>
        <w:t>2020</w:t>
      </w:r>
      <w:r w:rsidRPr="00F614F9">
        <w:rPr>
          <w:rFonts w:ascii="Times New Roman" w:eastAsia="宋体" w:hAnsi="Times New Roman" w:hint="eastAsia"/>
          <w:sz w:val="18"/>
          <w:szCs w:val="20"/>
        </w:rPr>
        <w:t>年</w:t>
      </w:r>
      <w:r w:rsidRPr="00F614F9">
        <w:rPr>
          <w:rFonts w:ascii="Times New Roman" w:eastAsia="宋体" w:hAnsi="Times New Roman"/>
          <w:sz w:val="18"/>
          <w:szCs w:val="20"/>
        </w:rPr>
        <w:t>9</w:t>
      </w:r>
      <w:r w:rsidRPr="00F614F9">
        <w:rPr>
          <w:rFonts w:ascii="Times New Roman" w:eastAsia="宋体" w:hAnsi="Times New Roman" w:hint="eastAsia"/>
          <w:sz w:val="18"/>
          <w:szCs w:val="20"/>
        </w:rPr>
        <w:t>月</w:t>
      </w:r>
      <w:r w:rsidRPr="00F614F9">
        <w:rPr>
          <w:rFonts w:ascii="Times New Roman" w:eastAsia="宋体" w:hAnsi="Times New Roman"/>
          <w:sz w:val="18"/>
          <w:szCs w:val="20"/>
        </w:rPr>
        <w:t>24</w:t>
      </w:r>
      <w:r w:rsidRPr="00F614F9">
        <w:rPr>
          <w:rFonts w:ascii="Times New Roman" w:eastAsia="宋体" w:hAnsi="Times New Roman" w:hint="eastAsia"/>
          <w:sz w:val="18"/>
          <w:szCs w:val="20"/>
        </w:rPr>
        <w:t>日，设立控股子公司江苏龙大沁侬食品有限公司，注册资本为</w:t>
      </w:r>
      <w:r w:rsidRPr="00F614F9">
        <w:rPr>
          <w:rFonts w:ascii="Times New Roman" w:eastAsia="宋体" w:hAnsi="Times New Roman"/>
          <w:sz w:val="18"/>
          <w:szCs w:val="20"/>
        </w:rPr>
        <w:t>2</w:t>
      </w:r>
      <w:r w:rsidRPr="00F614F9">
        <w:rPr>
          <w:rFonts w:ascii="Times New Roman" w:eastAsia="宋体" w:hAnsi="Times New Roman" w:hint="eastAsia"/>
          <w:sz w:val="18"/>
          <w:szCs w:val="20"/>
        </w:rPr>
        <w:t>亿元，</w:t>
      </w:r>
      <w:r w:rsidRPr="00F614F9">
        <w:rPr>
          <w:rFonts w:ascii="Times New Roman" w:eastAsia="宋体" w:hAnsi="Times New Roman"/>
          <w:sz w:val="18"/>
          <w:szCs w:val="20"/>
        </w:rPr>
        <w:t>2023</w:t>
      </w:r>
      <w:r w:rsidRPr="00F614F9">
        <w:rPr>
          <w:rFonts w:ascii="Times New Roman" w:eastAsia="宋体" w:hAnsi="Times New Roman" w:hint="eastAsia"/>
          <w:sz w:val="18"/>
          <w:szCs w:val="20"/>
        </w:rPr>
        <w:t>年收购少数股东股权后，本公司持股比例为</w:t>
      </w:r>
      <w:r w:rsidRPr="00F614F9">
        <w:rPr>
          <w:rFonts w:ascii="Times New Roman" w:eastAsia="宋体" w:hAnsi="Times New Roman"/>
          <w:sz w:val="18"/>
          <w:szCs w:val="20"/>
        </w:rPr>
        <w:t>100.00%</w:t>
      </w:r>
      <w:r w:rsidRPr="00F614F9">
        <w:rPr>
          <w:rFonts w:ascii="Times New Roman" w:eastAsia="宋体" w:hAnsi="Times New Roman" w:hint="eastAsia"/>
          <w:sz w:val="18"/>
          <w:szCs w:val="20"/>
        </w:rPr>
        <w:t>，约定出资时间为</w:t>
      </w:r>
      <w:r w:rsidRPr="00F614F9">
        <w:rPr>
          <w:rFonts w:ascii="Times New Roman" w:eastAsia="宋体" w:hAnsi="Times New Roman"/>
          <w:sz w:val="18"/>
          <w:szCs w:val="20"/>
        </w:rPr>
        <w:t>2040</w:t>
      </w:r>
      <w:r w:rsidRPr="00F614F9">
        <w:rPr>
          <w:rFonts w:ascii="Times New Roman" w:eastAsia="宋体" w:hAnsi="Times New Roman" w:hint="eastAsia"/>
          <w:sz w:val="18"/>
          <w:szCs w:val="20"/>
        </w:rPr>
        <w:t>年</w:t>
      </w:r>
      <w:r w:rsidRPr="00F614F9">
        <w:rPr>
          <w:rFonts w:ascii="Times New Roman" w:eastAsia="宋体" w:hAnsi="Times New Roman"/>
          <w:sz w:val="18"/>
          <w:szCs w:val="20"/>
        </w:rPr>
        <w:t>09</w:t>
      </w:r>
      <w:r w:rsidRPr="00F614F9">
        <w:rPr>
          <w:rFonts w:ascii="Times New Roman" w:eastAsia="宋体" w:hAnsi="Times New Roman" w:hint="eastAsia"/>
          <w:sz w:val="18"/>
          <w:szCs w:val="20"/>
        </w:rPr>
        <w:t>月</w:t>
      </w:r>
      <w:r w:rsidRPr="00F614F9">
        <w:rPr>
          <w:rFonts w:ascii="Times New Roman" w:eastAsia="宋体" w:hAnsi="Times New Roman"/>
          <w:sz w:val="18"/>
          <w:szCs w:val="20"/>
        </w:rPr>
        <w:t>23</w:t>
      </w:r>
      <w:r w:rsidRPr="00F614F9">
        <w:rPr>
          <w:rFonts w:ascii="Times New Roman" w:eastAsia="宋体" w:hAnsi="Times New Roman" w:hint="eastAsia"/>
          <w:sz w:val="18"/>
          <w:szCs w:val="20"/>
        </w:rPr>
        <w:t>日前。</w:t>
      </w:r>
    </w:p>
    <w:p w14:paraId="0A3956A9"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截至</w:t>
      </w:r>
      <w:r w:rsidRPr="00F614F9">
        <w:rPr>
          <w:rFonts w:ascii="Times New Roman" w:eastAsia="宋体" w:hAnsi="Times New Roman"/>
          <w:sz w:val="18"/>
          <w:szCs w:val="20"/>
        </w:rPr>
        <w:t>2023</w:t>
      </w:r>
      <w:r w:rsidRPr="00F614F9">
        <w:rPr>
          <w:rFonts w:ascii="Times New Roman" w:eastAsia="宋体" w:hAnsi="Times New Roman" w:hint="eastAsia"/>
          <w:sz w:val="18"/>
          <w:szCs w:val="20"/>
        </w:rPr>
        <w:t>年</w:t>
      </w:r>
      <w:r w:rsidRPr="00F614F9">
        <w:rPr>
          <w:rFonts w:ascii="Times New Roman" w:eastAsia="宋体" w:hAnsi="Times New Roman"/>
          <w:sz w:val="18"/>
          <w:szCs w:val="20"/>
        </w:rPr>
        <w:t>12</w:t>
      </w:r>
      <w:r w:rsidRPr="00F614F9">
        <w:rPr>
          <w:rFonts w:ascii="Times New Roman" w:eastAsia="宋体" w:hAnsi="Times New Roman" w:hint="eastAsia"/>
          <w:sz w:val="18"/>
          <w:szCs w:val="20"/>
        </w:rPr>
        <w:t>月</w:t>
      </w:r>
      <w:r w:rsidRPr="00F614F9">
        <w:rPr>
          <w:rFonts w:ascii="Times New Roman" w:eastAsia="宋体" w:hAnsi="Times New Roman"/>
          <w:sz w:val="18"/>
          <w:szCs w:val="20"/>
        </w:rPr>
        <w:t>31</w:t>
      </w:r>
      <w:r w:rsidRPr="00F614F9">
        <w:rPr>
          <w:rFonts w:ascii="Times New Roman" w:eastAsia="宋体" w:hAnsi="Times New Roman" w:hint="eastAsia"/>
          <w:sz w:val="18"/>
          <w:szCs w:val="20"/>
        </w:rPr>
        <w:t>日，本公司实缴出资</w:t>
      </w:r>
      <w:r w:rsidRPr="00F614F9">
        <w:rPr>
          <w:rFonts w:ascii="Times New Roman" w:eastAsia="宋体" w:hAnsi="Times New Roman"/>
          <w:sz w:val="18"/>
          <w:szCs w:val="20"/>
        </w:rPr>
        <w:t>140,000,000.00</w:t>
      </w:r>
      <w:r w:rsidRPr="00F614F9">
        <w:rPr>
          <w:rFonts w:ascii="Times New Roman" w:eastAsia="宋体" w:hAnsi="Times New Roman" w:hint="eastAsia"/>
          <w:sz w:val="18"/>
          <w:szCs w:val="20"/>
        </w:rPr>
        <w:t>元，剩余</w:t>
      </w:r>
      <w:r w:rsidRPr="00F614F9">
        <w:rPr>
          <w:rFonts w:ascii="Times New Roman" w:eastAsia="宋体" w:hAnsi="Times New Roman"/>
          <w:sz w:val="18"/>
          <w:szCs w:val="20"/>
        </w:rPr>
        <w:t>60,000,000.00</w:t>
      </w:r>
      <w:r w:rsidRPr="00F614F9">
        <w:rPr>
          <w:rFonts w:ascii="Times New Roman" w:eastAsia="宋体" w:hAnsi="Times New Roman" w:hint="eastAsia"/>
          <w:sz w:val="18"/>
          <w:szCs w:val="20"/>
        </w:rPr>
        <w:t>元尚未出资。</w:t>
      </w:r>
    </w:p>
    <w:p w14:paraId="54BE4445"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w:t>
      </w:r>
      <w:r w:rsidRPr="00F614F9">
        <w:rPr>
          <w:rFonts w:ascii="Times New Roman" w:eastAsia="宋体" w:hAnsi="Times New Roman"/>
          <w:sz w:val="18"/>
          <w:szCs w:val="20"/>
        </w:rPr>
        <w:t>3</w:t>
      </w:r>
      <w:r w:rsidRPr="00F614F9">
        <w:rPr>
          <w:rFonts w:ascii="Times New Roman" w:eastAsia="宋体" w:hAnsi="Times New Roman" w:hint="eastAsia"/>
          <w:sz w:val="18"/>
          <w:szCs w:val="20"/>
        </w:rPr>
        <w:t>）本公司于</w:t>
      </w:r>
      <w:r w:rsidRPr="00F614F9">
        <w:rPr>
          <w:rFonts w:ascii="Times New Roman" w:eastAsia="宋体" w:hAnsi="Times New Roman"/>
          <w:sz w:val="18"/>
          <w:szCs w:val="20"/>
        </w:rPr>
        <w:t>2021</w:t>
      </w:r>
      <w:r w:rsidRPr="00F614F9">
        <w:rPr>
          <w:rFonts w:ascii="Times New Roman" w:eastAsia="宋体" w:hAnsi="Times New Roman" w:hint="eastAsia"/>
          <w:sz w:val="18"/>
          <w:szCs w:val="20"/>
        </w:rPr>
        <w:t>年</w:t>
      </w:r>
      <w:r w:rsidRPr="00F614F9">
        <w:rPr>
          <w:rFonts w:ascii="Times New Roman" w:eastAsia="宋体" w:hAnsi="Times New Roman"/>
          <w:sz w:val="18"/>
          <w:szCs w:val="20"/>
        </w:rPr>
        <w:t>8</w:t>
      </w:r>
      <w:r w:rsidRPr="00F614F9">
        <w:rPr>
          <w:rFonts w:ascii="Times New Roman" w:eastAsia="宋体" w:hAnsi="Times New Roman" w:hint="eastAsia"/>
          <w:sz w:val="18"/>
          <w:szCs w:val="20"/>
        </w:rPr>
        <w:t>月</w:t>
      </w:r>
      <w:r w:rsidRPr="00F614F9">
        <w:rPr>
          <w:rFonts w:ascii="Times New Roman" w:eastAsia="宋体" w:hAnsi="Times New Roman"/>
          <w:sz w:val="18"/>
          <w:szCs w:val="20"/>
        </w:rPr>
        <w:t>13</w:t>
      </w:r>
      <w:r w:rsidRPr="00F614F9">
        <w:rPr>
          <w:rFonts w:ascii="Times New Roman" w:eastAsia="宋体" w:hAnsi="Times New Roman" w:hint="eastAsia"/>
          <w:sz w:val="18"/>
          <w:szCs w:val="20"/>
        </w:rPr>
        <w:t>日设立全资子公司湖北龙大肉食品有限公司，注册资本为</w:t>
      </w:r>
      <w:r w:rsidRPr="00F614F9">
        <w:rPr>
          <w:rFonts w:ascii="Times New Roman" w:eastAsia="宋体" w:hAnsi="Times New Roman"/>
          <w:sz w:val="18"/>
          <w:szCs w:val="20"/>
        </w:rPr>
        <w:t>2,000</w:t>
      </w:r>
      <w:r w:rsidRPr="00F614F9">
        <w:rPr>
          <w:rFonts w:ascii="Times New Roman" w:eastAsia="宋体" w:hAnsi="Times New Roman" w:hint="eastAsia"/>
          <w:sz w:val="18"/>
          <w:szCs w:val="20"/>
        </w:rPr>
        <w:t>万元，章程约定出资时间为</w:t>
      </w:r>
      <w:r w:rsidRPr="00F614F9">
        <w:rPr>
          <w:rFonts w:ascii="Times New Roman" w:eastAsia="宋体" w:hAnsi="Times New Roman"/>
          <w:sz w:val="18"/>
          <w:szCs w:val="20"/>
        </w:rPr>
        <w:t>2041</w:t>
      </w:r>
      <w:r w:rsidRPr="00F614F9">
        <w:rPr>
          <w:rFonts w:ascii="Times New Roman" w:eastAsia="宋体" w:hAnsi="Times New Roman" w:hint="eastAsia"/>
          <w:sz w:val="18"/>
          <w:szCs w:val="20"/>
        </w:rPr>
        <w:t>年</w:t>
      </w:r>
      <w:r w:rsidRPr="00F614F9">
        <w:rPr>
          <w:rFonts w:ascii="Times New Roman" w:eastAsia="宋体" w:hAnsi="Times New Roman"/>
          <w:sz w:val="18"/>
          <w:szCs w:val="20"/>
        </w:rPr>
        <w:t>12</w:t>
      </w:r>
      <w:r w:rsidRPr="00F614F9">
        <w:rPr>
          <w:rFonts w:ascii="Times New Roman" w:eastAsia="宋体" w:hAnsi="Times New Roman" w:hint="eastAsia"/>
          <w:sz w:val="18"/>
          <w:szCs w:val="20"/>
        </w:rPr>
        <w:t>月</w:t>
      </w:r>
      <w:r w:rsidRPr="00F614F9">
        <w:rPr>
          <w:rFonts w:ascii="Times New Roman" w:eastAsia="宋体" w:hAnsi="Times New Roman"/>
          <w:sz w:val="18"/>
          <w:szCs w:val="20"/>
        </w:rPr>
        <w:t>1</w:t>
      </w:r>
      <w:r w:rsidRPr="00F614F9">
        <w:rPr>
          <w:rFonts w:ascii="Times New Roman" w:eastAsia="宋体" w:hAnsi="Times New Roman" w:hint="eastAsia"/>
          <w:sz w:val="18"/>
          <w:szCs w:val="20"/>
        </w:rPr>
        <w:t>日前。</w:t>
      </w:r>
    </w:p>
    <w:p w14:paraId="224DF1B8"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截至</w:t>
      </w:r>
      <w:r w:rsidRPr="00F614F9">
        <w:rPr>
          <w:rFonts w:ascii="Times New Roman" w:eastAsia="宋体" w:hAnsi="Times New Roman"/>
          <w:sz w:val="18"/>
          <w:szCs w:val="20"/>
        </w:rPr>
        <w:t>2023</w:t>
      </w:r>
      <w:r w:rsidRPr="00F614F9">
        <w:rPr>
          <w:rFonts w:ascii="Times New Roman" w:eastAsia="宋体" w:hAnsi="Times New Roman" w:hint="eastAsia"/>
          <w:sz w:val="18"/>
          <w:szCs w:val="20"/>
        </w:rPr>
        <w:t>年</w:t>
      </w:r>
      <w:r w:rsidRPr="00F614F9">
        <w:rPr>
          <w:rFonts w:ascii="Times New Roman" w:eastAsia="宋体" w:hAnsi="Times New Roman"/>
          <w:sz w:val="18"/>
          <w:szCs w:val="20"/>
        </w:rPr>
        <w:t>12</w:t>
      </w:r>
      <w:r w:rsidRPr="00F614F9">
        <w:rPr>
          <w:rFonts w:ascii="Times New Roman" w:eastAsia="宋体" w:hAnsi="Times New Roman" w:hint="eastAsia"/>
          <w:sz w:val="18"/>
          <w:szCs w:val="20"/>
        </w:rPr>
        <w:t>月</w:t>
      </w:r>
      <w:r w:rsidRPr="00F614F9">
        <w:rPr>
          <w:rFonts w:ascii="Times New Roman" w:eastAsia="宋体" w:hAnsi="Times New Roman"/>
          <w:sz w:val="18"/>
          <w:szCs w:val="20"/>
        </w:rPr>
        <w:t>31</w:t>
      </w:r>
      <w:r w:rsidRPr="00F614F9">
        <w:rPr>
          <w:rFonts w:ascii="Times New Roman" w:eastAsia="宋体" w:hAnsi="Times New Roman" w:hint="eastAsia"/>
          <w:sz w:val="18"/>
          <w:szCs w:val="20"/>
        </w:rPr>
        <w:t>日，本公司实缴出资</w:t>
      </w:r>
      <w:r w:rsidRPr="00F614F9">
        <w:rPr>
          <w:rFonts w:ascii="Times New Roman" w:eastAsia="宋体" w:hAnsi="Times New Roman"/>
          <w:sz w:val="18"/>
          <w:szCs w:val="20"/>
        </w:rPr>
        <w:t>0</w:t>
      </w:r>
      <w:r w:rsidRPr="00F614F9">
        <w:rPr>
          <w:rFonts w:ascii="Times New Roman" w:eastAsia="宋体" w:hAnsi="Times New Roman" w:hint="eastAsia"/>
          <w:sz w:val="18"/>
          <w:szCs w:val="20"/>
        </w:rPr>
        <w:t>元，剩余</w:t>
      </w:r>
      <w:r w:rsidRPr="00F614F9">
        <w:rPr>
          <w:rFonts w:ascii="Times New Roman" w:eastAsia="宋体" w:hAnsi="Times New Roman"/>
          <w:sz w:val="18"/>
          <w:szCs w:val="20"/>
        </w:rPr>
        <w:t>20,000,000.00</w:t>
      </w:r>
      <w:r w:rsidRPr="00F614F9">
        <w:rPr>
          <w:rFonts w:ascii="Times New Roman" w:eastAsia="宋体" w:hAnsi="Times New Roman" w:hint="eastAsia"/>
          <w:sz w:val="18"/>
          <w:szCs w:val="20"/>
        </w:rPr>
        <w:t>元尚未出资。</w:t>
      </w:r>
    </w:p>
    <w:p w14:paraId="233EF3D7"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w:t>
      </w:r>
      <w:r w:rsidRPr="00F614F9">
        <w:rPr>
          <w:rFonts w:ascii="Times New Roman" w:eastAsia="宋体" w:hAnsi="Times New Roman"/>
          <w:sz w:val="18"/>
          <w:szCs w:val="20"/>
        </w:rPr>
        <w:t>4</w:t>
      </w:r>
      <w:r w:rsidRPr="00F614F9">
        <w:rPr>
          <w:rFonts w:ascii="Times New Roman" w:eastAsia="宋体" w:hAnsi="Times New Roman" w:hint="eastAsia"/>
          <w:sz w:val="18"/>
          <w:szCs w:val="20"/>
        </w:rPr>
        <w:t>）本公司之子公司黑龙江龙大养殖有限公司于</w:t>
      </w:r>
      <w:r w:rsidRPr="00F614F9">
        <w:rPr>
          <w:rFonts w:ascii="Times New Roman" w:eastAsia="宋体" w:hAnsi="Times New Roman"/>
          <w:sz w:val="18"/>
          <w:szCs w:val="20"/>
        </w:rPr>
        <w:t>2021</w:t>
      </w:r>
      <w:r w:rsidRPr="00F614F9">
        <w:rPr>
          <w:rFonts w:ascii="Times New Roman" w:eastAsia="宋体" w:hAnsi="Times New Roman" w:hint="eastAsia"/>
          <w:sz w:val="18"/>
          <w:szCs w:val="20"/>
        </w:rPr>
        <w:t>年</w:t>
      </w:r>
      <w:r w:rsidRPr="00F614F9">
        <w:rPr>
          <w:rFonts w:ascii="Times New Roman" w:eastAsia="宋体" w:hAnsi="Times New Roman"/>
          <w:sz w:val="18"/>
          <w:szCs w:val="20"/>
        </w:rPr>
        <w:t>1</w:t>
      </w:r>
      <w:r w:rsidRPr="00F614F9">
        <w:rPr>
          <w:rFonts w:ascii="Times New Roman" w:eastAsia="宋体" w:hAnsi="Times New Roman" w:hint="eastAsia"/>
          <w:sz w:val="18"/>
          <w:szCs w:val="20"/>
        </w:rPr>
        <w:t>月</w:t>
      </w:r>
      <w:r w:rsidRPr="00F614F9">
        <w:rPr>
          <w:rFonts w:ascii="Times New Roman" w:eastAsia="宋体" w:hAnsi="Times New Roman"/>
          <w:sz w:val="18"/>
          <w:szCs w:val="20"/>
        </w:rPr>
        <w:t>18</w:t>
      </w:r>
      <w:r w:rsidRPr="00F614F9">
        <w:rPr>
          <w:rFonts w:ascii="Times New Roman" w:eastAsia="宋体" w:hAnsi="Times New Roman" w:hint="eastAsia"/>
          <w:sz w:val="18"/>
          <w:szCs w:val="20"/>
        </w:rPr>
        <w:t>日设立乳山龙大养殖有限公司，注册资本为</w:t>
      </w:r>
      <w:r w:rsidRPr="00F614F9">
        <w:rPr>
          <w:rFonts w:ascii="Times New Roman" w:eastAsia="宋体" w:hAnsi="Times New Roman"/>
          <w:sz w:val="18"/>
          <w:szCs w:val="20"/>
        </w:rPr>
        <w:t>2</w:t>
      </w:r>
      <w:r w:rsidRPr="00F614F9">
        <w:rPr>
          <w:rFonts w:ascii="Times New Roman" w:eastAsia="宋体" w:hAnsi="Times New Roman" w:hint="eastAsia"/>
          <w:sz w:val="18"/>
          <w:szCs w:val="20"/>
        </w:rPr>
        <w:t>亿元，章程约定出资时间为</w:t>
      </w:r>
      <w:r w:rsidRPr="00F614F9">
        <w:rPr>
          <w:rFonts w:ascii="Times New Roman" w:eastAsia="宋体" w:hAnsi="Times New Roman"/>
          <w:sz w:val="18"/>
          <w:szCs w:val="20"/>
        </w:rPr>
        <w:t>2026</w:t>
      </w:r>
      <w:r w:rsidRPr="00F614F9">
        <w:rPr>
          <w:rFonts w:ascii="Times New Roman" w:eastAsia="宋体" w:hAnsi="Times New Roman" w:hint="eastAsia"/>
          <w:sz w:val="18"/>
          <w:szCs w:val="20"/>
        </w:rPr>
        <w:t>年</w:t>
      </w:r>
      <w:r w:rsidRPr="00F614F9">
        <w:rPr>
          <w:rFonts w:ascii="Times New Roman" w:eastAsia="宋体" w:hAnsi="Times New Roman"/>
          <w:sz w:val="18"/>
          <w:szCs w:val="20"/>
        </w:rPr>
        <w:t>7</w:t>
      </w:r>
      <w:r w:rsidRPr="00F614F9">
        <w:rPr>
          <w:rFonts w:ascii="Times New Roman" w:eastAsia="宋体" w:hAnsi="Times New Roman" w:hint="eastAsia"/>
          <w:sz w:val="18"/>
          <w:szCs w:val="20"/>
        </w:rPr>
        <w:t>月</w:t>
      </w:r>
      <w:r w:rsidRPr="00F614F9">
        <w:rPr>
          <w:rFonts w:ascii="Times New Roman" w:eastAsia="宋体" w:hAnsi="Times New Roman"/>
          <w:sz w:val="18"/>
          <w:szCs w:val="20"/>
        </w:rPr>
        <w:t>1</w:t>
      </w:r>
      <w:r w:rsidRPr="00F614F9">
        <w:rPr>
          <w:rFonts w:ascii="Times New Roman" w:eastAsia="宋体" w:hAnsi="Times New Roman" w:hint="eastAsia"/>
          <w:sz w:val="18"/>
          <w:szCs w:val="20"/>
        </w:rPr>
        <w:t>日。</w:t>
      </w:r>
    </w:p>
    <w:p w14:paraId="411D4A55"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截至</w:t>
      </w:r>
      <w:r w:rsidRPr="00F614F9">
        <w:rPr>
          <w:rFonts w:ascii="Times New Roman" w:eastAsia="宋体" w:hAnsi="Times New Roman"/>
          <w:sz w:val="18"/>
          <w:szCs w:val="20"/>
        </w:rPr>
        <w:t>2023</w:t>
      </w:r>
      <w:r w:rsidRPr="00F614F9">
        <w:rPr>
          <w:rFonts w:ascii="Times New Roman" w:eastAsia="宋体" w:hAnsi="Times New Roman" w:hint="eastAsia"/>
          <w:sz w:val="18"/>
          <w:szCs w:val="20"/>
        </w:rPr>
        <w:t>年</w:t>
      </w:r>
      <w:r w:rsidRPr="00F614F9">
        <w:rPr>
          <w:rFonts w:ascii="Times New Roman" w:eastAsia="宋体" w:hAnsi="Times New Roman"/>
          <w:sz w:val="18"/>
          <w:szCs w:val="20"/>
        </w:rPr>
        <w:t>12</w:t>
      </w:r>
      <w:r w:rsidRPr="00F614F9">
        <w:rPr>
          <w:rFonts w:ascii="Times New Roman" w:eastAsia="宋体" w:hAnsi="Times New Roman" w:hint="eastAsia"/>
          <w:sz w:val="18"/>
          <w:szCs w:val="20"/>
        </w:rPr>
        <w:t>月</w:t>
      </w:r>
      <w:r w:rsidRPr="00F614F9">
        <w:rPr>
          <w:rFonts w:ascii="Times New Roman" w:eastAsia="宋体" w:hAnsi="Times New Roman"/>
          <w:sz w:val="18"/>
          <w:szCs w:val="20"/>
        </w:rPr>
        <w:t>31</w:t>
      </w:r>
      <w:r w:rsidRPr="00F614F9">
        <w:rPr>
          <w:rFonts w:ascii="Times New Roman" w:eastAsia="宋体" w:hAnsi="Times New Roman" w:hint="eastAsia"/>
          <w:sz w:val="18"/>
          <w:szCs w:val="20"/>
        </w:rPr>
        <w:t>日，</w:t>
      </w:r>
      <w:r w:rsidRPr="00F614F9">
        <w:rPr>
          <w:rFonts w:ascii="Times New Roman" w:eastAsia="宋体" w:hAnsi="Times New Roman"/>
          <w:sz w:val="18"/>
          <w:szCs w:val="20"/>
        </w:rPr>
        <w:t xml:space="preserve"> </w:t>
      </w:r>
      <w:r w:rsidRPr="00F614F9">
        <w:rPr>
          <w:rFonts w:ascii="Times New Roman" w:eastAsia="宋体" w:hAnsi="Times New Roman" w:hint="eastAsia"/>
          <w:sz w:val="18"/>
          <w:szCs w:val="20"/>
        </w:rPr>
        <w:t>黑龙江龙大养殖有限公司对乳山龙大养殖有限公司实缴出资</w:t>
      </w:r>
      <w:r w:rsidRPr="00F614F9">
        <w:rPr>
          <w:rFonts w:ascii="Times New Roman" w:eastAsia="宋体" w:hAnsi="Times New Roman"/>
          <w:sz w:val="18"/>
          <w:szCs w:val="20"/>
        </w:rPr>
        <w:t>0</w:t>
      </w:r>
      <w:r w:rsidRPr="00F614F9">
        <w:rPr>
          <w:rFonts w:ascii="Times New Roman" w:eastAsia="宋体" w:hAnsi="Times New Roman" w:hint="eastAsia"/>
          <w:sz w:val="18"/>
          <w:szCs w:val="20"/>
        </w:rPr>
        <w:t>元，剩余</w:t>
      </w:r>
      <w:r w:rsidRPr="00F614F9">
        <w:rPr>
          <w:rFonts w:ascii="Times New Roman" w:eastAsia="宋体" w:hAnsi="Times New Roman"/>
          <w:sz w:val="18"/>
          <w:szCs w:val="20"/>
        </w:rPr>
        <w:t>200,000,000.00</w:t>
      </w:r>
      <w:r w:rsidRPr="00F614F9">
        <w:rPr>
          <w:rFonts w:ascii="Times New Roman" w:eastAsia="宋体" w:hAnsi="Times New Roman" w:hint="eastAsia"/>
          <w:sz w:val="18"/>
          <w:szCs w:val="20"/>
        </w:rPr>
        <w:t>元尚未出资。</w:t>
      </w:r>
    </w:p>
    <w:p w14:paraId="1BB986CF"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w:t>
      </w:r>
      <w:r w:rsidRPr="00F614F9">
        <w:rPr>
          <w:rFonts w:ascii="Times New Roman" w:eastAsia="宋体" w:hAnsi="Times New Roman"/>
          <w:sz w:val="18"/>
          <w:szCs w:val="20"/>
        </w:rPr>
        <w:t>5</w:t>
      </w:r>
      <w:r w:rsidRPr="00F614F9">
        <w:rPr>
          <w:rFonts w:ascii="Times New Roman" w:eastAsia="宋体" w:hAnsi="Times New Roman" w:hint="eastAsia"/>
          <w:sz w:val="18"/>
          <w:szCs w:val="20"/>
        </w:rPr>
        <w:t>）本公司于</w:t>
      </w:r>
      <w:r w:rsidRPr="00F614F9">
        <w:rPr>
          <w:rFonts w:ascii="Times New Roman" w:eastAsia="宋体" w:hAnsi="Times New Roman"/>
          <w:sz w:val="18"/>
          <w:szCs w:val="20"/>
        </w:rPr>
        <w:t>2022</w:t>
      </w:r>
      <w:r w:rsidRPr="00F614F9">
        <w:rPr>
          <w:rFonts w:ascii="Times New Roman" w:eastAsia="宋体" w:hAnsi="Times New Roman" w:hint="eastAsia"/>
          <w:sz w:val="18"/>
          <w:szCs w:val="20"/>
        </w:rPr>
        <w:t>年</w:t>
      </w:r>
      <w:r w:rsidRPr="00F614F9">
        <w:rPr>
          <w:rFonts w:ascii="Times New Roman" w:eastAsia="宋体" w:hAnsi="Times New Roman"/>
          <w:sz w:val="18"/>
          <w:szCs w:val="20"/>
        </w:rPr>
        <w:t>1</w:t>
      </w:r>
      <w:r w:rsidRPr="00F614F9">
        <w:rPr>
          <w:rFonts w:ascii="Times New Roman" w:eastAsia="宋体" w:hAnsi="Times New Roman" w:hint="eastAsia"/>
          <w:sz w:val="18"/>
          <w:szCs w:val="20"/>
        </w:rPr>
        <w:t>月</w:t>
      </w:r>
      <w:r w:rsidRPr="00F614F9">
        <w:rPr>
          <w:rFonts w:ascii="Times New Roman" w:eastAsia="宋体" w:hAnsi="Times New Roman"/>
          <w:sz w:val="18"/>
          <w:szCs w:val="20"/>
        </w:rPr>
        <w:t>7</w:t>
      </w:r>
      <w:r w:rsidRPr="00F614F9">
        <w:rPr>
          <w:rFonts w:ascii="Times New Roman" w:eastAsia="宋体" w:hAnsi="Times New Roman" w:hint="eastAsia"/>
          <w:sz w:val="18"/>
          <w:szCs w:val="20"/>
        </w:rPr>
        <w:t>日设立全资子公司巴中龙大肉食品有限公司，注册资本为</w:t>
      </w:r>
      <w:r w:rsidRPr="00F614F9">
        <w:rPr>
          <w:rFonts w:ascii="Times New Roman" w:eastAsia="宋体" w:hAnsi="Times New Roman"/>
          <w:sz w:val="18"/>
          <w:szCs w:val="20"/>
        </w:rPr>
        <w:t>10,000</w:t>
      </w:r>
      <w:r w:rsidRPr="00F614F9">
        <w:rPr>
          <w:rFonts w:ascii="Times New Roman" w:eastAsia="宋体" w:hAnsi="Times New Roman" w:hint="eastAsia"/>
          <w:sz w:val="18"/>
          <w:szCs w:val="20"/>
        </w:rPr>
        <w:t>万元，章程约定出资时间为</w:t>
      </w:r>
      <w:r w:rsidRPr="00F614F9">
        <w:rPr>
          <w:rFonts w:ascii="Times New Roman" w:eastAsia="宋体" w:hAnsi="Times New Roman"/>
          <w:sz w:val="18"/>
          <w:szCs w:val="20"/>
        </w:rPr>
        <w:t>2052</w:t>
      </w:r>
      <w:r w:rsidRPr="00F614F9">
        <w:rPr>
          <w:rFonts w:ascii="Times New Roman" w:eastAsia="宋体" w:hAnsi="Times New Roman" w:hint="eastAsia"/>
          <w:sz w:val="18"/>
          <w:szCs w:val="20"/>
        </w:rPr>
        <w:t>年</w:t>
      </w:r>
      <w:r w:rsidRPr="00F614F9">
        <w:rPr>
          <w:rFonts w:ascii="Times New Roman" w:eastAsia="宋体" w:hAnsi="Times New Roman"/>
          <w:sz w:val="18"/>
          <w:szCs w:val="20"/>
        </w:rPr>
        <w:t>1</w:t>
      </w:r>
      <w:r w:rsidRPr="00F614F9">
        <w:rPr>
          <w:rFonts w:ascii="Times New Roman" w:eastAsia="宋体" w:hAnsi="Times New Roman" w:hint="eastAsia"/>
          <w:sz w:val="18"/>
          <w:szCs w:val="20"/>
        </w:rPr>
        <w:t>月</w:t>
      </w:r>
      <w:r w:rsidRPr="00F614F9">
        <w:rPr>
          <w:rFonts w:ascii="Times New Roman" w:eastAsia="宋体" w:hAnsi="Times New Roman"/>
          <w:sz w:val="18"/>
          <w:szCs w:val="20"/>
        </w:rPr>
        <w:t>5</w:t>
      </w:r>
      <w:r w:rsidRPr="00F614F9">
        <w:rPr>
          <w:rFonts w:ascii="Times New Roman" w:eastAsia="宋体" w:hAnsi="Times New Roman" w:hint="eastAsia"/>
          <w:sz w:val="18"/>
          <w:szCs w:val="20"/>
        </w:rPr>
        <w:t>日前。</w:t>
      </w:r>
    </w:p>
    <w:p w14:paraId="37756434"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截至</w:t>
      </w:r>
      <w:r w:rsidRPr="00F614F9">
        <w:rPr>
          <w:rFonts w:ascii="Times New Roman" w:eastAsia="宋体" w:hAnsi="Times New Roman"/>
          <w:sz w:val="18"/>
          <w:szCs w:val="20"/>
        </w:rPr>
        <w:t>2023</w:t>
      </w:r>
      <w:r w:rsidRPr="00F614F9">
        <w:rPr>
          <w:rFonts w:ascii="Times New Roman" w:eastAsia="宋体" w:hAnsi="Times New Roman" w:hint="eastAsia"/>
          <w:sz w:val="18"/>
          <w:szCs w:val="20"/>
        </w:rPr>
        <w:t>年</w:t>
      </w:r>
      <w:r w:rsidRPr="00F614F9">
        <w:rPr>
          <w:rFonts w:ascii="Times New Roman" w:eastAsia="宋体" w:hAnsi="Times New Roman"/>
          <w:sz w:val="18"/>
          <w:szCs w:val="20"/>
        </w:rPr>
        <w:t>12</w:t>
      </w:r>
      <w:r w:rsidRPr="00F614F9">
        <w:rPr>
          <w:rFonts w:ascii="Times New Roman" w:eastAsia="宋体" w:hAnsi="Times New Roman" w:hint="eastAsia"/>
          <w:sz w:val="18"/>
          <w:szCs w:val="20"/>
        </w:rPr>
        <w:t>月</w:t>
      </w:r>
      <w:r w:rsidRPr="00F614F9">
        <w:rPr>
          <w:rFonts w:ascii="Times New Roman" w:eastAsia="宋体" w:hAnsi="Times New Roman"/>
          <w:sz w:val="18"/>
          <w:szCs w:val="20"/>
        </w:rPr>
        <w:t>31</w:t>
      </w:r>
      <w:r w:rsidRPr="00F614F9">
        <w:rPr>
          <w:rFonts w:ascii="Times New Roman" w:eastAsia="宋体" w:hAnsi="Times New Roman" w:hint="eastAsia"/>
          <w:sz w:val="18"/>
          <w:szCs w:val="20"/>
        </w:rPr>
        <w:t>日，本公司实缴出资</w:t>
      </w:r>
      <w:r w:rsidRPr="00F614F9">
        <w:rPr>
          <w:rFonts w:ascii="Times New Roman" w:eastAsia="宋体" w:hAnsi="Times New Roman"/>
          <w:sz w:val="18"/>
          <w:szCs w:val="20"/>
        </w:rPr>
        <w:t>2,000</w:t>
      </w:r>
      <w:r w:rsidRPr="00F614F9">
        <w:rPr>
          <w:rFonts w:ascii="Times New Roman" w:eastAsia="宋体" w:hAnsi="Times New Roman" w:hint="eastAsia"/>
          <w:sz w:val="18"/>
          <w:szCs w:val="20"/>
        </w:rPr>
        <w:t>万元，剩余</w:t>
      </w:r>
      <w:r w:rsidRPr="00F614F9">
        <w:rPr>
          <w:rFonts w:ascii="Times New Roman" w:eastAsia="宋体" w:hAnsi="Times New Roman"/>
          <w:sz w:val="18"/>
          <w:szCs w:val="20"/>
        </w:rPr>
        <w:t>8,000</w:t>
      </w:r>
      <w:r w:rsidRPr="00F614F9">
        <w:rPr>
          <w:rFonts w:ascii="Times New Roman" w:eastAsia="宋体" w:hAnsi="Times New Roman" w:hint="eastAsia"/>
          <w:sz w:val="18"/>
          <w:szCs w:val="20"/>
        </w:rPr>
        <w:t>万元尚未出资。</w:t>
      </w:r>
    </w:p>
    <w:p w14:paraId="2D91F0CA"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w:t>
      </w:r>
      <w:r w:rsidRPr="00F614F9">
        <w:rPr>
          <w:rFonts w:ascii="Times New Roman" w:eastAsia="宋体" w:hAnsi="Times New Roman"/>
          <w:sz w:val="18"/>
          <w:szCs w:val="20"/>
        </w:rPr>
        <w:t>6</w:t>
      </w:r>
      <w:r w:rsidRPr="00F614F9">
        <w:rPr>
          <w:rFonts w:ascii="Times New Roman" w:eastAsia="宋体" w:hAnsi="Times New Roman" w:hint="eastAsia"/>
          <w:sz w:val="18"/>
          <w:szCs w:val="20"/>
        </w:rPr>
        <w:t>）本公司于</w:t>
      </w:r>
      <w:r w:rsidRPr="00F614F9">
        <w:rPr>
          <w:rFonts w:ascii="Times New Roman" w:eastAsia="宋体" w:hAnsi="Times New Roman"/>
          <w:sz w:val="18"/>
          <w:szCs w:val="20"/>
        </w:rPr>
        <w:t>2022</w:t>
      </w:r>
      <w:r w:rsidRPr="00F614F9">
        <w:rPr>
          <w:rFonts w:ascii="Times New Roman" w:eastAsia="宋体" w:hAnsi="Times New Roman" w:hint="eastAsia"/>
          <w:sz w:val="18"/>
          <w:szCs w:val="20"/>
        </w:rPr>
        <w:t>年</w:t>
      </w:r>
      <w:r w:rsidRPr="00F614F9">
        <w:rPr>
          <w:rFonts w:ascii="Times New Roman" w:eastAsia="宋体" w:hAnsi="Times New Roman"/>
          <w:sz w:val="18"/>
          <w:szCs w:val="20"/>
        </w:rPr>
        <w:t>2</w:t>
      </w:r>
      <w:r w:rsidRPr="00F614F9">
        <w:rPr>
          <w:rFonts w:ascii="Times New Roman" w:eastAsia="宋体" w:hAnsi="Times New Roman" w:hint="eastAsia"/>
          <w:sz w:val="18"/>
          <w:szCs w:val="20"/>
        </w:rPr>
        <w:t>月</w:t>
      </w:r>
      <w:r w:rsidRPr="00F614F9">
        <w:rPr>
          <w:rFonts w:ascii="Times New Roman" w:eastAsia="宋体" w:hAnsi="Times New Roman"/>
          <w:sz w:val="18"/>
          <w:szCs w:val="20"/>
        </w:rPr>
        <w:t>18</w:t>
      </w:r>
      <w:r w:rsidRPr="00F614F9">
        <w:rPr>
          <w:rFonts w:ascii="Times New Roman" w:eastAsia="宋体" w:hAnsi="Times New Roman" w:hint="eastAsia"/>
          <w:sz w:val="18"/>
          <w:szCs w:val="20"/>
        </w:rPr>
        <w:t>日设立全资子公司山东</w:t>
      </w:r>
      <w:proofErr w:type="gramStart"/>
      <w:r w:rsidRPr="00F614F9">
        <w:rPr>
          <w:rFonts w:ascii="Times New Roman" w:eastAsia="宋体" w:hAnsi="Times New Roman" w:hint="eastAsia"/>
          <w:sz w:val="18"/>
          <w:szCs w:val="20"/>
        </w:rPr>
        <w:t>龙鲜生供应</w:t>
      </w:r>
      <w:proofErr w:type="gramEnd"/>
      <w:r w:rsidRPr="00F614F9">
        <w:rPr>
          <w:rFonts w:ascii="Times New Roman" w:eastAsia="宋体" w:hAnsi="Times New Roman" w:hint="eastAsia"/>
          <w:sz w:val="18"/>
          <w:szCs w:val="20"/>
        </w:rPr>
        <w:t>链管理有限公司，注册资本为</w:t>
      </w:r>
      <w:r w:rsidRPr="00F614F9">
        <w:rPr>
          <w:rFonts w:ascii="Times New Roman" w:eastAsia="宋体" w:hAnsi="Times New Roman"/>
          <w:sz w:val="18"/>
          <w:szCs w:val="20"/>
        </w:rPr>
        <w:t>1,000</w:t>
      </w:r>
      <w:r w:rsidRPr="00F614F9">
        <w:rPr>
          <w:rFonts w:ascii="Times New Roman" w:eastAsia="宋体" w:hAnsi="Times New Roman" w:hint="eastAsia"/>
          <w:sz w:val="18"/>
          <w:szCs w:val="20"/>
        </w:rPr>
        <w:t>万元，章程约定出资时间为</w:t>
      </w:r>
      <w:r w:rsidRPr="00F614F9">
        <w:rPr>
          <w:rFonts w:ascii="Times New Roman" w:eastAsia="宋体" w:hAnsi="Times New Roman"/>
          <w:sz w:val="18"/>
          <w:szCs w:val="20"/>
        </w:rPr>
        <w:t>2050</w:t>
      </w:r>
      <w:r w:rsidRPr="00F614F9">
        <w:rPr>
          <w:rFonts w:ascii="Times New Roman" w:eastAsia="宋体" w:hAnsi="Times New Roman" w:hint="eastAsia"/>
          <w:sz w:val="18"/>
          <w:szCs w:val="20"/>
        </w:rPr>
        <w:t>年</w:t>
      </w:r>
      <w:r w:rsidRPr="00F614F9">
        <w:rPr>
          <w:rFonts w:ascii="Times New Roman" w:eastAsia="宋体" w:hAnsi="Times New Roman"/>
          <w:sz w:val="18"/>
          <w:szCs w:val="20"/>
        </w:rPr>
        <w:t>12</w:t>
      </w:r>
      <w:r w:rsidRPr="00F614F9">
        <w:rPr>
          <w:rFonts w:ascii="Times New Roman" w:eastAsia="宋体" w:hAnsi="Times New Roman" w:hint="eastAsia"/>
          <w:sz w:val="18"/>
          <w:szCs w:val="20"/>
        </w:rPr>
        <w:t>月</w:t>
      </w:r>
      <w:r w:rsidRPr="00F614F9">
        <w:rPr>
          <w:rFonts w:ascii="Times New Roman" w:eastAsia="宋体" w:hAnsi="Times New Roman"/>
          <w:sz w:val="18"/>
          <w:szCs w:val="20"/>
        </w:rPr>
        <w:t>31</w:t>
      </w:r>
      <w:r w:rsidRPr="00F614F9">
        <w:rPr>
          <w:rFonts w:ascii="Times New Roman" w:eastAsia="宋体" w:hAnsi="Times New Roman" w:hint="eastAsia"/>
          <w:sz w:val="18"/>
          <w:szCs w:val="20"/>
        </w:rPr>
        <w:t>日前。</w:t>
      </w:r>
    </w:p>
    <w:p w14:paraId="52CF3D50"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截至</w:t>
      </w:r>
      <w:r w:rsidRPr="00F614F9">
        <w:rPr>
          <w:rFonts w:ascii="Times New Roman" w:eastAsia="宋体" w:hAnsi="Times New Roman"/>
          <w:sz w:val="18"/>
          <w:szCs w:val="20"/>
        </w:rPr>
        <w:t>2023</w:t>
      </w:r>
      <w:r w:rsidRPr="00F614F9">
        <w:rPr>
          <w:rFonts w:ascii="Times New Roman" w:eastAsia="宋体" w:hAnsi="Times New Roman" w:hint="eastAsia"/>
          <w:sz w:val="18"/>
          <w:szCs w:val="20"/>
        </w:rPr>
        <w:t>年</w:t>
      </w:r>
      <w:r w:rsidRPr="00F614F9">
        <w:rPr>
          <w:rFonts w:ascii="Times New Roman" w:eastAsia="宋体" w:hAnsi="Times New Roman"/>
          <w:sz w:val="18"/>
          <w:szCs w:val="20"/>
        </w:rPr>
        <w:t>12</w:t>
      </w:r>
      <w:r w:rsidRPr="00F614F9">
        <w:rPr>
          <w:rFonts w:ascii="Times New Roman" w:eastAsia="宋体" w:hAnsi="Times New Roman" w:hint="eastAsia"/>
          <w:sz w:val="18"/>
          <w:szCs w:val="20"/>
        </w:rPr>
        <w:t>月</w:t>
      </w:r>
      <w:r w:rsidRPr="00F614F9">
        <w:rPr>
          <w:rFonts w:ascii="Times New Roman" w:eastAsia="宋体" w:hAnsi="Times New Roman"/>
          <w:sz w:val="18"/>
          <w:szCs w:val="20"/>
        </w:rPr>
        <w:t>31</w:t>
      </w:r>
      <w:r w:rsidRPr="00F614F9">
        <w:rPr>
          <w:rFonts w:ascii="Times New Roman" w:eastAsia="宋体" w:hAnsi="Times New Roman" w:hint="eastAsia"/>
          <w:sz w:val="18"/>
          <w:szCs w:val="20"/>
        </w:rPr>
        <w:t>日，本公司实缴出资</w:t>
      </w:r>
      <w:r w:rsidRPr="00F614F9">
        <w:rPr>
          <w:rFonts w:ascii="Times New Roman" w:eastAsia="宋体" w:hAnsi="Times New Roman"/>
          <w:sz w:val="18"/>
          <w:szCs w:val="20"/>
        </w:rPr>
        <w:t>600</w:t>
      </w:r>
      <w:r w:rsidRPr="00F614F9">
        <w:rPr>
          <w:rFonts w:ascii="Times New Roman" w:eastAsia="宋体" w:hAnsi="Times New Roman" w:hint="eastAsia"/>
          <w:sz w:val="18"/>
          <w:szCs w:val="20"/>
        </w:rPr>
        <w:t>万元，剩余</w:t>
      </w:r>
      <w:r w:rsidRPr="00F614F9">
        <w:rPr>
          <w:rFonts w:ascii="Times New Roman" w:eastAsia="宋体" w:hAnsi="Times New Roman"/>
          <w:sz w:val="18"/>
          <w:szCs w:val="20"/>
        </w:rPr>
        <w:t>400</w:t>
      </w:r>
      <w:r w:rsidRPr="00F614F9">
        <w:rPr>
          <w:rFonts w:ascii="Times New Roman" w:eastAsia="宋体" w:hAnsi="Times New Roman" w:hint="eastAsia"/>
          <w:sz w:val="18"/>
          <w:szCs w:val="20"/>
        </w:rPr>
        <w:t>万元尚未出资。</w:t>
      </w:r>
    </w:p>
    <w:p w14:paraId="73700E49"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w:t>
      </w:r>
      <w:r w:rsidRPr="00F614F9">
        <w:rPr>
          <w:rFonts w:ascii="Times New Roman" w:eastAsia="宋体" w:hAnsi="Times New Roman"/>
          <w:sz w:val="18"/>
          <w:szCs w:val="20"/>
        </w:rPr>
        <w:t>7</w:t>
      </w:r>
      <w:r w:rsidRPr="00F614F9">
        <w:rPr>
          <w:rFonts w:ascii="Times New Roman" w:eastAsia="宋体" w:hAnsi="Times New Roman" w:hint="eastAsia"/>
          <w:sz w:val="18"/>
          <w:szCs w:val="20"/>
        </w:rPr>
        <w:t>）本公司于</w:t>
      </w:r>
      <w:r w:rsidRPr="00F614F9">
        <w:rPr>
          <w:rFonts w:ascii="Times New Roman" w:eastAsia="宋体" w:hAnsi="Times New Roman"/>
          <w:sz w:val="18"/>
          <w:szCs w:val="20"/>
        </w:rPr>
        <w:t>2022</w:t>
      </w:r>
      <w:r w:rsidRPr="00F614F9">
        <w:rPr>
          <w:rFonts w:ascii="Times New Roman" w:eastAsia="宋体" w:hAnsi="Times New Roman" w:hint="eastAsia"/>
          <w:sz w:val="18"/>
          <w:szCs w:val="20"/>
        </w:rPr>
        <w:t>年</w:t>
      </w:r>
      <w:r w:rsidRPr="00F614F9">
        <w:rPr>
          <w:rFonts w:ascii="Times New Roman" w:eastAsia="宋体" w:hAnsi="Times New Roman"/>
          <w:sz w:val="18"/>
          <w:szCs w:val="20"/>
        </w:rPr>
        <w:t>11</w:t>
      </w:r>
      <w:r w:rsidRPr="00F614F9">
        <w:rPr>
          <w:rFonts w:ascii="Times New Roman" w:eastAsia="宋体" w:hAnsi="Times New Roman" w:hint="eastAsia"/>
          <w:sz w:val="18"/>
          <w:szCs w:val="20"/>
        </w:rPr>
        <w:t>月</w:t>
      </w:r>
      <w:r w:rsidRPr="00F614F9">
        <w:rPr>
          <w:rFonts w:ascii="Times New Roman" w:eastAsia="宋体" w:hAnsi="Times New Roman"/>
          <w:sz w:val="18"/>
          <w:szCs w:val="20"/>
        </w:rPr>
        <w:t>23</w:t>
      </w:r>
      <w:r w:rsidRPr="00F614F9">
        <w:rPr>
          <w:rFonts w:ascii="Times New Roman" w:eastAsia="宋体" w:hAnsi="Times New Roman" w:hint="eastAsia"/>
          <w:sz w:val="18"/>
          <w:szCs w:val="20"/>
        </w:rPr>
        <w:t>日设立全资子公司成都龙大科技有限公司（原名：成都</w:t>
      </w:r>
      <w:proofErr w:type="gramStart"/>
      <w:r w:rsidRPr="00F614F9">
        <w:rPr>
          <w:rFonts w:ascii="Times New Roman" w:eastAsia="宋体" w:hAnsi="Times New Roman" w:hint="eastAsia"/>
          <w:sz w:val="18"/>
          <w:szCs w:val="20"/>
        </w:rPr>
        <w:t>逸享潮代供应</w:t>
      </w:r>
      <w:proofErr w:type="gramEnd"/>
      <w:r w:rsidRPr="00F614F9">
        <w:rPr>
          <w:rFonts w:ascii="Times New Roman" w:eastAsia="宋体" w:hAnsi="Times New Roman" w:hint="eastAsia"/>
          <w:sz w:val="18"/>
          <w:szCs w:val="20"/>
        </w:rPr>
        <w:t>链管理有限公司），注册资本为</w:t>
      </w:r>
      <w:r w:rsidRPr="00F614F9">
        <w:rPr>
          <w:rFonts w:ascii="Times New Roman" w:eastAsia="宋体" w:hAnsi="Times New Roman"/>
          <w:sz w:val="18"/>
          <w:szCs w:val="20"/>
        </w:rPr>
        <w:t>10,000</w:t>
      </w:r>
      <w:r w:rsidRPr="00F614F9">
        <w:rPr>
          <w:rFonts w:ascii="Times New Roman" w:eastAsia="宋体" w:hAnsi="Times New Roman" w:hint="eastAsia"/>
          <w:sz w:val="18"/>
          <w:szCs w:val="20"/>
        </w:rPr>
        <w:t>万元，章程约定出资时间为</w:t>
      </w:r>
      <w:r w:rsidRPr="00F614F9">
        <w:rPr>
          <w:rFonts w:ascii="Times New Roman" w:eastAsia="宋体" w:hAnsi="Times New Roman"/>
          <w:sz w:val="18"/>
          <w:szCs w:val="20"/>
        </w:rPr>
        <w:t>2072</w:t>
      </w:r>
      <w:r w:rsidRPr="00F614F9">
        <w:rPr>
          <w:rFonts w:ascii="Times New Roman" w:eastAsia="宋体" w:hAnsi="Times New Roman" w:hint="eastAsia"/>
          <w:sz w:val="18"/>
          <w:szCs w:val="20"/>
        </w:rPr>
        <w:t>年</w:t>
      </w:r>
      <w:r w:rsidRPr="00F614F9">
        <w:rPr>
          <w:rFonts w:ascii="Times New Roman" w:eastAsia="宋体" w:hAnsi="Times New Roman"/>
          <w:sz w:val="18"/>
          <w:szCs w:val="20"/>
        </w:rPr>
        <w:t>11</w:t>
      </w:r>
      <w:r w:rsidRPr="00F614F9">
        <w:rPr>
          <w:rFonts w:ascii="Times New Roman" w:eastAsia="宋体" w:hAnsi="Times New Roman" w:hint="eastAsia"/>
          <w:sz w:val="18"/>
          <w:szCs w:val="20"/>
        </w:rPr>
        <w:t>月</w:t>
      </w:r>
      <w:r w:rsidRPr="00F614F9">
        <w:rPr>
          <w:rFonts w:ascii="Times New Roman" w:eastAsia="宋体" w:hAnsi="Times New Roman"/>
          <w:sz w:val="18"/>
          <w:szCs w:val="20"/>
        </w:rPr>
        <w:t>30</w:t>
      </w:r>
      <w:r w:rsidRPr="00F614F9">
        <w:rPr>
          <w:rFonts w:ascii="Times New Roman" w:eastAsia="宋体" w:hAnsi="Times New Roman" w:hint="eastAsia"/>
          <w:sz w:val="18"/>
          <w:szCs w:val="20"/>
        </w:rPr>
        <w:t>日前。</w:t>
      </w:r>
    </w:p>
    <w:p w14:paraId="2CE0F9C3"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截至</w:t>
      </w:r>
      <w:r w:rsidRPr="00F614F9">
        <w:rPr>
          <w:rFonts w:ascii="Times New Roman" w:eastAsia="宋体" w:hAnsi="Times New Roman"/>
          <w:sz w:val="18"/>
          <w:szCs w:val="20"/>
        </w:rPr>
        <w:t>2023</w:t>
      </w:r>
      <w:r w:rsidRPr="00F614F9">
        <w:rPr>
          <w:rFonts w:ascii="Times New Roman" w:eastAsia="宋体" w:hAnsi="Times New Roman" w:hint="eastAsia"/>
          <w:sz w:val="18"/>
          <w:szCs w:val="20"/>
        </w:rPr>
        <w:t>年</w:t>
      </w:r>
      <w:r w:rsidRPr="00F614F9">
        <w:rPr>
          <w:rFonts w:ascii="Times New Roman" w:eastAsia="宋体" w:hAnsi="Times New Roman"/>
          <w:sz w:val="18"/>
          <w:szCs w:val="20"/>
        </w:rPr>
        <w:t>12</w:t>
      </w:r>
      <w:r w:rsidRPr="00F614F9">
        <w:rPr>
          <w:rFonts w:ascii="Times New Roman" w:eastAsia="宋体" w:hAnsi="Times New Roman" w:hint="eastAsia"/>
          <w:sz w:val="18"/>
          <w:szCs w:val="20"/>
        </w:rPr>
        <w:t>月</w:t>
      </w:r>
      <w:r w:rsidRPr="00F614F9">
        <w:rPr>
          <w:rFonts w:ascii="Times New Roman" w:eastAsia="宋体" w:hAnsi="Times New Roman"/>
          <w:sz w:val="18"/>
          <w:szCs w:val="20"/>
        </w:rPr>
        <w:t>31</w:t>
      </w:r>
      <w:r w:rsidRPr="00F614F9">
        <w:rPr>
          <w:rFonts w:ascii="Times New Roman" w:eastAsia="宋体" w:hAnsi="Times New Roman" w:hint="eastAsia"/>
          <w:sz w:val="18"/>
          <w:szCs w:val="20"/>
        </w:rPr>
        <w:t>日，本公司实缴出资</w:t>
      </w:r>
      <w:r w:rsidRPr="00F614F9">
        <w:rPr>
          <w:rFonts w:ascii="Times New Roman" w:eastAsia="宋体" w:hAnsi="Times New Roman"/>
          <w:sz w:val="18"/>
          <w:szCs w:val="20"/>
        </w:rPr>
        <w:t>0</w:t>
      </w:r>
      <w:r w:rsidRPr="00F614F9">
        <w:rPr>
          <w:rFonts w:ascii="Times New Roman" w:eastAsia="宋体" w:hAnsi="Times New Roman" w:hint="eastAsia"/>
          <w:sz w:val="18"/>
          <w:szCs w:val="20"/>
        </w:rPr>
        <w:t>元，剩余</w:t>
      </w:r>
      <w:r w:rsidRPr="00F614F9">
        <w:rPr>
          <w:rFonts w:ascii="Times New Roman" w:eastAsia="宋体" w:hAnsi="Times New Roman"/>
          <w:sz w:val="18"/>
          <w:szCs w:val="20"/>
        </w:rPr>
        <w:t>10,000</w:t>
      </w:r>
      <w:r w:rsidRPr="00F614F9">
        <w:rPr>
          <w:rFonts w:ascii="Times New Roman" w:eastAsia="宋体" w:hAnsi="Times New Roman" w:hint="eastAsia"/>
          <w:sz w:val="18"/>
          <w:szCs w:val="20"/>
        </w:rPr>
        <w:t>万元尚未出资。</w:t>
      </w:r>
    </w:p>
    <w:p w14:paraId="4DDA6F67"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w:t>
      </w:r>
      <w:r w:rsidRPr="00F614F9">
        <w:rPr>
          <w:rFonts w:ascii="Times New Roman" w:eastAsia="宋体" w:hAnsi="Times New Roman"/>
          <w:sz w:val="18"/>
          <w:szCs w:val="20"/>
        </w:rPr>
        <w:t>8</w:t>
      </w:r>
      <w:r w:rsidRPr="00F614F9">
        <w:rPr>
          <w:rFonts w:ascii="Times New Roman" w:eastAsia="宋体" w:hAnsi="Times New Roman" w:hint="eastAsia"/>
          <w:sz w:val="18"/>
          <w:szCs w:val="20"/>
        </w:rPr>
        <w:t>）本公司之子公司泰麟食品（烟台）有限责任公司于</w:t>
      </w:r>
      <w:r w:rsidRPr="00F614F9">
        <w:rPr>
          <w:rFonts w:ascii="Times New Roman" w:eastAsia="宋体" w:hAnsi="Times New Roman"/>
          <w:sz w:val="18"/>
          <w:szCs w:val="20"/>
        </w:rPr>
        <w:t>2022</w:t>
      </w:r>
      <w:r w:rsidRPr="00F614F9">
        <w:rPr>
          <w:rFonts w:ascii="Times New Roman" w:eastAsia="宋体" w:hAnsi="Times New Roman" w:hint="eastAsia"/>
          <w:sz w:val="18"/>
          <w:szCs w:val="20"/>
        </w:rPr>
        <w:t>年</w:t>
      </w:r>
      <w:r w:rsidRPr="00F614F9">
        <w:rPr>
          <w:rFonts w:ascii="Times New Roman" w:eastAsia="宋体" w:hAnsi="Times New Roman"/>
          <w:sz w:val="18"/>
          <w:szCs w:val="20"/>
        </w:rPr>
        <w:t>3</w:t>
      </w:r>
      <w:r w:rsidRPr="00F614F9">
        <w:rPr>
          <w:rFonts w:ascii="Times New Roman" w:eastAsia="宋体" w:hAnsi="Times New Roman" w:hint="eastAsia"/>
          <w:sz w:val="18"/>
          <w:szCs w:val="20"/>
        </w:rPr>
        <w:t>月</w:t>
      </w:r>
      <w:r w:rsidRPr="00F614F9">
        <w:rPr>
          <w:rFonts w:ascii="Times New Roman" w:eastAsia="宋体" w:hAnsi="Times New Roman"/>
          <w:sz w:val="18"/>
          <w:szCs w:val="20"/>
        </w:rPr>
        <w:t>7</w:t>
      </w:r>
      <w:r w:rsidRPr="00F614F9">
        <w:rPr>
          <w:rFonts w:ascii="Times New Roman" w:eastAsia="宋体" w:hAnsi="Times New Roman" w:hint="eastAsia"/>
          <w:sz w:val="18"/>
          <w:szCs w:val="20"/>
        </w:rPr>
        <w:t>日设立全资子公司四川龙鲜活供应链管理有限公司，注册资本为</w:t>
      </w:r>
      <w:r w:rsidRPr="00F614F9">
        <w:rPr>
          <w:rFonts w:ascii="Times New Roman" w:eastAsia="宋体" w:hAnsi="Times New Roman"/>
          <w:sz w:val="18"/>
          <w:szCs w:val="20"/>
        </w:rPr>
        <w:t>1,000</w:t>
      </w:r>
      <w:r w:rsidRPr="00F614F9">
        <w:rPr>
          <w:rFonts w:ascii="Times New Roman" w:eastAsia="宋体" w:hAnsi="Times New Roman" w:hint="eastAsia"/>
          <w:sz w:val="18"/>
          <w:szCs w:val="20"/>
        </w:rPr>
        <w:t>万元，章程约定出资时间为</w:t>
      </w:r>
      <w:r w:rsidRPr="00F614F9">
        <w:rPr>
          <w:rFonts w:ascii="Times New Roman" w:eastAsia="宋体" w:hAnsi="Times New Roman"/>
          <w:sz w:val="18"/>
          <w:szCs w:val="20"/>
        </w:rPr>
        <w:t>2072</w:t>
      </w:r>
      <w:r w:rsidRPr="00F614F9">
        <w:rPr>
          <w:rFonts w:ascii="Times New Roman" w:eastAsia="宋体" w:hAnsi="Times New Roman" w:hint="eastAsia"/>
          <w:sz w:val="18"/>
          <w:szCs w:val="20"/>
        </w:rPr>
        <w:t>年</w:t>
      </w:r>
      <w:r w:rsidRPr="00F614F9">
        <w:rPr>
          <w:rFonts w:ascii="Times New Roman" w:eastAsia="宋体" w:hAnsi="Times New Roman"/>
          <w:sz w:val="18"/>
          <w:szCs w:val="20"/>
        </w:rPr>
        <w:t>3</w:t>
      </w:r>
      <w:r w:rsidRPr="00F614F9">
        <w:rPr>
          <w:rFonts w:ascii="Times New Roman" w:eastAsia="宋体" w:hAnsi="Times New Roman" w:hint="eastAsia"/>
          <w:sz w:val="18"/>
          <w:szCs w:val="20"/>
        </w:rPr>
        <w:t>月</w:t>
      </w:r>
      <w:r w:rsidRPr="00F614F9">
        <w:rPr>
          <w:rFonts w:ascii="Times New Roman" w:eastAsia="宋体" w:hAnsi="Times New Roman"/>
          <w:sz w:val="18"/>
          <w:szCs w:val="20"/>
        </w:rPr>
        <w:t>1</w:t>
      </w:r>
      <w:r w:rsidRPr="00F614F9">
        <w:rPr>
          <w:rFonts w:ascii="Times New Roman" w:eastAsia="宋体" w:hAnsi="Times New Roman" w:hint="eastAsia"/>
          <w:sz w:val="18"/>
          <w:szCs w:val="20"/>
        </w:rPr>
        <w:t>日。</w:t>
      </w:r>
    </w:p>
    <w:p w14:paraId="4FF099C9"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截至</w:t>
      </w:r>
      <w:r w:rsidRPr="00F614F9">
        <w:rPr>
          <w:rFonts w:ascii="Times New Roman" w:eastAsia="宋体" w:hAnsi="Times New Roman"/>
          <w:sz w:val="18"/>
          <w:szCs w:val="20"/>
        </w:rPr>
        <w:t>2023</w:t>
      </w:r>
      <w:r w:rsidRPr="00F614F9">
        <w:rPr>
          <w:rFonts w:ascii="Times New Roman" w:eastAsia="宋体" w:hAnsi="Times New Roman" w:hint="eastAsia"/>
          <w:sz w:val="18"/>
          <w:szCs w:val="20"/>
        </w:rPr>
        <w:t>年</w:t>
      </w:r>
      <w:r w:rsidRPr="00F614F9">
        <w:rPr>
          <w:rFonts w:ascii="Times New Roman" w:eastAsia="宋体" w:hAnsi="Times New Roman"/>
          <w:sz w:val="18"/>
          <w:szCs w:val="20"/>
        </w:rPr>
        <w:t>12</w:t>
      </w:r>
      <w:r w:rsidRPr="00F614F9">
        <w:rPr>
          <w:rFonts w:ascii="Times New Roman" w:eastAsia="宋体" w:hAnsi="Times New Roman" w:hint="eastAsia"/>
          <w:sz w:val="18"/>
          <w:szCs w:val="20"/>
        </w:rPr>
        <w:t>月</w:t>
      </w:r>
      <w:r w:rsidRPr="00F614F9">
        <w:rPr>
          <w:rFonts w:ascii="Times New Roman" w:eastAsia="宋体" w:hAnsi="Times New Roman"/>
          <w:sz w:val="18"/>
          <w:szCs w:val="20"/>
        </w:rPr>
        <w:t>31</w:t>
      </w:r>
      <w:r w:rsidRPr="00F614F9">
        <w:rPr>
          <w:rFonts w:ascii="Times New Roman" w:eastAsia="宋体" w:hAnsi="Times New Roman" w:hint="eastAsia"/>
          <w:sz w:val="18"/>
          <w:szCs w:val="20"/>
        </w:rPr>
        <w:t>日，</w:t>
      </w:r>
      <w:r w:rsidRPr="00F614F9">
        <w:rPr>
          <w:rFonts w:ascii="Times New Roman" w:eastAsia="宋体" w:hAnsi="Times New Roman"/>
          <w:sz w:val="18"/>
          <w:szCs w:val="20"/>
        </w:rPr>
        <w:t xml:space="preserve"> </w:t>
      </w:r>
      <w:r w:rsidRPr="00F614F9">
        <w:rPr>
          <w:rFonts w:ascii="Times New Roman" w:eastAsia="宋体" w:hAnsi="Times New Roman" w:hint="eastAsia"/>
          <w:sz w:val="18"/>
          <w:szCs w:val="20"/>
        </w:rPr>
        <w:t>泰麟食品（烟台）有限责任公司对四川龙鲜活供应链管理有限公司实缴出资</w:t>
      </w:r>
      <w:r w:rsidRPr="00F614F9">
        <w:rPr>
          <w:rFonts w:ascii="Times New Roman" w:eastAsia="宋体" w:hAnsi="Times New Roman"/>
          <w:sz w:val="18"/>
          <w:szCs w:val="20"/>
        </w:rPr>
        <w:t>200</w:t>
      </w:r>
      <w:r w:rsidRPr="00F614F9">
        <w:rPr>
          <w:rFonts w:ascii="Times New Roman" w:eastAsia="宋体" w:hAnsi="Times New Roman" w:hint="eastAsia"/>
          <w:sz w:val="18"/>
          <w:szCs w:val="20"/>
        </w:rPr>
        <w:t>万元，剩余</w:t>
      </w:r>
      <w:r w:rsidRPr="00F614F9">
        <w:rPr>
          <w:rFonts w:ascii="Times New Roman" w:eastAsia="宋体" w:hAnsi="Times New Roman"/>
          <w:sz w:val="18"/>
          <w:szCs w:val="20"/>
        </w:rPr>
        <w:t>800</w:t>
      </w:r>
      <w:r w:rsidRPr="00F614F9">
        <w:rPr>
          <w:rFonts w:ascii="Times New Roman" w:eastAsia="宋体" w:hAnsi="Times New Roman" w:hint="eastAsia"/>
          <w:sz w:val="18"/>
          <w:szCs w:val="20"/>
        </w:rPr>
        <w:t>万元尚未出资。</w:t>
      </w:r>
    </w:p>
    <w:p w14:paraId="5C4885EA"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w:t>
      </w:r>
      <w:r w:rsidRPr="00F614F9">
        <w:rPr>
          <w:rFonts w:ascii="Times New Roman" w:eastAsia="宋体" w:hAnsi="Times New Roman"/>
          <w:sz w:val="18"/>
          <w:szCs w:val="20"/>
        </w:rPr>
        <w:t>9</w:t>
      </w:r>
      <w:r w:rsidRPr="00F614F9">
        <w:rPr>
          <w:rFonts w:ascii="Times New Roman" w:eastAsia="宋体" w:hAnsi="Times New Roman" w:hint="eastAsia"/>
          <w:sz w:val="18"/>
          <w:szCs w:val="20"/>
        </w:rPr>
        <w:t>）本公司之子公司成都龙大科技有限公司（原名：成都</w:t>
      </w:r>
      <w:proofErr w:type="gramStart"/>
      <w:r w:rsidRPr="00F614F9">
        <w:rPr>
          <w:rFonts w:ascii="Times New Roman" w:eastAsia="宋体" w:hAnsi="Times New Roman" w:hint="eastAsia"/>
          <w:sz w:val="18"/>
          <w:szCs w:val="20"/>
        </w:rPr>
        <w:t>逸享潮代供应</w:t>
      </w:r>
      <w:proofErr w:type="gramEnd"/>
      <w:r w:rsidRPr="00F614F9">
        <w:rPr>
          <w:rFonts w:ascii="Times New Roman" w:eastAsia="宋体" w:hAnsi="Times New Roman" w:hint="eastAsia"/>
          <w:sz w:val="18"/>
          <w:szCs w:val="20"/>
        </w:rPr>
        <w:t>链管理有限公司）于</w:t>
      </w:r>
      <w:r w:rsidRPr="00F614F9">
        <w:rPr>
          <w:rFonts w:ascii="Times New Roman" w:eastAsia="宋体" w:hAnsi="Times New Roman"/>
          <w:sz w:val="18"/>
          <w:szCs w:val="20"/>
        </w:rPr>
        <w:t>2022</w:t>
      </w:r>
      <w:r w:rsidRPr="00F614F9">
        <w:rPr>
          <w:rFonts w:ascii="Times New Roman" w:eastAsia="宋体" w:hAnsi="Times New Roman" w:hint="eastAsia"/>
          <w:sz w:val="18"/>
          <w:szCs w:val="20"/>
        </w:rPr>
        <w:t>年</w:t>
      </w:r>
      <w:r w:rsidRPr="00F614F9">
        <w:rPr>
          <w:rFonts w:ascii="Times New Roman" w:eastAsia="宋体" w:hAnsi="Times New Roman"/>
          <w:sz w:val="18"/>
          <w:szCs w:val="20"/>
        </w:rPr>
        <w:t>12</w:t>
      </w:r>
      <w:r w:rsidRPr="00F614F9">
        <w:rPr>
          <w:rFonts w:ascii="Times New Roman" w:eastAsia="宋体" w:hAnsi="Times New Roman" w:hint="eastAsia"/>
          <w:sz w:val="18"/>
          <w:szCs w:val="20"/>
        </w:rPr>
        <w:t>月</w:t>
      </w:r>
      <w:r w:rsidRPr="00F614F9">
        <w:rPr>
          <w:rFonts w:ascii="Times New Roman" w:eastAsia="宋体" w:hAnsi="Times New Roman"/>
          <w:sz w:val="18"/>
          <w:szCs w:val="20"/>
        </w:rPr>
        <w:t>22</w:t>
      </w:r>
      <w:r w:rsidRPr="00F614F9">
        <w:rPr>
          <w:rFonts w:ascii="Times New Roman" w:eastAsia="宋体" w:hAnsi="Times New Roman" w:hint="eastAsia"/>
          <w:sz w:val="18"/>
          <w:szCs w:val="20"/>
        </w:rPr>
        <w:t>日设立全资子公司北京晓食探科技有限公司，注册资本为</w:t>
      </w:r>
      <w:r w:rsidRPr="00F614F9">
        <w:rPr>
          <w:rFonts w:ascii="Times New Roman" w:eastAsia="宋体" w:hAnsi="Times New Roman"/>
          <w:sz w:val="18"/>
          <w:szCs w:val="20"/>
        </w:rPr>
        <w:t>10,000</w:t>
      </w:r>
      <w:r w:rsidRPr="00F614F9">
        <w:rPr>
          <w:rFonts w:ascii="Times New Roman" w:eastAsia="宋体" w:hAnsi="Times New Roman" w:hint="eastAsia"/>
          <w:sz w:val="18"/>
          <w:szCs w:val="20"/>
        </w:rPr>
        <w:t>万元，章程约定出资时间为</w:t>
      </w:r>
      <w:r w:rsidRPr="00F614F9">
        <w:rPr>
          <w:rFonts w:ascii="Times New Roman" w:eastAsia="宋体" w:hAnsi="Times New Roman"/>
          <w:sz w:val="18"/>
          <w:szCs w:val="20"/>
        </w:rPr>
        <w:t>2072</w:t>
      </w:r>
      <w:r w:rsidRPr="00F614F9">
        <w:rPr>
          <w:rFonts w:ascii="Times New Roman" w:eastAsia="宋体" w:hAnsi="Times New Roman" w:hint="eastAsia"/>
          <w:sz w:val="18"/>
          <w:szCs w:val="20"/>
        </w:rPr>
        <w:t>年</w:t>
      </w:r>
      <w:r w:rsidRPr="00F614F9">
        <w:rPr>
          <w:rFonts w:ascii="Times New Roman" w:eastAsia="宋体" w:hAnsi="Times New Roman"/>
          <w:sz w:val="18"/>
          <w:szCs w:val="20"/>
        </w:rPr>
        <w:t>12</w:t>
      </w:r>
      <w:r w:rsidRPr="00F614F9">
        <w:rPr>
          <w:rFonts w:ascii="Times New Roman" w:eastAsia="宋体" w:hAnsi="Times New Roman" w:hint="eastAsia"/>
          <w:sz w:val="18"/>
          <w:szCs w:val="20"/>
        </w:rPr>
        <w:t>月</w:t>
      </w:r>
      <w:r w:rsidRPr="00F614F9">
        <w:rPr>
          <w:rFonts w:ascii="Times New Roman" w:eastAsia="宋体" w:hAnsi="Times New Roman"/>
          <w:sz w:val="18"/>
          <w:szCs w:val="20"/>
        </w:rPr>
        <w:t>30</w:t>
      </w:r>
      <w:r w:rsidRPr="00F614F9">
        <w:rPr>
          <w:rFonts w:ascii="Times New Roman" w:eastAsia="宋体" w:hAnsi="Times New Roman" w:hint="eastAsia"/>
          <w:sz w:val="18"/>
          <w:szCs w:val="20"/>
        </w:rPr>
        <w:t>日。</w:t>
      </w:r>
    </w:p>
    <w:p w14:paraId="6546504D"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截至</w:t>
      </w:r>
      <w:r w:rsidRPr="00F614F9">
        <w:rPr>
          <w:rFonts w:ascii="Times New Roman" w:eastAsia="宋体" w:hAnsi="Times New Roman"/>
          <w:sz w:val="18"/>
          <w:szCs w:val="20"/>
        </w:rPr>
        <w:t>2023</w:t>
      </w:r>
      <w:r w:rsidRPr="00F614F9">
        <w:rPr>
          <w:rFonts w:ascii="Times New Roman" w:eastAsia="宋体" w:hAnsi="Times New Roman" w:hint="eastAsia"/>
          <w:sz w:val="18"/>
          <w:szCs w:val="20"/>
        </w:rPr>
        <w:t>年</w:t>
      </w:r>
      <w:r w:rsidRPr="00F614F9">
        <w:rPr>
          <w:rFonts w:ascii="Times New Roman" w:eastAsia="宋体" w:hAnsi="Times New Roman"/>
          <w:sz w:val="18"/>
          <w:szCs w:val="20"/>
        </w:rPr>
        <w:t>12</w:t>
      </w:r>
      <w:r w:rsidRPr="00F614F9">
        <w:rPr>
          <w:rFonts w:ascii="Times New Roman" w:eastAsia="宋体" w:hAnsi="Times New Roman" w:hint="eastAsia"/>
          <w:sz w:val="18"/>
          <w:szCs w:val="20"/>
        </w:rPr>
        <w:t>月</w:t>
      </w:r>
      <w:r w:rsidRPr="00F614F9">
        <w:rPr>
          <w:rFonts w:ascii="Times New Roman" w:eastAsia="宋体" w:hAnsi="Times New Roman"/>
          <w:sz w:val="18"/>
          <w:szCs w:val="20"/>
        </w:rPr>
        <w:t>31</w:t>
      </w:r>
      <w:r w:rsidRPr="00F614F9">
        <w:rPr>
          <w:rFonts w:ascii="Times New Roman" w:eastAsia="宋体" w:hAnsi="Times New Roman" w:hint="eastAsia"/>
          <w:sz w:val="18"/>
          <w:szCs w:val="20"/>
        </w:rPr>
        <w:t>日，</w:t>
      </w:r>
      <w:r w:rsidRPr="00F614F9">
        <w:rPr>
          <w:rFonts w:ascii="Times New Roman" w:eastAsia="宋体" w:hAnsi="Times New Roman"/>
          <w:sz w:val="18"/>
          <w:szCs w:val="20"/>
        </w:rPr>
        <w:t xml:space="preserve"> </w:t>
      </w:r>
      <w:r w:rsidRPr="00F614F9">
        <w:rPr>
          <w:rFonts w:ascii="Times New Roman" w:eastAsia="宋体" w:hAnsi="Times New Roman" w:hint="eastAsia"/>
          <w:sz w:val="18"/>
          <w:szCs w:val="20"/>
        </w:rPr>
        <w:t>成都</w:t>
      </w:r>
      <w:proofErr w:type="gramStart"/>
      <w:r w:rsidRPr="00F614F9">
        <w:rPr>
          <w:rFonts w:ascii="Times New Roman" w:eastAsia="宋体" w:hAnsi="Times New Roman" w:hint="eastAsia"/>
          <w:sz w:val="18"/>
          <w:szCs w:val="20"/>
        </w:rPr>
        <w:t>逸享潮代供应</w:t>
      </w:r>
      <w:proofErr w:type="gramEnd"/>
      <w:r w:rsidRPr="00F614F9">
        <w:rPr>
          <w:rFonts w:ascii="Times New Roman" w:eastAsia="宋体" w:hAnsi="Times New Roman" w:hint="eastAsia"/>
          <w:sz w:val="18"/>
          <w:szCs w:val="20"/>
        </w:rPr>
        <w:t>链管理有限公司对北京晓食探科技有限公司实缴出资</w:t>
      </w:r>
      <w:r w:rsidRPr="00F614F9">
        <w:rPr>
          <w:rFonts w:ascii="Times New Roman" w:eastAsia="宋体" w:hAnsi="Times New Roman"/>
          <w:sz w:val="18"/>
          <w:szCs w:val="20"/>
        </w:rPr>
        <w:t>0</w:t>
      </w:r>
      <w:r w:rsidRPr="00F614F9">
        <w:rPr>
          <w:rFonts w:ascii="Times New Roman" w:eastAsia="宋体" w:hAnsi="Times New Roman" w:hint="eastAsia"/>
          <w:sz w:val="18"/>
          <w:szCs w:val="20"/>
        </w:rPr>
        <w:t>万元，剩余</w:t>
      </w:r>
      <w:r w:rsidRPr="00F614F9">
        <w:rPr>
          <w:rFonts w:ascii="Times New Roman" w:eastAsia="宋体" w:hAnsi="Times New Roman"/>
          <w:sz w:val="18"/>
          <w:szCs w:val="20"/>
        </w:rPr>
        <w:t>10,000</w:t>
      </w:r>
      <w:r w:rsidRPr="00F614F9">
        <w:rPr>
          <w:rFonts w:ascii="Times New Roman" w:eastAsia="宋体" w:hAnsi="Times New Roman" w:hint="eastAsia"/>
          <w:sz w:val="18"/>
          <w:szCs w:val="20"/>
        </w:rPr>
        <w:t>万元尚未出资。</w:t>
      </w:r>
    </w:p>
    <w:p w14:paraId="55838232"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w:t>
      </w:r>
      <w:r w:rsidRPr="00F614F9">
        <w:rPr>
          <w:rFonts w:ascii="Times New Roman" w:eastAsia="宋体" w:hAnsi="Times New Roman"/>
          <w:sz w:val="18"/>
          <w:szCs w:val="20"/>
        </w:rPr>
        <w:t>10</w:t>
      </w:r>
      <w:r w:rsidRPr="00F614F9">
        <w:rPr>
          <w:rFonts w:ascii="Times New Roman" w:eastAsia="宋体" w:hAnsi="Times New Roman" w:hint="eastAsia"/>
          <w:sz w:val="18"/>
          <w:szCs w:val="20"/>
        </w:rPr>
        <w:t>）本公司于</w:t>
      </w:r>
      <w:r w:rsidRPr="00F614F9">
        <w:rPr>
          <w:rFonts w:ascii="Times New Roman" w:eastAsia="宋体" w:hAnsi="Times New Roman"/>
          <w:sz w:val="18"/>
          <w:szCs w:val="20"/>
        </w:rPr>
        <w:t>2023</w:t>
      </w:r>
      <w:r w:rsidRPr="00F614F9">
        <w:rPr>
          <w:rFonts w:ascii="Times New Roman" w:eastAsia="宋体" w:hAnsi="Times New Roman" w:hint="eastAsia"/>
          <w:sz w:val="18"/>
          <w:szCs w:val="20"/>
        </w:rPr>
        <w:t>年</w:t>
      </w:r>
      <w:r w:rsidRPr="00F614F9">
        <w:rPr>
          <w:rFonts w:ascii="Times New Roman" w:eastAsia="宋体" w:hAnsi="Times New Roman"/>
          <w:sz w:val="18"/>
          <w:szCs w:val="20"/>
        </w:rPr>
        <w:t>3</w:t>
      </w:r>
      <w:r w:rsidRPr="00F614F9">
        <w:rPr>
          <w:rFonts w:ascii="Times New Roman" w:eastAsia="宋体" w:hAnsi="Times New Roman" w:hint="eastAsia"/>
          <w:sz w:val="18"/>
          <w:szCs w:val="20"/>
        </w:rPr>
        <w:t>月</w:t>
      </w:r>
      <w:r w:rsidRPr="00F614F9">
        <w:rPr>
          <w:rFonts w:ascii="Times New Roman" w:eastAsia="宋体" w:hAnsi="Times New Roman"/>
          <w:sz w:val="18"/>
          <w:szCs w:val="20"/>
        </w:rPr>
        <w:t>15</w:t>
      </w:r>
      <w:r w:rsidRPr="00F614F9">
        <w:rPr>
          <w:rFonts w:ascii="Times New Roman" w:eastAsia="宋体" w:hAnsi="Times New Roman" w:hint="eastAsia"/>
          <w:sz w:val="18"/>
          <w:szCs w:val="20"/>
        </w:rPr>
        <w:t>日设立全资子公司龙大美食（北京）食品科技有限公司注册资本为</w:t>
      </w:r>
      <w:r w:rsidRPr="00F614F9">
        <w:rPr>
          <w:rFonts w:ascii="Times New Roman" w:eastAsia="宋体" w:hAnsi="Times New Roman"/>
          <w:sz w:val="18"/>
          <w:szCs w:val="20"/>
        </w:rPr>
        <w:t>500</w:t>
      </w:r>
      <w:r w:rsidRPr="00F614F9">
        <w:rPr>
          <w:rFonts w:ascii="Times New Roman" w:eastAsia="宋体" w:hAnsi="Times New Roman" w:hint="eastAsia"/>
          <w:sz w:val="18"/>
          <w:szCs w:val="20"/>
        </w:rPr>
        <w:t>万元，章程约定出资时间为</w:t>
      </w:r>
      <w:r w:rsidRPr="00F614F9">
        <w:rPr>
          <w:rFonts w:ascii="Times New Roman" w:eastAsia="宋体" w:hAnsi="Times New Roman"/>
          <w:sz w:val="18"/>
          <w:szCs w:val="20"/>
        </w:rPr>
        <w:t>2033</w:t>
      </w:r>
      <w:r w:rsidRPr="00F614F9">
        <w:rPr>
          <w:rFonts w:ascii="Times New Roman" w:eastAsia="宋体" w:hAnsi="Times New Roman" w:hint="eastAsia"/>
          <w:sz w:val="18"/>
          <w:szCs w:val="20"/>
        </w:rPr>
        <w:t>年</w:t>
      </w:r>
      <w:r w:rsidRPr="00F614F9">
        <w:rPr>
          <w:rFonts w:ascii="Times New Roman" w:eastAsia="宋体" w:hAnsi="Times New Roman"/>
          <w:sz w:val="18"/>
          <w:szCs w:val="20"/>
        </w:rPr>
        <w:t>3</w:t>
      </w:r>
      <w:r w:rsidRPr="00F614F9">
        <w:rPr>
          <w:rFonts w:ascii="Times New Roman" w:eastAsia="宋体" w:hAnsi="Times New Roman" w:hint="eastAsia"/>
          <w:sz w:val="18"/>
          <w:szCs w:val="20"/>
        </w:rPr>
        <w:t>月</w:t>
      </w:r>
      <w:r w:rsidRPr="00F614F9">
        <w:rPr>
          <w:rFonts w:ascii="Times New Roman" w:eastAsia="宋体" w:hAnsi="Times New Roman"/>
          <w:sz w:val="18"/>
          <w:szCs w:val="20"/>
        </w:rPr>
        <w:t>13</w:t>
      </w:r>
      <w:r w:rsidRPr="00F614F9">
        <w:rPr>
          <w:rFonts w:ascii="Times New Roman" w:eastAsia="宋体" w:hAnsi="Times New Roman" w:hint="eastAsia"/>
          <w:sz w:val="18"/>
          <w:szCs w:val="20"/>
        </w:rPr>
        <w:t>日前。</w:t>
      </w:r>
    </w:p>
    <w:p w14:paraId="3126AB68"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截至</w:t>
      </w:r>
      <w:r w:rsidRPr="00F614F9">
        <w:rPr>
          <w:rFonts w:ascii="Times New Roman" w:eastAsia="宋体" w:hAnsi="Times New Roman"/>
          <w:sz w:val="18"/>
          <w:szCs w:val="20"/>
        </w:rPr>
        <w:t>2023</w:t>
      </w:r>
      <w:r w:rsidRPr="00F614F9">
        <w:rPr>
          <w:rFonts w:ascii="Times New Roman" w:eastAsia="宋体" w:hAnsi="Times New Roman" w:hint="eastAsia"/>
          <w:sz w:val="18"/>
          <w:szCs w:val="20"/>
        </w:rPr>
        <w:t>年</w:t>
      </w:r>
      <w:r w:rsidRPr="00F614F9">
        <w:rPr>
          <w:rFonts w:ascii="Times New Roman" w:eastAsia="宋体" w:hAnsi="Times New Roman"/>
          <w:sz w:val="18"/>
          <w:szCs w:val="20"/>
        </w:rPr>
        <w:t>12</w:t>
      </w:r>
      <w:r w:rsidRPr="00F614F9">
        <w:rPr>
          <w:rFonts w:ascii="Times New Roman" w:eastAsia="宋体" w:hAnsi="Times New Roman" w:hint="eastAsia"/>
          <w:sz w:val="18"/>
          <w:szCs w:val="20"/>
        </w:rPr>
        <w:t>月</w:t>
      </w:r>
      <w:r w:rsidRPr="00F614F9">
        <w:rPr>
          <w:rFonts w:ascii="Times New Roman" w:eastAsia="宋体" w:hAnsi="Times New Roman"/>
          <w:sz w:val="18"/>
          <w:szCs w:val="20"/>
        </w:rPr>
        <w:t>31</w:t>
      </w:r>
      <w:r w:rsidRPr="00F614F9">
        <w:rPr>
          <w:rFonts w:ascii="Times New Roman" w:eastAsia="宋体" w:hAnsi="Times New Roman" w:hint="eastAsia"/>
          <w:sz w:val="18"/>
          <w:szCs w:val="20"/>
        </w:rPr>
        <w:t>日，本公司实缴出资</w:t>
      </w:r>
      <w:r w:rsidRPr="00F614F9">
        <w:rPr>
          <w:rFonts w:ascii="Times New Roman" w:eastAsia="宋体" w:hAnsi="Times New Roman"/>
          <w:sz w:val="18"/>
          <w:szCs w:val="20"/>
        </w:rPr>
        <w:t>0</w:t>
      </w:r>
      <w:r w:rsidRPr="00F614F9">
        <w:rPr>
          <w:rFonts w:ascii="Times New Roman" w:eastAsia="宋体" w:hAnsi="Times New Roman" w:hint="eastAsia"/>
          <w:sz w:val="18"/>
          <w:szCs w:val="20"/>
        </w:rPr>
        <w:t>元，剩余</w:t>
      </w:r>
      <w:r w:rsidRPr="00F614F9">
        <w:rPr>
          <w:rFonts w:ascii="Times New Roman" w:eastAsia="宋体" w:hAnsi="Times New Roman"/>
          <w:sz w:val="18"/>
          <w:szCs w:val="20"/>
        </w:rPr>
        <w:t>500</w:t>
      </w:r>
      <w:r w:rsidRPr="00F614F9">
        <w:rPr>
          <w:rFonts w:ascii="Times New Roman" w:eastAsia="宋体" w:hAnsi="Times New Roman" w:hint="eastAsia"/>
          <w:sz w:val="18"/>
          <w:szCs w:val="20"/>
        </w:rPr>
        <w:t>万元尚未出资。</w:t>
      </w:r>
    </w:p>
    <w:p w14:paraId="338A7632"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w:t>
      </w:r>
      <w:r w:rsidRPr="00F614F9">
        <w:rPr>
          <w:rFonts w:ascii="Times New Roman" w:eastAsia="宋体" w:hAnsi="Times New Roman"/>
          <w:sz w:val="18"/>
          <w:szCs w:val="20"/>
        </w:rPr>
        <w:t>11</w:t>
      </w:r>
      <w:r w:rsidRPr="00F614F9">
        <w:rPr>
          <w:rFonts w:ascii="Times New Roman" w:eastAsia="宋体" w:hAnsi="Times New Roman" w:hint="eastAsia"/>
          <w:sz w:val="18"/>
          <w:szCs w:val="20"/>
        </w:rPr>
        <w:t>）本公司于</w:t>
      </w:r>
      <w:r w:rsidRPr="00F614F9">
        <w:rPr>
          <w:rFonts w:ascii="Times New Roman" w:eastAsia="宋体" w:hAnsi="Times New Roman"/>
          <w:sz w:val="18"/>
          <w:szCs w:val="20"/>
        </w:rPr>
        <w:t>2023</w:t>
      </w:r>
      <w:r w:rsidRPr="00F614F9">
        <w:rPr>
          <w:rFonts w:ascii="Times New Roman" w:eastAsia="宋体" w:hAnsi="Times New Roman" w:hint="eastAsia"/>
          <w:sz w:val="18"/>
          <w:szCs w:val="20"/>
        </w:rPr>
        <w:t>年</w:t>
      </w:r>
      <w:r w:rsidRPr="00F614F9">
        <w:rPr>
          <w:rFonts w:ascii="Times New Roman" w:eastAsia="宋体" w:hAnsi="Times New Roman"/>
          <w:sz w:val="18"/>
          <w:szCs w:val="20"/>
        </w:rPr>
        <w:t>3</w:t>
      </w:r>
      <w:r w:rsidRPr="00F614F9">
        <w:rPr>
          <w:rFonts w:ascii="Times New Roman" w:eastAsia="宋体" w:hAnsi="Times New Roman" w:hint="eastAsia"/>
          <w:sz w:val="18"/>
          <w:szCs w:val="20"/>
        </w:rPr>
        <w:t>月</w:t>
      </w:r>
      <w:r w:rsidRPr="00F614F9">
        <w:rPr>
          <w:rFonts w:ascii="Times New Roman" w:eastAsia="宋体" w:hAnsi="Times New Roman"/>
          <w:sz w:val="18"/>
          <w:szCs w:val="20"/>
        </w:rPr>
        <w:t>28</w:t>
      </w:r>
      <w:r w:rsidRPr="00F614F9">
        <w:rPr>
          <w:rFonts w:ascii="Times New Roman" w:eastAsia="宋体" w:hAnsi="Times New Roman" w:hint="eastAsia"/>
          <w:sz w:val="18"/>
          <w:szCs w:val="20"/>
        </w:rPr>
        <w:t>日设立全资子公司龙大美食（上海）食品科技有限公司注册资本为</w:t>
      </w:r>
      <w:r w:rsidRPr="00F614F9">
        <w:rPr>
          <w:rFonts w:ascii="Times New Roman" w:eastAsia="宋体" w:hAnsi="Times New Roman"/>
          <w:sz w:val="18"/>
          <w:szCs w:val="20"/>
        </w:rPr>
        <w:t>500</w:t>
      </w:r>
      <w:r w:rsidRPr="00F614F9">
        <w:rPr>
          <w:rFonts w:ascii="Times New Roman" w:eastAsia="宋体" w:hAnsi="Times New Roman" w:hint="eastAsia"/>
          <w:sz w:val="18"/>
          <w:szCs w:val="20"/>
        </w:rPr>
        <w:t>万元，章程约</w:t>
      </w:r>
      <w:r w:rsidRPr="00F614F9">
        <w:rPr>
          <w:rFonts w:ascii="Times New Roman" w:eastAsia="宋体" w:hAnsi="Times New Roman" w:hint="eastAsia"/>
          <w:sz w:val="18"/>
          <w:szCs w:val="20"/>
        </w:rPr>
        <w:lastRenderedPageBreak/>
        <w:t>定出资时间为</w:t>
      </w:r>
      <w:r w:rsidRPr="00F614F9">
        <w:rPr>
          <w:rFonts w:ascii="Times New Roman" w:eastAsia="宋体" w:hAnsi="Times New Roman"/>
          <w:sz w:val="18"/>
          <w:szCs w:val="20"/>
        </w:rPr>
        <w:t>2043</w:t>
      </w:r>
      <w:r w:rsidRPr="00F614F9">
        <w:rPr>
          <w:rFonts w:ascii="Times New Roman" w:eastAsia="宋体" w:hAnsi="Times New Roman" w:hint="eastAsia"/>
          <w:sz w:val="18"/>
          <w:szCs w:val="20"/>
        </w:rPr>
        <w:t>年</w:t>
      </w:r>
      <w:r w:rsidRPr="00F614F9">
        <w:rPr>
          <w:rFonts w:ascii="Times New Roman" w:eastAsia="宋体" w:hAnsi="Times New Roman"/>
          <w:sz w:val="18"/>
          <w:szCs w:val="20"/>
        </w:rPr>
        <w:t>3</w:t>
      </w:r>
      <w:r w:rsidRPr="00F614F9">
        <w:rPr>
          <w:rFonts w:ascii="Times New Roman" w:eastAsia="宋体" w:hAnsi="Times New Roman" w:hint="eastAsia"/>
          <w:sz w:val="18"/>
          <w:szCs w:val="20"/>
        </w:rPr>
        <w:t>月</w:t>
      </w:r>
      <w:r w:rsidRPr="00F614F9">
        <w:rPr>
          <w:rFonts w:ascii="Times New Roman" w:eastAsia="宋体" w:hAnsi="Times New Roman"/>
          <w:sz w:val="18"/>
          <w:szCs w:val="20"/>
        </w:rPr>
        <w:t>10</w:t>
      </w:r>
      <w:r w:rsidRPr="00F614F9">
        <w:rPr>
          <w:rFonts w:ascii="Times New Roman" w:eastAsia="宋体" w:hAnsi="Times New Roman" w:hint="eastAsia"/>
          <w:sz w:val="18"/>
          <w:szCs w:val="20"/>
        </w:rPr>
        <w:t>日前。</w:t>
      </w:r>
    </w:p>
    <w:p w14:paraId="61E52598"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截至</w:t>
      </w:r>
      <w:r w:rsidRPr="00F614F9">
        <w:rPr>
          <w:rFonts w:ascii="Times New Roman" w:eastAsia="宋体" w:hAnsi="Times New Roman"/>
          <w:sz w:val="18"/>
          <w:szCs w:val="20"/>
        </w:rPr>
        <w:t>2023</w:t>
      </w:r>
      <w:r w:rsidRPr="00F614F9">
        <w:rPr>
          <w:rFonts w:ascii="Times New Roman" w:eastAsia="宋体" w:hAnsi="Times New Roman" w:hint="eastAsia"/>
          <w:sz w:val="18"/>
          <w:szCs w:val="20"/>
        </w:rPr>
        <w:t>年</w:t>
      </w:r>
      <w:r w:rsidRPr="00F614F9">
        <w:rPr>
          <w:rFonts w:ascii="Times New Roman" w:eastAsia="宋体" w:hAnsi="Times New Roman"/>
          <w:sz w:val="18"/>
          <w:szCs w:val="20"/>
        </w:rPr>
        <w:t>12</w:t>
      </w:r>
      <w:r w:rsidRPr="00F614F9">
        <w:rPr>
          <w:rFonts w:ascii="Times New Roman" w:eastAsia="宋体" w:hAnsi="Times New Roman" w:hint="eastAsia"/>
          <w:sz w:val="18"/>
          <w:szCs w:val="20"/>
        </w:rPr>
        <w:t>月</w:t>
      </w:r>
      <w:r w:rsidRPr="00F614F9">
        <w:rPr>
          <w:rFonts w:ascii="Times New Roman" w:eastAsia="宋体" w:hAnsi="Times New Roman"/>
          <w:sz w:val="18"/>
          <w:szCs w:val="20"/>
        </w:rPr>
        <w:t>31</w:t>
      </w:r>
      <w:r w:rsidRPr="00F614F9">
        <w:rPr>
          <w:rFonts w:ascii="Times New Roman" w:eastAsia="宋体" w:hAnsi="Times New Roman" w:hint="eastAsia"/>
          <w:sz w:val="18"/>
          <w:szCs w:val="20"/>
        </w:rPr>
        <w:t>日，本公司实缴出资</w:t>
      </w:r>
      <w:r w:rsidRPr="00F614F9">
        <w:rPr>
          <w:rFonts w:ascii="Times New Roman" w:eastAsia="宋体" w:hAnsi="Times New Roman"/>
          <w:sz w:val="18"/>
          <w:szCs w:val="20"/>
        </w:rPr>
        <w:t>0</w:t>
      </w:r>
      <w:r w:rsidRPr="00F614F9">
        <w:rPr>
          <w:rFonts w:ascii="Times New Roman" w:eastAsia="宋体" w:hAnsi="Times New Roman" w:hint="eastAsia"/>
          <w:sz w:val="18"/>
          <w:szCs w:val="20"/>
        </w:rPr>
        <w:t>元，剩余</w:t>
      </w:r>
      <w:r w:rsidRPr="00F614F9">
        <w:rPr>
          <w:rFonts w:ascii="Times New Roman" w:eastAsia="宋体" w:hAnsi="Times New Roman"/>
          <w:sz w:val="18"/>
          <w:szCs w:val="20"/>
        </w:rPr>
        <w:t>500</w:t>
      </w:r>
      <w:r w:rsidRPr="00F614F9">
        <w:rPr>
          <w:rFonts w:ascii="Times New Roman" w:eastAsia="宋体" w:hAnsi="Times New Roman" w:hint="eastAsia"/>
          <w:sz w:val="18"/>
          <w:szCs w:val="20"/>
        </w:rPr>
        <w:t>万元尚未出资。</w:t>
      </w:r>
    </w:p>
    <w:p w14:paraId="2EE0125C"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w:t>
      </w:r>
      <w:r w:rsidRPr="00F614F9">
        <w:rPr>
          <w:rFonts w:ascii="Times New Roman" w:eastAsia="宋体" w:hAnsi="Times New Roman"/>
          <w:sz w:val="18"/>
          <w:szCs w:val="20"/>
        </w:rPr>
        <w:t>12</w:t>
      </w:r>
      <w:r w:rsidRPr="00F614F9">
        <w:rPr>
          <w:rFonts w:ascii="Times New Roman" w:eastAsia="宋体" w:hAnsi="Times New Roman" w:hint="eastAsia"/>
          <w:sz w:val="18"/>
          <w:szCs w:val="20"/>
        </w:rPr>
        <w:t>）本公司于</w:t>
      </w:r>
      <w:r w:rsidRPr="00F614F9">
        <w:rPr>
          <w:rFonts w:ascii="Times New Roman" w:eastAsia="宋体" w:hAnsi="Times New Roman"/>
          <w:sz w:val="18"/>
          <w:szCs w:val="20"/>
        </w:rPr>
        <w:t>2023</w:t>
      </w:r>
      <w:r w:rsidRPr="00F614F9">
        <w:rPr>
          <w:rFonts w:ascii="Times New Roman" w:eastAsia="宋体" w:hAnsi="Times New Roman" w:hint="eastAsia"/>
          <w:sz w:val="18"/>
          <w:szCs w:val="20"/>
        </w:rPr>
        <w:t>年</w:t>
      </w:r>
      <w:r w:rsidRPr="00F614F9">
        <w:rPr>
          <w:rFonts w:ascii="Times New Roman" w:eastAsia="宋体" w:hAnsi="Times New Roman"/>
          <w:sz w:val="18"/>
          <w:szCs w:val="20"/>
        </w:rPr>
        <w:t>10</w:t>
      </w:r>
      <w:r w:rsidRPr="00F614F9">
        <w:rPr>
          <w:rFonts w:ascii="Times New Roman" w:eastAsia="宋体" w:hAnsi="Times New Roman" w:hint="eastAsia"/>
          <w:sz w:val="18"/>
          <w:szCs w:val="20"/>
        </w:rPr>
        <w:t>月</w:t>
      </w:r>
      <w:r w:rsidRPr="00F614F9">
        <w:rPr>
          <w:rFonts w:ascii="Times New Roman" w:eastAsia="宋体" w:hAnsi="Times New Roman"/>
          <w:sz w:val="18"/>
          <w:szCs w:val="20"/>
        </w:rPr>
        <w:t>31</w:t>
      </w:r>
      <w:r w:rsidRPr="00F614F9">
        <w:rPr>
          <w:rFonts w:ascii="Times New Roman" w:eastAsia="宋体" w:hAnsi="Times New Roman" w:hint="eastAsia"/>
          <w:sz w:val="18"/>
          <w:szCs w:val="20"/>
        </w:rPr>
        <w:t>日设立全资子公司龙大美食（广东）食品科技有限公司注册资本为</w:t>
      </w:r>
      <w:r w:rsidRPr="00F614F9">
        <w:rPr>
          <w:rFonts w:ascii="Times New Roman" w:eastAsia="宋体" w:hAnsi="Times New Roman"/>
          <w:sz w:val="18"/>
          <w:szCs w:val="20"/>
        </w:rPr>
        <w:t>500</w:t>
      </w:r>
      <w:r w:rsidRPr="00F614F9">
        <w:rPr>
          <w:rFonts w:ascii="Times New Roman" w:eastAsia="宋体" w:hAnsi="Times New Roman" w:hint="eastAsia"/>
          <w:sz w:val="18"/>
          <w:szCs w:val="20"/>
        </w:rPr>
        <w:t>万元，章程约定出资时间为</w:t>
      </w:r>
      <w:r w:rsidRPr="00F614F9">
        <w:rPr>
          <w:rFonts w:ascii="Times New Roman" w:eastAsia="宋体" w:hAnsi="Times New Roman"/>
          <w:sz w:val="18"/>
          <w:szCs w:val="20"/>
        </w:rPr>
        <w:t>2025</w:t>
      </w:r>
      <w:r w:rsidRPr="00F614F9">
        <w:rPr>
          <w:rFonts w:ascii="Times New Roman" w:eastAsia="宋体" w:hAnsi="Times New Roman" w:hint="eastAsia"/>
          <w:sz w:val="18"/>
          <w:szCs w:val="20"/>
        </w:rPr>
        <w:t>年</w:t>
      </w:r>
      <w:r w:rsidRPr="00F614F9">
        <w:rPr>
          <w:rFonts w:ascii="Times New Roman" w:eastAsia="宋体" w:hAnsi="Times New Roman"/>
          <w:sz w:val="18"/>
          <w:szCs w:val="20"/>
        </w:rPr>
        <w:t>9</w:t>
      </w:r>
      <w:r w:rsidRPr="00F614F9">
        <w:rPr>
          <w:rFonts w:ascii="Times New Roman" w:eastAsia="宋体" w:hAnsi="Times New Roman" w:hint="eastAsia"/>
          <w:sz w:val="18"/>
          <w:szCs w:val="20"/>
        </w:rPr>
        <w:t>月</w:t>
      </w:r>
      <w:r w:rsidRPr="00F614F9">
        <w:rPr>
          <w:rFonts w:ascii="Times New Roman" w:eastAsia="宋体" w:hAnsi="Times New Roman"/>
          <w:sz w:val="18"/>
          <w:szCs w:val="20"/>
        </w:rPr>
        <w:t>30</w:t>
      </w:r>
      <w:r w:rsidRPr="00F614F9">
        <w:rPr>
          <w:rFonts w:ascii="Times New Roman" w:eastAsia="宋体" w:hAnsi="Times New Roman" w:hint="eastAsia"/>
          <w:sz w:val="18"/>
          <w:szCs w:val="20"/>
        </w:rPr>
        <w:t>日前。</w:t>
      </w:r>
    </w:p>
    <w:p w14:paraId="652D1A9A" w14:textId="77777777" w:rsidR="00872599" w:rsidRPr="00F614F9" w:rsidRDefault="00000000" w:rsidP="007E1BEF">
      <w:pPr>
        <w:spacing w:line="276" w:lineRule="auto"/>
        <w:ind w:firstLineChars="200" w:firstLine="360"/>
        <w:divId w:val="1824858506"/>
        <w:rPr>
          <w:rFonts w:ascii="Times New Roman" w:eastAsia="宋体" w:hAnsi="Times New Roman"/>
          <w:sz w:val="18"/>
          <w:szCs w:val="20"/>
        </w:rPr>
      </w:pPr>
      <w:r w:rsidRPr="00F614F9">
        <w:rPr>
          <w:rFonts w:ascii="Times New Roman" w:eastAsia="宋体" w:hAnsi="Times New Roman" w:hint="eastAsia"/>
          <w:sz w:val="18"/>
          <w:szCs w:val="20"/>
        </w:rPr>
        <w:t>截至</w:t>
      </w:r>
      <w:r w:rsidRPr="00F614F9">
        <w:rPr>
          <w:rFonts w:ascii="Times New Roman" w:eastAsia="宋体" w:hAnsi="Times New Roman"/>
          <w:sz w:val="18"/>
          <w:szCs w:val="20"/>
        </w:rPr>
        <w:t>2023</w:t>
      </w:r>
      <w:r w:rsidRPr="00F614F9">
        <w:rPr>
          <w:rFonts w:ascii="Times New Roman" w:eastAsia="宋体" w:hAnsi="Times New Roman" w:hint="eastAsia"/>
          <w:sz w:val="18"/>
          <w:szCs w:val="20"/>
        </w:rPr>
        <w:t>年</w:t>
      </w:r>
      <w:r w:rsidRPr="00F614F9">
        <w:rPr>
          <w:rFonts w:ascii="Times New Roman" w:eastAsia="宋体" w:hAnsi="Times New Roman"/>
          <w:sz w:val="18"/>
          <w:szCs w:val="20"/>
        </w:rPr>
        <w:t>12</w:t>
      </w:r>
      <w:r w:rsidRPr="00F614F9">
        <w:rPr>
          <w:rFonts w:ascii="Times New Roman" w:eastAsia="宋体" w:hAnsi="Times New Roman" w:hint="eastAsia"/>
          <w:sz w:val="18"/>
          <w:szCs w:val="20"/>
        </w:rPr>
        <w:t>月</w:t>
      </w:r>
      <w:r w:rsidRPr="00F614F9">
        <w:rPr>
          <w:rFonts w:ascii="Times New Roman" w:eastAsia="宋体" w:hAnsi="Times New Roman"/>
          <w:sz w:val="18"/>
          <w:szCs w:val="20"/>
        </w:rPr>
        <w:t>31</w:t>
      </w:r>
      <w:r w:rsidRPr="00F614F9">
        <w:rPr>
          <w:rFonts w:ascii="Times New Roman" w:eastAsia="宋体" w:hAnsi="Times New Roman" w:hint="eastAsia"/>
          <w:sz w:val="18"/>
          <w:szCs w:val="20"/>
        </w:rPr>
        <w:t>日，本公司实缴出资</w:t>
      </w:r>
      <w:r w:rsidRPr="00F614F9">
        <w:rPr>
          <w:rFonts w:ascii="Times New Roman" w:eastAsia="宋体" w:hAnsi="Times New Roman"/>
          <w:sz w:val="18"/>
          <w:szCs w:val="20"/>
        </w:rPr>
        <w:t>0</w:t>
      </w:r>
      <w:r w:rsidRPr="00F614F9">
        <w:rPr>
          <w:rFonts w:ascii="Times New Roman" w:eastAsia="宋体" w:hAnsi="Times New Roman" w:hint="eastAsia"/>
          <w:sz w:val="18"/>
          <w:szCs w:val="20"/>
        </w:rPr>
        <w:t>元，剩余</w:t>
      </w:r>
      <w:r w:rsidRPr="00F614F9">
        <w:rPr>
          <w:rFonts w:ascii="Times New Roman" w:eastAsia="宋体" w:hAnsi="Times New Roman"/>
          <w:sz w:val="18"/>
          <w:szCs w:val="20"/>
        </w:rPr>
        <w:t>500</w:t>
      </w:r>
      <w:r w:rsidRPr="00F614F9">
        <w:rPr>
          <w:rFonts w:ascii="Times New Roman" w:eastAsia="宋体" w:hAnsi="Times New Roman" w:hint="eastAsia"/>
          <w:sz w:val="18"/>
          <w:szCs w:val="20"/>
        </w:rPr>
        <w:t>万元尚未出资。</w:t>
      </w:r>
    </w:p>
    <w:p w14:paraId="0E627538" w14:textId="77777777" w:rsidR="00872599" w:rsidRPr="00F614F9" w:rsidRDefault="00000000">
      <w:pPr>
        <w:pStyle w:val="a3"/>
        <w:spacing w:before="0" w:beforeAutospacing="0" w:after="0" w:afterAutospacing="0" w:line="460" w:lineRule="atLeast"/>
        <w:ind w:firstLine="420"/>
        <w:jc w:val="both"/>
        <w:divId w:val="1824858506"/>
        <w:rPr>
          <w:rFonts w:ascii="Times New Roman" w:hAnsi="Times New Roman" w:cs="Times New Roman"/>
          <w:sz w:val="21"/>
          <w:szCs w:val="21"/>
        </w:rPr>
      </w:pPr>
      <w:r w:rsidRPr="00F614F9">
        <w:rPr>
          <w:rFonts w:ascii="Times New Roman" w:hAnsi="Times New Roman" w:cs="Times New Roman"/>
          <w:sz w:val="21"/>
          <w:szCs w:val="21"/>
        </w:rPr>
        <w:t> </w:t>
      </w:r>
    </w:p>
    <w:p w14:paraId="72378EB4" w14:textId="77777777" w:rsidR="001D26E7" w:rsidRPr="00F614F9" w:rsidRDefault="00000000">
      <w:pPr>
        <w:pStyle w:val="3"/>
        <w:spacing w:line="280" w:lineRule="exact"/>
        <w:jc w:val="left"/>
        <w:rPr>
          <w:rFonts w:ascii="Times New Roman" w:hAnsi="Times New Roman" w:cs="宋体"/>
          <w:b/>
          <w:bCs/>
        </w:rPr>
      </w:pPr>
      <w:bookmarkStart w:id="607" w:name="_Toc989447"/>
      <w:r w:rsidRPr="00F614F9">
        <w:rPr>
          <w:rFonts w:ascii="Times New Roman" w:hAnsi="Times New Roman" w:cs="宋体"/>
          <w:b/>
          <w:bCs/>
        </w:rPr>
        <w:t>2</w:t>
      </w:r>
      <w:r w:rsidRPr="00F614F9">
        <w:rPr>
          <w:rFonts w:ascii="Times New Roman" w:hAnsi="Times New Roman" w:cs="宋体"/>
          <w:b/>
          <w:bCs/>
        </w:rPr>
        <w:t>、或有事项</w:t>
      </w:r>
      <w:bookmarkEnd w:id="607"/>
    </w:p>
    <w:p w14:paraId="586A736B"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608" w:name="_Toc989448"/>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资产负债表</w:t>
      </w:r>
      <w:proofErr w:type="gramStart"/>
      <w:r w:rsidRPr="00F614F9">
        <w:rPr>
          <w:rFonts w:ascii="Times New Roman" w:eastAsia="宋体" w:hAnsi="Times New Roman" w:cs="宋体"/>
          <w:b/>
          <w:bCs/>
          <w:szCs w:val="21"/>
        </w:rPr>
        <w:t>日存在</w:t>
      </w:r>
      <w:proofErr w:type="gramEnd"/>
      <w:r w:rsidRPr="00F614F9">
        <w:rPr>
          <w:rFonts w:ascii="Times New Roman" w:eastAsia="宋体" w:hAnsi="Times New Roman" w:cs="宋体"/>
          <w:b/>
          <w:bCs/>
          <w:szCs w:val="21"/>
        </w:rPr>
        <w:t>的重要或有事项</w:t>
      </w:r>
      <w:bookmarkEnd w:id="608"/>
    </w:p>
    <w:p w14:paraId="06DABC99" w14:textId="77777777" w:rsidR="007E1BEF" w:rsidRPr="00F614F9" w:rsidRDefault="007E1BEF" w:rsidP="007E1BEF">
      <w:pPr>
        <w:spacing w:before="40" w:after="40" w:line="240" w:lineRule="exact"/>
        <w:ind w:firstLineChars="200" w:firstLine="360"/>
        <w:rPr>
          <w:rFonts w:ascii="Times New Roman" w:eastAsia="宋体" w:hAnsi="Times New Roman" w:cs="宋体"/>
          <w:sz w:val="18"/>
          <w:szCs w:val="18"/>
        </w:rPr>
      </w:pPr>
      <w:bookmarkStart w:id="609" w:name="_Toc989449"/>
      <w:r w:rsidRPr="00F614F9">
        <w:rPr>
          <w:rFonts w:ascii="Times New Roman" w:eastAsia="宋体" w:hAnsi="Times New Roman" w:cs="宋体" w:hint="eastAsia"/>
          <w:sz w:val="18"/>
          <w:szCs w:val="18"/>
        </w:rPr>
        <w:t>无</w:t>
      </w:r>
    </w:p>
    <w:p w14:paraId="1081DC34"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公司没有需要披露的重要或有事项，也应予以说明</w:t>
      </w:r>
      <w:bookmarkEnd w:id="609"/>
    </w:p>
    <w:p w14:paraId="60E96738"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公司不存在需要披露的重要或有事项。</w:t>
      </w:r>
    </w:p>
    <w:p w14:paraId="7529AF40" w14:textId="77777777" w:rsidR="001D26E7" w:rsidRPr="00F614F9" w:rsidRDefault="00000000">
      <w:pPr>
        <w:pStyle w:val="3"/>
        <w:spacing w:line="280" w:lineRule="exact"/>
        <w:jc w:val="left"/>
        <w:rPr>
          <w:rFonts w:ascii="Times New Roman" w:hAnsi="Times New Roman" w:cs="宋体"/>
          <w:b/>
          <w:bCs/>
        </w:rPr>
      </w:pPr>
      <w:bookmarkStart w:id="610" w:name="_Toc989450"/>
      <w:r w:rsidRPr="00F614F9">
        <w:rPr>
          <w:rFonts w:ascii="Times New Roman" w:hAnsi="Times New Roman" w:cs="宋体"/>
          <w:b/>
          <w:bCs/>
        </w:rPr>
        <w:t>3</w:t>
      </w:r>
      <w:r w:rsidRPr="00F614F9">
        <w:rPr>
          <w:rFonts w:ascii="Times New Roman" w:hAnsi="Times New Roman" w:cs="宋体"/>
          <w:b/>
          <w:bCs/>
        </w:rPr>
        <w:t>、其他</w:t>
      </w:r>
      <w:bookmarkEnd w:id="610"/>
    </w:p>
    <w:p w14:paraId="5B351745" w14:textId="77777777" w:rsidR="007E1BEF" w:rsidRPr="00F614F9" w:rsidRDefault="007E1BEF" w:rsidP="007E1BEF">
      <w:pPr>
        <w:spacing w:before="40" w:after="40" w:line="240" w:lineRule="exact"/>
        <w:ind w:firstLineChars="200" w:firstLine="360"/>
        <w:rPr>
          <w:rFonts w:ascii="Times New Roman" w:eastAsia="宋体" w:hAnsi="Times New Roman" w:cs="宋体"/>
          <w:sz w:val="18"/>
          <w:szCs w:val="18"/>
        </w:rPr>
      </w:pPr>
      <w:bookmarkStart w:id="611" w:name="_Toc989451"/>
      <w:r w:rsidRPr="00F614F9">
        <w:rPr>
          <w:rFonts w:ascii="Times New Roman" w:eastAsia="宋体" w:hAnsi="Times New Roman" w:cs="宋体" w:hint="eastAsia"/>
          <w:sz w:val="18"/>
          <w:szCs w:val="18"/>
        </w:rPr>
        <w:t>无</w:t>
      </w:r>
    </w:p>
    <w:p w14:paraId="1ECA96FF"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612" w:name="_Toc164024838"/>
      <w:r w:rsidRPr="00F614F9">
        <w:rPr>
          <w:rFonts w:ascii="Times New Roman" w:eastAsia="宋体" w:hAnsi="Times New Roman" w:cs="宋体"/>
          <w:b/>
          <w:bCs/>
          <w:sz w:val="24"/>
          <w:szCs w:val="24"/>
        </w:rPr>
        <w:t>十七、资产负债表日后事项</w:t>
      </w:r>
      <w:bookmarkEnd w:id="611"/>
      <w:bookmarkEnd w:id="612"/>
    </w:p>
    <w:p w14:paraId="5D0F81D0" w14:textId="77777777" w:rsidR="001D26E7" w:rsidRPr="00F614F9" w:rsidRDefault="00000000">
      <w:pPr>
        <w:pStyle w:val="3"/>
        <w:spacing w:line="280" w:lineRule="exact"/>
        <w:jc w:val="left"/>
        <w:rPr>
          <w:rFonts w:ascii="Times New Roman" w:hAnsi="Times New Roman" w:cs="宋体"/>
          <w:b/>
          <w:bCs/>
        </w:rPr>
      </w:pPr>
      <w:bookmarkStart w:id="613" w:name="_Toc989452"/>
      <w:r w:rsidRPr="00F614F9">
        <w:rPr>
          <w:rFonts w:ascii="Times New Roman" w:hAnsi="Times New Roman" w:cs="宋体"/>
          <w:b/>
          <w:bCs/>
        </w:rPr>
        <w:t>1</w:t>
      </w:r>
      <w:r w:rsidRPr="00F614F9">
        <w:rPr>
          <w:rFonts w:ascii="Times New Roman" w:hAnsi="Times New Roman" w:cs="宋体"/>
          <w:b/>
          <w:bCs/>
        </w:rPr>
        <w:t>、重要的非调整事项</w:t>
      </w:r>
      <w:bookmarkEnd w:id="613"/>
    </w:p>
    <w:p w14:paraId="36F3E5D9" w14:textId="77777777" w:rsidR="007E1BEF" w:rsidRPr="00F614F9" w:rsidRDefault="007E1BEF" w:rsidP="007E1BEF">
      <w:pPr>
        <w:spacing w:before="40" w:after="40" w:line="240" w:lineRule="exact"/>
        <w:ind w:firstLineChars="200" w:firstLine="360"/>
        <w:rPr>
          <w:rFonts w:ascii="Times New Roman" w:eastAsia="宋体" w:hAnsi="Times New Roman" w:cs="宋体"/>
          <w:sz w:val="18"/>
          <w:szCs w:val="18"/>
        </w:rPr>
      </w:pPr>
      <w:bookmarkStart w:id="614" w:name="_Toc989453"/>
      <w:r w:rsidRPr="00F614F9">
        <w:rPr>
          <w:rFonts w:ascii="Times New Roman" w:eastAsia="宋体" w:hAnsi="Times New Roman" w:cs="宋体" w:hint="eastAsia"/>
          <w:sz w:val="18"/>
          <w:szCs w:val="18"/>
        </w:rPr>
        <w:t>无</w:t>
      </w:r>
    </w:p>
    <w:p w14:paraId="45C59524" w14:textId="77777777" w:rsidR="001D26E7" w:rsidRPr="00F614F9" w:rsidRDefault="00000000">
      <w:pPr>
        <w:pStyle w:val="3"/>
        <w:spacing w:line="280" w:lineRule="exact"/>
        <w:jc w:val="left"/>
        <w:rPr>
          <w:rFonts w:ascii="Times New Roman" w:hAnsi="Times New Roman" w:cs="宋体"/>
          <w:b/>
          <w:bCs/>
        </w:rPr>
      </w:pPr>
      <w:r w:rsidRPr="00F614F9">
        <w:rPr>
          <w:rFonts w:ascii="Times New Roman" w:hAnsi="Times New Roman" w:cs="宋体"/>
          <w:b/>
          <w:bCs/>
        </w:rPr>
        <w:t>2</w:t>
      </w:r>
      <w:r w:rsidRPr="00F614F9">
        <w:rPr>
          <w:rFonts w:ascii="Times New Roman" w:hAnsi="Times New Roman" w:cs="宋体"/>
          <w:b/>
          <w:bCs/>
        </w:rPr>
        <w:t>、利润分配情况</w:t>
      </w:r>
      <w:bookmarkEnd w:id="614"/>
    </w:p>
    <w:p w14:paraId="47F761B7" w14:textId="77777777" w:rsidR="001D26E7" w:rsidRPr="00F614F9" w:rsidRDefault="00000000">
      <w:pPr>
        <w:pStyle w:val="3"/>
        <w:spacing w:line="280" w:lineRule="exact"/>
        <w:jc w:val="left"/>
        <w:rPr>
          <w:rFonts w:ascii="Times New Roman" w:hAnsi="Times New Roman" w:cs="宋体"/>
          <w:b/>
          <w:bCs/>
        </w:rPr>
      </w:pPr>
      <w:bookmarkStart w:id="615" w:name="_Toc989454"/>
      <w:r w:rsidRPr="00F614F9">
        <w:rPr>
          <w:rFonts w:ascii="Times New Roman" w:hAnsi="Times New Roman" w:cs="宋体"/>
          <w:b/>
          <w:bCs/>
        </w:rPr>
        <w:t>3</w:t>
      </w:r>
      <w:r w:rsidRPr="00F614F9">
        <w:rPr>
          <w:rFonts w:ascii="Times New Roman" w:hAnsi="Times New Roman" w:cs="宋体"/>
          <w:b/>
          <w:bCs/>
        </w:rPr>
        <w:t>、销售退回</w:t>
      </w:r>
      <w:bookmarkEnd w:id="615"/>
    </w:p>
    <w:p w14:paraId="786C88F0" w14:textId="77777777" w:rsidR="00872599" w:rsidRPr="00F614F9" w:rsidRDefault="0076572E" w:rsidP="007E1BEF">
      <w:pPr>
        <w:spacing w:line="276" w:lineRule="auto"/>
        <w:ind w:firstLineChars="200" w:firstLine="360"/>
        <w:rPr>
          <w:rFonts w:ascii="Times New Roman" w:eastAsia="宋体" w:hAnsi="Times New Roman"/>
          <w:sz w:val="18"/>
          <w:szCs w:val="20"/>
        </w:rPr>
      </w:pPr>
      <w:r>
        <w:rPr>
          <w:rFonts w:ascii="Times New Roman" w:eastAsia="宋体" w:hAnsi="Times New Roman" w:hint="eastAsia"/>
          <w:sz w:val="18"/>
          <w:szCs w:val="20"/>
        </w:rPr>
        <w:t>无</w:t>
      </w:r>
    </w:p>
    <w:p w14:paraId="76CE48C2" w14:textId="77777777" w:rsidR="001D26E7" w:rsidRPr="00F614F9" w:rsidRDefault="00000000">
      <w:pPr>
        <w:pStyle w:val="3"/>
        <w:spacing w:line="280" w:lineRule="exact"/>
        <w:jc w:val="left"/>
        <w:rPr>
          <w:rFonts w:ascii="Times New Roman" w:hAnsi="Times New Roman" w:cs="宋体"/>
          <w:b/>
          <w:bCs/>
        </w:rPr>
      </w:pPr>
      <w:bookmarkStart w:id="616" w:name="_Toc989455"/>
      <w:r w:rsidRPr="00F614F9">
        <w:rPr>
          <w:rFonts w:ascii="Times New Roman" w:hAnsi="Times New Roman" w:cs="宋体"/>
          <w:b/>
          <w:bCs/>
        </w:rPr>
        <w:t>4</w:t>
      </w:r>
      <w:r w:rsidRPr="00F614F9">
        <w:rPr>
          <w:rFonts w:ascii="Times New Roman" w:hAnsi="Times New Roman" w:cs="宋体"/>
          <w:b/>
          <w:bCs/>
        </w:rPr>
        <w:t>、其他资产负债表日后事项说明</w:t>
      </w:r>
      <w:bookmarkEnd w:id="616"/>
    </w:p>
    <w:p w14:paraId="62CA3821" w14:textId="77777777" w:rsidR="0076572E" w:rsidRPr="00F614F9" w:rsidRDefault="0076572E" w:rsidP="0076572E">
      <w:pPr>
        <w:spacing w:line="276" w:lineRule="auto"/>
        <w:ind w:firstLineChars="200" w:firstLine="360"/>
        <w:rPr>
          <w:rFonts w:ascii="Times New Roman" w:eastAsia="宋体" w:hAnsi="Times New Roman"/>
          <w:sz w:val="18"/>
          <w:szCs w:val="20"/>
        </w:rPr>
      </w:pPr>
      <w:bookmarkStart w:id="617" w:name="_Toc989456"/>
      <w:bookmarkStart w:id="618" w:name="_Toc164024839"/>
      <w:r w:rsidRPr="00F614F9">
        <w:rPr>
          <w:rFonts w:ascii="Times New Roman" w:eastAsia="宋体" w:hAnsi="Times New Roman" w:hint="eastAsia"/>
          <w:sz w:val="18"/>
          <w:szCs w:val="20"/>
        </w:rPr>
        <w:t>本公司之子公司</w:t>
      </w:r>
      <w:proofErr w:type="gramStart"/>
      <w:r w:rsidRPr="00F614F9">
        <w:rPr>
          <w:rFonts w:ascii="Times New Roman" w:eastAsia="宋体" w:hAnsi="Times New Roman" w:hint="eastAsia"/>
          <w:sz w:val="18"/>
          <w:szCs w:val="20"/>
        </w:rPr>
        <w:t>莒</w:t>
      </w:r>
      <w:proofErr w:type="gramEnd"/>
      <w:r w:rsidRPr="00F614F9">
        <w:rPr>
          <w:rFonts w:ascii="Times New Roman" w:eastAsia="宋体" w:hAnsi="Times New Roman" w:hint="eastAsia"/>
          <w:sz w:val="18"/>
          <w:szCs w:val="20"/>
        </w:rPr>
        <w:t>南龙大肉食品有限公司于</w:t>
      </w:r>
      <w:r w:rsidRPr="00F614F9">
        <w:rPr>
          <w:rFonts w:ascii="Times New Roman" w:eastAsia="宋体" w:hAnsi="Times New Roman"/>
          <w:sz w:val="18"/>
          <w:szCs w:val="20"/>
        </w:rPr>
        <w:t>2024</w:t>
      </w:r>
      <w:r w:rsidRPr="00F614F9">
        <w:rPr>
          <w:rFonts w:ascii="Times New Roman" w:eastAsia="宋体" w:hAnsi="Times New Roman" w:hint="eastAsia"/>
          <w:sz w:val="18"/>
          <w:szCs w:val="20"/>
        </w:rPr>
        <w:t>年</w:t>
      </w:r>
      <w:r w:rsidRPr="00F614F9">
        <w:rPr>
          <w:rFonts w:ascii="Times New Roman" w:eastAsia="宋体" w:hAnsi="Times New Roman"/>
          <w:sz w:val="18"/>
          <w:szCs w:val="20"/>
        </w:rPr>
        <w:t>2</w:t>
      </w:r>
      <w:r w:rsidRPr="00F614F9">
        <w:rPr>
          <w:rFonts w:ascii="Times New Roman" w:eastAsia="宋体" w:hAnsi="Times New Roman" w:hint="eastAsia"/>
          <w:sz w:val="18"/>
          <w:szCs w:val="20"/>
        </w:rPr>
        <w:t>月</w:t>
      </w:r>
      <w:r w:rsidRPr="00F614F9">
        <w:rPr>
          <w:rFonts w:ascii="Times New Roman" w:eastAsia="宋体" w:hAnsi="Times New Roman"/>
          <w:sz w:val="18"/>
          <w:szCs w:val="20"/>
        </w:rPr>
        <w:t>19</w:t>
      </w:r>
      <w:r w:rsidRPr="00F614F9">
        <w:rPr>
          <w:rFonts w:ascii="Times New Roman" w:eastAsia="宋体" w:hAnsi="Times New Roman" w:hint="eastAsia"/>
          <w:sz w:val="18"/>
          <w:szCs w:val="20"/>
        </w:rPr>
        <w:t>日注销。</w:t>
      </w:r>
    </w:p>
    <w:p w14:paraId="02D83B5C" w14:textId="77777777" w:rsidR="0076572E" w:rsidRPr="00F614F9" w:rsidRDefault="0076572E" w:rsidP="0076572E">
      <w:pPr>
        <w:spacing w:line="276" w:lineRule="auto"/>
        <w:ind w:firstLineChars="200" w:firstLine="360"/>
        <w:rPr>
          <w:rFonts w:ascii="Times New Roman" w:eastAsia="宋体" w:hAnsi="Times New Roman"/>
          <w:sz w:val="18"/>
          <w:szCs w:val="20"/>
        </w:rPr>
      </w:pPr>
      <w:r w:rsidRPr="00F614F9">
        <w:rPr>
          <w:rFonts w:ascii="Times New Roman" w:eastAsia="宋体" w:hAnsi="Times New Roman" w:hint="eastAsia"/>
          <w:sz w:val="18"/>
          <w:szCs w:val="20"/>
        </w:rPr>
        <w:t>本公司之子公司北京晓食探科技有限公司于</w:t>
      </w:r>
      <w:r w:rsidRPr="00F614F9">
        <w:rPr>
          <w:rFonts w:ascii="Times New Roman" w:eastAsia="宋体" w:hAnsi="Times New Roman"/>
          <w:sz w:val="18"/>
          <w:szCs w:val="20"/>
        </w:rPr>
        <w:t>2024</w:t>
      </w:r>
      <w:r w:rsidRPr="00F614F9">
        <w:rPr>
          <w:rFonts w:ascii="Times New Roman" w:eastAsia="宋体" w:hAnsi="Times New Roman" w:hint="eastAsia"/>
          <w:sz w:val="18"/>
          <w:szCs w:val="20"/>
        </w:rPr>
        <w:t>年</w:t>
      </w:r>
      <w:r w:rsidRPr="00F614F9">
        <w:rPr>
          <w:rFonts w:ascii="Times New Roman" w:eastAsia="宋体" w:hAnsi="Times New Roman"/>
          <w:sz w:val="18"/>
          <w:szCs w:val="20"/>
        </w:rPr>
        <w:t>2</w:t>
      </w:r>
      <w:r w:rsidRPr="00F614F9">
        <w:rPr>
          <w:rFonts w:ascii="Times New Roman" w:eastAsia="宋体" w:hAnsi="Times New Roman" w:hint="eastAsia"/>
          <w:sz w:val="18"/>
          <w:szCs w:val="20"/>
        </w:rPr>
        <w:t>月</w:t>
      </w:r>
      <w:r w:rsidRPr="00F614F9">
        <w:rPr>
          <w:rFonts w:ascii="Times New Roman" w:eastAsia="宋体" w:hAnsi="Times New Roman"/>
          <w:sz w:val="18"/>
          <w:szCs w:val="20"/>
        </w:rPr>
        <w:t>27</w:t>
      </w:r>
      <w:r w:rsidRPr="00F614F9">
        <w:rPr>
          <w:rFonts w:ascii="Times New Roman" w:eastAsia="宋体" w:hAnsi="Times New Roman" w:hint="eastAsia"/>
          <w:sz w:val="18"/>
          <w:szCs w:val="20"/>
        </w:rPr>
        <w:t>日注销。</w:t>
      </w:r>
    </w:p>
    <w:p w14:paraId="3C69E514" w14:textId="77777777" w:rsidR="001D26E7" w:rsidRPr="00F614F9" w:rsidRDefault="00000000">
      <w:pPr>
        <w:pStyle w:val="2"/>
        <w:spacing w:before="300" w:after="300" w:line="320" w:lineRule="exact"/>
        <w:rPr>
          <w:rFonts w:ascii="Times New Roman" w:eastAsia="宋体" w:hAnsi="Times New Roman" w:cs="宋体"/>
          <w:b/>
          <w:bCs/>
          <w:sz w:val="24"/>
          <w:szCs w:val="24"/>
        </w:rPr>
      </w:pPr>
      <w:r w:rsidRPr="00F614F9">
        <w:rPr>
          <w:rFonts w:ascii="Times New Roman" w:eastAsia="宋体" w:hAnsi="Times New Roman" w:cs="宋体"/>
          <w:b/>
          <w:bCs/>
          <w:sz w:val="24"/>
          <w:szCs w:val="24"/>
        </w:rPr>
        <w:t>十八、其他重要事项</w:t>
      </w:r>
      <w:bookmarkEnd w:id="617"/>
      <w:bookmarkEnd w:id="618"/>
    </w:p>
    <w:p w14:paraId="458613FF" w14:textId="77777777" w:rsidR="001D26E7" w:rsidRPr="00F614F9" w:rsidRDefault="00000000">
      <w:pPr>
        <w:pStyle w:val="3"/>
        <w:spacing w:line="280" w:lineRule="exact"/>
        <w:jc w:val="left"/>
        <w:rPr>
          <w:rFonts w:ascii="Times New Roman" w:hAnsi="Times New Roman" w:cs="宋体"/>
          <w:b/>
          <w:bCs/>
        </w:rPr>
      </w:pPr>
      <w:bookmarkStart w:id="619" w:name="_Toc989457"/>
      <w:r w:rsidRPr="00F614F9">
        <w:rPr>
          <w:rFonts w:ascii="Times New Roman" w:hAnsi="Times New Roman" w:cs="宋体"/>
          <w:b/>
          <w:bCs/>
        </w:rPr>
        <w:t>1</w:t>
      </w:r>
      <w:r w:rsidRPr="00F614F9">
        <w:rPr>
          <w:rFonts w:ascii="Times New Roman" w:hAnsi="Times New Roman" w:cs="宋体"/>
          <w:b/>
          <w:bCs/>
        </w:rPr>
        <w:t>、前期会计差错更正</w:t>
      </w:r>
      <w:bookmarkEnd w:id="619"/>
    </w:p>
    <w:p w14:paraId="43BA056A" w14:textId="77777777" w:rsidR="007E1BEF" w:rsidRPr="00F614F9" w:rsidRDefault="007E1BEF" w:rsidP="007E1BEF">
      <w:pPr>
        <w:spacing w:before="40" w:after="40" w:line="240" w:lineRule="exact"/>
        <w:ind w:firstLineChars="200" w:firstLine="360"/>
        <w:rPr>
          <w:rFonts w:ascii="Times New Roman" w:eastAsia="宋体" w:hAnsi="Times New Roman" w:cs="宋体"/>
          <w:sz w:val="18"/>
          <w:szCs w:val="18"/>
        </w:rPr>
      </w:pPr>
      <w:bookmarkStart w:id="620" w:name="_Toc989459"/>
      <w:r w:rsidRPr="00F614F9">
        <w:rPr>
          <w:rFonts w:ascii="Times New Roman" w:eastAsia="宋体" w:hAnsi="Times New Roman" w:cs="宋体" w:hint="eastAsia"/>
          <w:sz w:val="18"/>
          <w:szCs w:val="18"/>
        </w:rPr>
        <w:t>无</w:t>
      </w:r>
    </w:p>
    <w:p w14:paraId="526E7CF0" w14:textId="77777777" w:rsidR="001D26E7" w:rsidRPr="00F614F9" w:rsidRDefault="00000000">
      <w:pPr>
        <w:pStyle w:val="3"/>
        <w:spacing w:line="280" w:lineRule="exact"/>
        <w:jc w:val="left"/>
        <w:rPr>
          <w:rFonts w:ascii="Times New Roman" w:hAnsi="Times New Roman" w:cs="宋体"/>
          <w:b/>
          <w:bCs/>
        </w:rPr>
      </w:pPr>
      <w:bookmarkStart w:id="621" w:name="_Toc989460"/>
      <w:bookmarkEnd w:id="620"/>
      <w:r w:rsidRPr="00F614F9">
        <w:rPr>
          <w:rFonts w:ascii="Times New Roman" w:hAnsi="Times New Roman" w:cs="宋体"/>
          <w:b/>
          <w:bCs/>
        </w:rPr>
        <w:lastRenderedPageBreak/>
        <w:t>2</w:t>
      </w:r>
      <w:r w:rsidRPr="00F614F9">
        <w:rPr>
          <w:rFonts w:ascii="Times New Roman" w:hAnsi="Times New Roman" w:cs="宋体"/>
          <w:b/>
          <w:bCs/>
        </w:rPr>
        <w:t>、债务重组</w:t>
      </w:r>
      <w:bookmarkEnd w:id="621"/>
    </w:p>
    <w:p w14:paraId="73BBDD53" w14:textId="77777777" w:rsidR="00872599" w:rsidRPr="00F614F9" w:rsidRDefault="00000000">
      <w:pPr>
        <w:pStyle w:val="a3"/>
        <w:divId w:val="18745128"/>
        <w:rPr>
          <w:rFonts w:ascii="Times New Roman" w:hAnsi="Times New Roman"/>
          <w:sz w:val="18"/>
          <w:szCs w:val="18"/>
        </w:rPr>
      </w:pPr>
      <w:r w:rsidRPr="00F614F9">
        <w:rPr>
          <w:rFonts w:ascii="Times New Roman" w:hAnsi="Times New Roman" w:hint="eastAsia"/>
          <w:sz w:val="18"/>
          <w:szCs w:val="18"/>
        </w:rPr>
        <w:t>无</w:t>
      </w:r>
    </w:p>
    <w:p w14:paraId="0926A6B4" w14:textId="77777777" w:rsidR="001D26E7" w:rsidRPr="00F614F9" w:rsidRDefault="00000000">
      <w:pPr>
        <w:pStyle w:val="3"/>
        <w:spacing w:line="280" w:lineRule="exact"/>
        <w:jc w:val="left"/>
        <w:rPr>
          <w:rFonts w:ascii="Times New Roman" w:hAnsi="Times New Roman" w:cs="宋体"/>
          <w:b/>
          <w:bCs/>
        </w:rPr>
      </w:pPr>
      <w:bookmarkStart w:id="622" w:name="_Toc989461"/>
      <w:r w:rsidRPr="00F614F9">
        <w:rPr>
          <w:rFonts w:ascii="Times New Roman" w:hAnsi="Times New Roman" w:cs="宋体"/>
          <w:b/>
          <w:bCs/>
        </w:rPr>
        <w:t>3</w:t>
      </w:r>
      <w:r w:rsidRPr="00F614F9">
        <w:rPr>
          <w:rFonts w:ascii="Times New Roman" w:hAnsi="Times New Roman" w:cs="宋体"/>
          <w:b/>
          <w:bCs/>
        </w:rPr>
        <w:t>、资产置换</w:t>
      </w:r>
      <w:bookmarkEnd w:id="622"/>
    </w:p>
    <w:p w14:paraId="2AD5EA16"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623" w:name="_Toc989462"/>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非货币性资产交换</w:t>
      </w:r>
      <w:bookmarkEnd w:id="623"/>
    </w:p>
    <w:p w14:paraId="6B820549" w14:textId="77777777" w:rsidR="00872599" w:rsidRPr="00F614F9" w:rsidRDefault="00000000">
      <w:pPr>
        <w:pStyle w:val="a3"/>
        <w:divId w:val="1027832880"/>
        <w:rPr>
          <w:rFonts w:ascii="Times New Roman" w:hAnsi="Times New Roman"/>
          <w:sz w:val="18"/>
          <w:szCs w:val="18"/>
        </w:rPr>
      </w:pPr>
      <w:r w:rsidRPr="00F614F9">
        <w:rPr>
          <w:rFonts w:ascii="Times New Roman" w:hAnsi="Times New Roman" w:hint="eastAsia"/>
          <w:sz w:val="18"/>
          <w:szCs w:val="18"/>
        </w:rPr>
        <w:t>无</w:t>
      </w:r>
    </w:p>
    <w:p w14:paraId="7611C3AB"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624" w:name="_Toc989463"/>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其他资产置换</w:t>
      </w:r>
      <w:bookmarkEnd w:id="624"/>
    </w:p>
    <w:p w14:paraId="228C6498" w14:textId="77777777" w:rsidR="00872599" w:rsidRPr="00F614F9" w:rsidRDefault="00000000">
      <w:pPr>
        <w:pStyle w:val="a3"/>
        <w:divId w:val="681855624"/>
        <w:rPr>
          <w:rFonts w:ascii="Times New Roman" w:hAnsi="Times New Roman"/>
          <w:sz w:val="18"/>
          <w:szCs w:val="18"/>
        </w:rPr>
      </w:pPr>
      <w:r w:rsidRPr="00F614F9">
        <w:rPr>
          <w:rFonts w:ascii="Times New Roman" w:hAnsi="Times New Roman" w:hint="eastAsia"/>
          <w:sz w:val="18"/>
          <w:szCs w:val="18"/>
        </w:rPr>
        <w:t>无</w:t>
      </w:r>
    </w:p>
    <w:p w14:paraId="7EFBDD3A" w14:textId="77777777" w:rsidR="001D26E7" w:rsidRPr="00F614F9" w:rsidRDefault="00000000">
      <w:pPr>
        <w:pStyle w:val="3"/>
        <w:spacing w:line="280" w:lineRule="exact"/>
        <w:jc w:val="left"/>
        <w:rPr>
          <w:rFonts w:ascii="Times New Roman" w:hAnsi="Times New Roman" w:cs="宋体"/>
          <w:b/>
          <w:bCs/>
        </w:rPr>
      </w:pPr>
      <w:bookmarkStart w:id="625" w:name="_Toc989464"/>
      <w:r w:rsidRPr="00F614F9">
        <w:rPr>
          <w:rFonts w:ascii="Times New Roman" w:hAnsi="Times New Roman" w:cs="宋体"/>
          <w:b/>
          <w:bCs/>
        </w:rPr>
        <w:t>4</w:t>
      </w:r>
      <w:r w:rsidRPr="00F614F9">
        <w:rPr>
          <w:rFonts w:ascii="Times New Roman" w:hAnsi="Times New Roman" w:cs="宋体"/>
          <w:b/>
          <w:bCs/>
        </w:rPr>
        <w:t>、年金计划</w:t>
      </w:r>
      <w:bookmarkEnd w:id="625"/>
    </w:p>
    <w:p w14:paraId="1F62FB40" w14:textId="77777777" w:rsidR="00872599" w:rsidRPr="00F614F9" w:rsidRDefault="00000000">
      <w:pPr>
        <w:pStyle w:val="a3"/>
        <w:divId w:val="2135174777"/>
        <w:rPr>
          <w:rFonts w:ascii="Times New Roman" w:hAnsi="Times New Roman"/>
          <w:sz w:val="18"/>
          <w:szCs w:val="18"/>
        </w:rPr>
      </w:pPr>
      <w:r w:rsidRPr="00F614F9">
        <w:rPr>
          <w:rFonts w:ascii="Times New Roman" w:hAnsi="Times New Roman" w:hint="eastAsia"/>
          <w:sz w:val="18"/>
          <w:szCs w:val="18"/>
        </w:rPr>
        <w:t>无</w:t>
      </w:r>
    </w:p>
    <w:p w14:paraId="334D7F6C" w14:textId="77777777" w:rsidR="001D26E7" w:rsidRPr="00F614F9" w:rsidRDefault="00000000">
      <w:pPr>
        <w:pStyle w:val="3"/>
        <w:spacing w:line="280" w:lineRule="exact"/>
        <w:jc w:val="left"/>
        <w:rPr>
          <w:rFonts w:ascii="Times New Roman" w:hAnsi="Times New Roman" w:cs="宋体"/>
          <w:b/>
          <w:bCs/>
        </w:rPr>
      </w:pPr>
      <w:bookmarkStart w:id="626" w:name="_Toc989465"/>
      <w:r w:rsidRPr="00F614F9">
        <w:rPr>
          <w:rFonts w:ascii="Times New Roman" w:hAnsi="Times New Roman" w:cs="宋体"/>
          <w:b/>
          <w:bCs/>
        </w:rPr>
        <w:t>5</w:t>
      </w:r>
      <w:r w:rsidRPr="00F614F9">
        <w:rPr>
          <w:rFonts w:ascii="Times New Roman" w:hAnsi="Times New Roman" w:cs="宋体"/>
          <w:b/>
          <w:bCs/>
        </w:rPr>
        <w:t>、终止经营</w:t>
      </w:r>
      <w:bookmarkEnd w:id="626"/>
    </w:p>
    <w:p w14:paraId="3F1E1C6A" w14:textId="77777777" w:rsidR="00872599" w:rsidRPr="00F614F9" w:rsidRDefault="00000000">
      <w:pPr>
        <w:pStyle w:val="a3"/>
        <w:divId w:val="1774201520"/>
        <w:rPr>
          <w:rFonts w:ascii="Times New Roman" w:hAnsi="Times New Roman"/>
          <w:sz w:val="18"/>
          <w:szCs w:val="18"/>
        </w:rPr>
      </w:pPr>
      <w:r w:rsidRPr="00F614F9">
        <w:rPr>
          <w:rFonts w:ascii="Times New Roman" w:hAnsi="Times New Roman" w:hint="eastAsia"/>
          <w:sz w:val="18"/>
          <w:szCs w:val="18"/>
        </w:rPr>
        <w:t>无</w:t>
      </w:r>
    </w:p>
    <w:p w14:paraId="0134E19C" w14:textId="77777777" w:rsidR="001D26E7" w:rsidRPr="00F614F9" w:rsidRDefault="00000000">
      <w:pPr>
        <w:pStyle w:val="3"/>
        <w:spacing w:line="280" w:lineRule="exact"/>
        <w:jc w:val="left"/>
        <w:rPr>
          <w:rFonts w:ascii="Times New Roman" w:hAnsi="Times New Roman" w:cs="宋体"/>
          <w:b/>
          <w:bCs/>
        </w:rPr>
      </w:pPr>
      <w:bookmarkStart w:id="627" w:name="_Toc989466"/>
      <w:r w:rsidRPr="00F614F9">
        <w:rPr>
          <w:rFonts w:ascii="Times New Roman" w:hAnsi="Times New Roman" w:cs="宋体"/>
          <w:b/>
          <w:bCs/>
        </w:rPr>
        <w:t>6</w:t>
      </w:r>
      <w:r w:rsidRPr="00F614F9">
        <w:rPr>
          <w:rFonts w:ascii="Times New Roman" w:hAnsi="Times New Roman" w:cs="宋体"/>
          <w:b/>
          <w:bCs/>
        </w:rPr>
        <w:t>、分部信息</w:t>
      </w:r>
      <w:bookmarkEnd w:id="627"/>
    </w:p>
    <w:p w14:paraId="64BFBBA4"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628" w:name="_Toc989467"/>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报告分部的确定依据与会计政策</w:t>
      </w:r>
      <w:bookmarkEnd w:id="628"/>
    </w:p>
    <w:p w14:paraId="2A8E7599" w14:textId="77777777" w:rsidR="00872599" w:rsidRPr="00F614F9" w:rsidRDefault="00000000">
      <w:pPr>
        <w:pStyle w:val="a3"/>
        <w:divId w:val="1939832140"/>
        <w:rPr>
          <w:rFonts w:ascii="Times New Roman" w:hAnsi="Times New Roman"/>
          <w:sz w:val="18"/>
          <w:szCs w:val="18"/>
        </w:rPr>
      </w:pPr>
      <w:r w:rsidRPr="00F614F9">
        <w:rPr>
          <w:rFonts w:ascii="Times New Roman" w:hAnsi="Times New Roman" w:hint="eastAsia"/>
          <w:sz w:val="18"/>
          <w:szCs w:val="18"/>
        </w:rPr>
        <w:t>无</w:t>
      </w:r>
    </w:p>
    <w:p w14:paraId="3642268E"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629" w:name="_Toc989468"/>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报告分部的财务信息</w:t>
      </w:r>
      <w:bookmarkEnd w:id="629"/>
    </w:p>
    <w:p w14:paraId="22CDE35D" w14:textId="77777777" w:rsidR="007E1BEF" w:rsidRPr="00F614F9" w:rsidRDefault="007E1BEF" w:rsidP="007E1BEF">
      <w:pPr>
        <w:spacing w:before="40" w:after="40" w:line="240" w:lineRule="exact"/>
        <w:ind w:firstLineChars="200" w:firstLine="360"/>
        <w:rPr>
          <w:rFonts w:ascii="Times New Roman" w:eastAsia="宋体" w:hAnsi="Times New Roman" w:cs="宋体"/>
          <w:sz w:val="18"/>
          <w:szCs w:val="18"/>
        </w:rPr>
      </w:pPr>
      <w:bookmarkStart w:id="630" w:name="_Toc989469"/>
      <w:r w:rsidRPr="00F614F9">
        <w:rPr>
          <w:rFonts w:ascii="Times New Roman" w:eastAsia="宋体" w:hAnsi="Times New Roman" w:cs="宋体" w:hint="eastAsia"/>
          <w:sz w:val="18"/>
          <w:szCs w:val="18"/>
        </w:rPr>
        <w:t>无</w:t>
      </w:r>
    </w:p>
    <w:p w14:paraId="4F982F17"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r w:rsidRPr="00F614F9">
        <w:rPr>
          <w:rFonts w:ascii="Times New Roman" w:eastAsia="宋体" w:hAnsi="Times New Roman" w:cs="宋体"/>
          <w:b/>
          <w:bCs/>
          <w:szCs w:val="21"/>
        </w:rPr>
        <w:t>（</w:t>
      </w:r>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公司</w:t>
      </w:r>
      <w:proofErr w:type="gramStart"/>
      <w:r w:rsidRPr="00F614F9">
        <w:rPr>
          <w:rFonts w:ascii="Times New Roman" w:eastAsia="宋体" w:hAnsi="Times New Roman" w:cs="宋体"/>
          <w:b/>
          <w:bCs/>
          <w:szCs w:val="21"/>
        </w:rPr>
        <w:t>无报告</w:t>
      </w:r>
      <w:proofErr w:type="gramEnd"/>
      <w:r w:rsidRPr="00F614F9">
        <w:rPr>
          <w:rFonts w:ascii="Times New Roman" w:eastAsia="宋体" w:hAnsi="Times New Roman" w:cs="宋体"/>
          <w:b/>
          <w:bCs/>
          <w:szCs w:val="21"/>
        </w:rPr>
        <w:t>分部的，或者不能披露各报告分部的资产总额和负债总额的，应说明原因</w:t>
      </w:r>
      <w:bookmarkEnd w:id="630"/>
    </w:p>
    <w:p w14:paraId="1C536A10" w14:textId="77777777" w:rsidR="007E1BEF" w:rsidRPr="00F614F9" w:rsidRDefault="007E1BEF" w:rsidP="007E1BEF">
      <w:pPr>
        <w:spacing w:before="40" w:after="40" w:line="240" w:lineRule="exact"/>
        <w:ind w:firstLineChars="200" w:firstLine="360"/>
        <w:rPr>
          <w:rFonts w:ascii="Times New Roman" w:eastAsia="宋体" w:hAnsi="Times New Roman" w:cs="宋体"/>
          <w:sz w:val="18"/>
          <w:szCs w:val="18"/>
        </w:rPr>
      </w:pPr>
      <w:bookmarkStart w:id="631" w:name="_Toc989470"/>
      <w:r w:rsidRPr="00F614F9">
        <w:rPr>
          <w:rFonts w:ascii="Times New Roman" w:eastAsia="宋体" w:hAnsi="Times New Roman" w:cs="宋体" w:hint="eastAsia"/>
          <w:sz w:val="18"/>
          <w:szCs w:val="18"/>
        </w:rPr>
        <w:t>无</w:t>
      </w:r>
    </w:p>
    <w:p w14:paraId="4718A015"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r w:rsidRPr="00F614F9">
        <w:rPr>
          <w:rFonts w:ascii="Times New Roman" w:eastAsia="宋体" w:hAnsi="Times New Roman" w:cs="宋体"/>
          <w:b/>
          <w:bCs/>
          <w:szCs w:val="21"/>
        </w:rPr>
        <w:t>（</w:t>
      </w:r>
      <w:r w:rsidRPr="00F614F9">
        <w:rPr>
          <w:rFonts w:ascii="Times New Roman" w:eastAsia="宋体" w:hAnsi="Times New Roman" w:cs="宋体"/>
          <w:b/>
          <w:bCs/>
          <w:szCs w:val="21"/>
        </w:rPr>
        <w:t>4</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其他说明</w:t>
      </w:r>
      <w:bookmarkEnd w:id="631"/>
    </w:p>
    <w:p w14:paraId="16C22F48" w14:textId="77777777" w:rsidR="007E1BEF" w:rsidRPr="00F614F9" w:rsidRDefault="007E1BEF" w:rsidP="007E1BEF">
      <w:pPr>
        <w:spacing w:before="40" w:after="40" w:line="240" w:lineRule="exact"/>
        <w:ind w:firstLineChars="200" w:firstLine="360"/>
        <w:rPr>
          <w:rFonts w:ascii="Times New Roman" w:eastAsia="宋体" w:hAnsi="Times New Roman" w:cs="宋体"/>
          <w:sz w:val="18"/>
          <w:szCs w:val="18"/>
        </w:rPr>
      </w:pPr>
      <w:bookmarkStart w:id="632" w:name="_Toc989471"/>
      <w:r w:rsidRPr="00F614F9">
        <w:rPr>
          <w:rFonts w:ascii="Times New Roman" w:eastAsia="宋体" w:hAnsi="Times New Roman" w:cs="宋体" w:hint="eastAsia"/>
          <w:sz w:val="18"/>
          <w:szCs w:val="18"/>
        </w:rPr>
        <w:t>无</w:t>
      </w:r>
    </w:p>
    <w:p w14:paraId="329C94FB" w14:textId="77777777" w:rsidR="001D26E7" w:rsidRPr="00F614F9" w:rsidRDefault="00000000">
      <w:pPr>
        <w:pStyle w:val="3"/>
        <w:spacing w:line="280" w:lineRule="exact"/>
        <w:jc w:val="left"/>
        <w:rPr>
          <w:rFonts w:ascii="Times New Roman" w:hAnsi="Times New Roman" w:cs="宋体"/>
          <w:b/>
          <w:bCs/>
        </w:rPr>
      </w:pPr>
      <w:r w:rsidRPr="00F614F9">
        <w:rPr>
          <w:rFonts w:ascii="Times New Roman" w:hAnsi="Times New Roman" w:cs="宋体"/>
          <w:b/>
          <w:bCs/>
        </w:rPr>
        <w:t>7</w:t>
      </w:r>
      <w:r w:rsidRPr="00F614F9">
        <w:rPr>
          <w:rFonts w:ascii="Times New Roman" w:hAnsi="Times New Roman" w:cs="宋体"/>
          <w:b/>
          <w:bCs/>
        </w:rPr>
        <w:t>、其他对投资者决策有影响的重要交易和事项</w:t>
      </w:r>
      <w:bookmarkEnd w:id="632"/>
    </w:p>
    <w:p w14:paraId="3C0C2106" w14:textId="77777777" w:rsidR="007E1BEF" w:rsidRPr="00F614F9" w:rsidRDefault="007E1BEF" w:rsidP="007E1BEF">
      <w:pPr>
        <w:spacing w:before="40" w:after="40" w:line="240" w:lineRule="exact"/>
        <w:ind w:firstLineChars="200" w:firstLine="360"/>
        <w:rPr>
          <w:rFonts w:ascii="Times New Roman" w:eastAsia="宋体" w:hAnsi="Times New Roman" w:cs="宋体"/>
          <w:sz w:val="18"/>
          <w:szCs w:val="18"/>
        </w:rPr>
      </w:pPr>
      <w:bookmarkStart w:id="633" w:name="_Toc989472"/>
      <w:r w:rsidRPr="00F614F9">
        <w:rPr>
          <w:rFonts w:ascii="Times New Roman" w:eastAsia="宋体" w:hAnsi="Times New Roman" w:cs="宋体" w:hint="eastAsia"/>
          <w:sz w:val="18"/>
          <w:szCs w:val="18"/>
        </w:rPr>
        <w:t>无</w:t>
      </w:r>
    </w:p>
    <w:p w14:paraId="385BB3BA" w14:textId="77777777" w:rsidR="001D26E7" w:rsidRPr="00F614F9" w:rsidRDefault="00000000">
      <w:pPr>
        <w:pStyle w:val="3"/>
        <w:spacing w:line="280" w:lineRule="exact"/>
        <w:jc w:val="left"/>
        <w:rPr>
          <w:rFonts w:ascii="Times New Roman" w:hAnsi="Times New Roman" w:cs="宋体"/>
          <w:b/>
          <w:bCs/>
        </w:rPr>
      </w:pPr>
      <w:r w:rsidRPr="00F614F9">
        <w:rPr>
          <w:rFonts w:ascii="Times New Roman" w:hAnsi="Times New Roman" w:cs="宋体"/>
          <w:b/>
          <w:bCs/>
        </w:rPr>
        <w:t>8</w:t>
      </w:r>
      <w:r w:rsidRPr="00F614F9">
        <w:rPr>
          <w:rFonts w:ascii="Times New Roman" w:hAnsi="Times New Roman" w:cs="宋体"/>
          <w:b/>
          <w:bCs/>
        </w:rPr>
        <w:t>、其他</w:t>
      </w:r>
      <w:bookmarkEnd w:id="633"/>
    </w:p>
    <w:p w14:paraId="310ACA87" w14:textId="77777777" w:rsidR="007E1BEF" w:rsidRPr="00F614F9" w:rsidRDefault="007E1BEF" w:rsidP="007E1BEF">
      <w:pPr>
        <w:spacing w:before="40" w:after="40" w:line="240" w:lineRule="exact"/>
        <w:ind w:firstLineChars="200" w:firstLine="360"/>
        <w:rPr>
          <w:rFonts w:ascii="Times New Roman" w:eastAsia="宋体" w:hAnsi="Times New Roman" w:cs="宋体"/>
          <w:sz w:val="18"/>
          <w:szCs w:val="18"/>
        </w:rPr>
      </w:pPr>
      <w:bookmarkStart w:id="634" w:name="_Toc989473"/>
      <w:r w:rsidRPr="00F614F9">
        <w:rPr>
          <w:rFonts w:ascii="Times New Roman" w:eastAsia="宋体" w:hAnsi="Times New Roman" w:cs="宋体" w:hint="eastAsia"/>
          <w:sz w:val="18"/>
          <w:szCs w:val="18"/>
        </w:rPr>
        <w:t>无</w:t>
      </w:r>
    </w:p>
    <w:p w14:paraId="06085C5C"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635" w:name="_Toc164024840"/>
      <w:r w:rsidRPr="00F614F9">
        <w:rPr>
          <w:rFonts w:ascii="Times New Roman" w:eastAsia="宋体" w:hAnsi="Times New Roman" w:cs="宋体"/>
          <w:b/>
          <w:bCs/>
          <w:sz w:val="24"/>
          <w:szCs w:val="24"/>
        </w:rPr>
        <w:lastRenderedPageBreak/>
        <w:t>十九、母公司财务报表主要项目注释</w:t>
      </w:r>
      <w:bookmarkEnd w:id="634"/>
      <w:bookmarkEnd w:id="635"/>
    </w:p>
    <w:p w14:paraId="09CBFB8F" w14:textId="77777777" w:rsidR="001D26E7" w:rsidRPr="00F614F9" w:rsidRDefault="00000000">
      <w:pPr>
        <w:pStyle w:val="3"/>
        <w:spacing w:line="280" w:lineRule="exact"/>
        <w:jc w:val="left"/>
        <w:rPr>
          <w:rFonts w:ascii="Times New Roman" w:hAnsi="Times New Roman" w:cs="宋体"/>
          <w:b/>
          <w:bCs/>
        </w:rPr>
      </w:pPr>
      <w:bookmarkStart w:id="636" w:name="_Toc989474"/>
      <w:r w:rsidRPr="00F614F9">
        <w:rPr>
          <w:rFonts w:ascii="Times New Roman" w:hAnsi="Times New Roman" w:cs="宋体"/>
          <w:b/>
          <w:bCs/>
        </w:rPr>
        <w:t>1</w:t>
      </w:r>
      <w:r w:rsidRPr="00F614F9">
        <w:rPr>
          <w:rFonts w:ascii="Times New Roman" w:hAnsi="Times New Roman" w:cs="宋体"/>
          <w:b/>
          <w:bCs/>
        </w:rPr>
        <w:t>、应收账款</w:t>
      </w:r>
      <w:bookmarkEnd w:id="636"/>
    </w:p>
    <w:p w14:paraId="717E5106"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637" w:name="_Toc989475"/>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proofErr w:type="gramStart"/>
      <w:r w:rsidRPr="00F614F9">
        <w:rPr>
          <w:rFonts w:ascii="Times New Roman" w:eastAsia="宋体" w:hAnsi="Times New Roman" w:cs="宋体"/>
          <w:b/>
          <w:bCs/>
          <w:szCs w:val="21"/>
        </w:rPr>
        <w:t>按账龄</w:t>
      </w:r>
      <w:proofErr w:type="gramEnd"/>
      <w:r w:rsidRPr="00F614F9">
        <w:rPr>
          <w:rFonts w:ascii="Times New Roman" w:eastAsia="宋体" w:hAnsi="Times New Roman" w:cs="宋体"/>
          <w:b/>
          <w:bCs/>
          <w:szCs w:val="21"/>
        </w:rPr>
        <w:t>披露</w:t>
      </w:r>
      <w:bookmarkEnd w:id="637"/>
    </w:p>
    <w:p w14:paraId="15F7363D"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533D2D9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E87AB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B9371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83616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期初账面余额</w:t>
            </w:r>
          </w:p>
        </w:tc>
      </w:tr>
      <w:tr w:rsidR="001D26E7" w:rsidRPr="00F614F9" w14:paraId="58FECF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0A22D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年以内（含</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38E8568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416,341,029.75</w:t>
            </w:r>
          </w:p>
        </w:tc>
        <w:tc>
          <w:tcPr>
            <w:tcW w:w="3213" w:type="dxa"/>
            <w:tcBorders>
              <w:top w:val="single" w:sz="2" w:space="0" w:color="auto"/>
              <w:left w:val="single" w:sz="2" w:space="0" w:color="auto"/>
              <w:bottom w:val="single" w:sz="2" w:space="0" w:color="auto"/>
              <w:right w:val="single" w:sz="2" w:space="0" w:color="auto"/>
            </w:tcBorders>
            <w:vAlign w:val="center"/>
          </w:tcPr>
          <w:p w14:paraId="444CFFD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385,323,539.04</w:t>
            </w:r>
          </w:p>
        </w:tc>
      </w:tr>
      <w:tr w:rsidR="001D26E7" w:rsidRPr="00F614F9" w14:paraId="1671DC6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26325F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1-3</w:t>
            </w:r>
            <w:r w:rsidRPr="00F614F9">
              <w:rPr>
                <w:rFonts w:ascii="Times New Roman" w:eastAsia="宋体" w:hAnsi="Times New Roman"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70B47DF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346,190,583.84</w:t>
            </w:r>
          </w:p>
        </w:tc>
        <w:tc>
          <w:tcPr>
            <w:tcW w:w="3213" w:type="dxa"/>
            <w:tcBorders>
              <w:top w:val="single" w:sz="2" w:space="0" w:color="auto"/>
              <w:left w:val="single" w:sz="2" w:space="0" w:color="auto"/>
              <w:bottom w:val="single" w:sz="2" w:space="0" w:color="auto"/>
              <w:right w:val="single" w:sz="2" w:space="0" w:color="auto"/>
            </w:tcBorders>
            <w:vAlign w:val="center"/>
          </w:tcPr>
          <w:p w14:paraId="575296D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330,794,024.84</w:t>
            </w:r>
          </w:p>
        </w:tc>
      </w:tr>
      <w:tr w:rsidR="001D26E7" w:rsidRPr="00F614F9" w14:paraId="340F4DA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92004A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4-6</w:t>
            </w:r>
            <w:r w:rsidRPr="00F614F9">
              <w:rPr>
                <w:rFonts w:ascii="Times New Roman" w:eastAsia="宋体" w:hAnsi="Times New Roman"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4C60245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50,308,236.62</w:t>
            </w:r>
          </w:p>
        </w:tc>
        <w:tc>
          <w:tcPr>
            <w:tcW w:w="3213" w:type="dxa"/>
            <w:tcBorders>
              <w:top w:val="single" w:sz="2" w:space="0" w:color="auto"/>
              <w:left w:val="single" w:sz="2" w:space="0" w:color="auto"/>
              <w:bottom w:val="single" w:sz="2" w:space="0" w:color="auto"/>
              <w:right w:val="single" w:sz="2" w:space="0" w:color="auto"/>
            </w:tcBorders>
            <w:vAlign w:val="center"/>
          </w:tcPr>
          <w:p w14:paraId="1F5FAA2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28,144,070.78</w:t>
            </w:r>
          </w:p>
        </w:tc>
      </w:tr>
      <w:tr w:rsidR="001D26E7" w:rsidRPr="00F614F9" w14:paraId="4830156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A22849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7-9</w:t>
            </w:r>
            <w:r w:rsidRPr="00F614F9">
              <w:rPr>
                <w:rFonts w:ascii="Times New Roman" w:eastAsia="宋体" w:hAnsi="Times New Roman"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2946546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14,546,491.13</w:t>
            </w:r>
          </w:p>
        </w:tc>
        <w:tc>
          <w:tcPr>
            <w:tcW w:w="3213" w:type="dxa"/>
            <w:tcBorders>
              <w:top w:val="single" w:sz="2" w:space="0" w:color="auto"/>
              <w:left w:val="single" w:sz="2" w:space="0" w:color="auto"/>
              <w:bottom w:val="single" w:sz="2" w:space="0" w:color="auto"/>
              <w:right w:val="single" w:sz="2" w:space="0" w:color="auto"/>
            </w:tcBorders>
            <w:vAlign w:val="center"/>
          </w:tcPr>
          <w:p w14:paraId="0A21A7D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13,569,290.59</w:t>
            </w:r>
          </w:p>
        </w:tc>
      </w:tr>
      <w:tr w:rsidR="001D26E7" w:rsidRPr="00F614F9" w14:paraId="0E8DB11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7B202C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10-12</w:t>
            </w:r>
            <w:r w:rsidRPr="00F614F9">
              <w:rPr>
                <w:rFonts w:ascii="Times New Roman" w:eastAsia="宋体" w:hAnsi="Times New Roman"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0320AD5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5,295,718.16</w:t>
            </w:r>
          </w:p>
        </w:tc>
        <w:tc>
          <w:tcPr>
            <w:tcW w:w="3213" w:type="dxa"/>
            <w:tcBorders>
              <w:top w:val="single" w:sz="2" w:space="0" w:color="auto"/>
              <w:left w:val="single" w:sz="2" w:space="0" w:color="auto"/>
              <w:bottom w:val="single" w:sz="2" w:space="0" w:color="auto"/>
              <w:right w:val="single" w:sz="2" w:space="0" w:color="auto"/>
            </w:tcBorders>
            <w:vAlign w:val="center"/>
          </w:tcPr>
          <w:p w14:paraId="17A7770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12,816,152.83</w:t>
            </w:r>
          </w:p>
        </w:tc>
      </w:tr>
      <w:tr w:rsidR="001D26E7" w:rsidRPr="00F614F9" w14:paraId="63C5F5B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CEB72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至</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51548B0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17,199,968.60</w:t>
            </w:r>
          </w:p>
        </w:tc>
        <w:tc>
          <w:tcPr>
            <w:tcW w:w="3213" w:type="dxa"/>
            <w:tcBorders>
              <w:top w:val="single" w:sz="2" w:space="0" w:color="auto"/>
              <w:left w:val="single" w:sz="2" w:space="0" w:color="auto"/>
              <w:bottom w:val="single" w:sz="2" w:space="0" w:color="auto"/>
              <w:right w:val="single" w:sz="2" w:space="0" w:color="auto"/>
            </w:tcBorders>
            <w:vAlign w:val="center"/>
          </w:tcPr>
          <w:p w14:paraId="3365CF1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20,293,489.52</w:t>
            </w:r>
          </w:p>
        </w:tc>
      </w:tr>
      <w:tr w:rsidR="001D26E7" w:rsidRPr="00F614F9" w14:paraId="1EE7826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6FC02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至</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262B4FC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5,602,630.30</w:t>
            </w:r>
          </w:p>
        </w:tc>
        <w:tc>
          <w:tcPr>
            <w:tcW w:w="3213" w:type="dxa"/>
            <w:tcBorders>
              <w:top w:val="single" w:sz="2" w:space="0" w:color="auto"/>
              <w:left w:val="single" w:sz="2" w:space="0" w:color="auto"/>
              <w:bottom w:val="single" w:sz="2" w:space="0" w:color="auto"/>
              <w:right w:val="single" w:sz="2" w:space="0" w:color="auto"/>
            </w:tcBorders>
            <w:vAlign w:val="center"/>
          </w:tcPr>
          <w:p w14:paraId="669FE38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6,911,873.54</w:t>
            </w:r>
          </w:p>
        </w:tc>
      </w:tr>
      <w:tr w:rsidR="001D26E7" w:rsidRPr="00F614F9" w14:paraId="4DB1C3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82D8F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年以上</w:t>
            </w:r>
          </w:p>
        </w:tc>
        <w:tc>
          <w:tcPr>
            <w:tcW w:w="3213" w:type="dxa"/>
            <w:tcBorders>
              <w:top w:val="single" w:sz="2" w:space="0" w:color="auto"/>
              <w:left w:val="single" w:sz="2" w:space="0" w:color="auto"/>
              <w:bottom w:val="single" w:sz="2" w:space="0" w:color="auto"/>
              <w:right w:val="single" w:sz="2" w:space="0" w:color="auto"/>
            </w:tcBorders>
            <w:vAlign w:val="center"/>
          </w:tcPr>
          <w:p w14:paraId="60CAB8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6,610,579.61</w:t>
            </w:r>
          </w:p>
        </w:tc>
        <w:tc>
          <w:tcPr>
            <w:tcW w:w="3213" w:type="dxa"/>
            <w:tcBorders>
              <w:top w:val="single" w:sz="2" w:space="0" w:color="auto"/>
              <w:left w:val="single" w:sz="2" w:space="0" w:color="auto"/>
              <w:bottom w:val="single" w:sz="2" w:space="0" w:color="auto"/>
              <w:right w:val="single" w:sz="2" w:space="0" w:color="auto"/>
            </w:tcBorders>
            <w:vAlign w:val="center"/>
          </w:tcPr>
          <w:p w14:paraId="5C1C889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6330FE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B373B6"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至</w:t>
            </w:r>
            <w:r w:rsidRPr="00F614F9">
              <w:rPr>
                <w:rFonts w:ascii="Times New Roman" w:eastAsia="宋体" w:hAnsi="Times New Roman" w:cs="宋体"/>
                <w:sz w:val="18"/>
                <w:szCs w:val="18"/>
              </w:rPr>
              <w:t>4</w:t>
            </w:r>
            <w:r w:rsidRPr="00F614F9">
              <w:rPr>
                <w:rFonts w:ascii="Times New Roman" w:eastAsia="宋体" w:hAnsi="Times New Roman"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7A6AEE1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20,066.23</w:t>
            </w:r>
          </w:p>
        </w:tc>
        <w:tc>
          <w:tcPr>
            <w:tcW w:w="3213" w:type="dxa"/>
            <w:tcBorders>
              <w:top w:val="single" w:sz="2" w:space="0" w:color="auto"/>
              <w:left w:val="single" w:sz="2" w:space="0" w:color="auto"/>
              <w:bottom w:val="single" w:sz="2" w:space="0" w:color="auto"/>
              <w:right w:val="single" w:sz="2" w:space="0" w:color="auto"/>
            </w:tcBorders>
            <w:vAlign w:val="center"/>
          </w:tcPr>
          <w:p w14:paraId="733C2A63"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BD41C6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F6C998"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至</w:t>
            </w:r>
            <w:r w:rsidRPr="00F614F9">
              <w:rPr>
                <w:rFonts w:ascii="Times New Roman" w:eastAsia="宋体" w:hAnsi="Times New Roman" w:cs="宋体"/>
                <w:sz w:val="18"/>
                <w:szCs w:val="18"/>
              </w:rPr>
              <w:t>5</w:t>
            </w:r>
            <w:r w:rsidRPr="00F614F9">
              <w:rPr>
                <w:rFonts w:ascii="Times New Roman" w:eastAsia="宋体" w:hAnsi="Times New Roman"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49A0A58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6,590,513.38</w:t>
            </w:r>
          </w:p>
        </w:tc>
        <w:tc>
          <w:tcPr>
            <w:tcW w:w="3213" w:type="dxa"/>
            <w:tcBorders>
              <w:top w:val="single" w:sz="2" w:space="0" w:color="auto"/>
              <w:left w:val="single" w:sz="2" w:space="0" w:color="auto"/>
              <w:bottom w:val="single" w:sz="2" w:space="0" w:color="auto"/>
              <w:right w:val="single" w:sz="2" w:space="0" w:color="auto"/>
            </w:tcBorders>
            <w:vAlign w:val="center"/>
          </w:tcPr>
          <w:p w14:paraId="32FB4007"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DEF988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53007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24606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445,754,208.26</w:t>
            </w:r>
          </w:p>
        </w:tc>
        <w:tc>
          <w:tcPr>
            <w:tcW w:w="3213" w:type="dxa"/>
            <w:tcBorders>
              <w:top w:val="single" w:sz="2" w:space="0" w:color="auto"/>
              <w:left w:val="single" w:sz="2" w:space="0" w:color="auto"/>
              <w:bottom w:val="single" w:sz="2" w:space="0" w:color="auto"/>
              <w:right w:val="single" w:sz="2" w:space="0" w:color="auto"/>
            </w:tcBorders>
            <w:vAlign w:val="center"/>
          </w:tcPr>
          <w:p w14:paraId="3371C06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412,528,902.10</w:t>
            </w:r>
          </w:p>
        </w:tc>
      </w:tr>
    </w:tbl>
    <w:p w14:paraId="5BBB0360"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638" w:name="_Toc989476"/>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按坏账计提方法分类披露</w:t>
      </w:r>
      <w:bookmarkEnd w:id="638"/>
    </w:p>
    <w:p w14:paraId="307D6AA5"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75"/>
        <w:gridCol w:w="876"/>
        <w:gridCol w:w="877"/>
        <w:gridCol w:w="876"/>
        <w:gridCol w:w="877"/>
        <w:gridCol w:w="876"/>
        <w:gridCol w:w="876"/>
        <w:gridCol w:w="877"/>
        <w:gridCol w:w="876"/>
        <w:gridCol w:w="877"/>
        <w:gridCol w:w="876"/>
      </w:tblGrid>
      <w:tr w:rsidR="001D26E7" w:rsidRPr="00F614F9" w14:paraId="09F5B704" w14:textId="77777777">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670FD9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47BCF51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3713B43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7A95F7C7"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27AD2CB" w14:textId="77777777" w:rsidR="001D26E7" w:rsidRPr="00F614F9" w:rsidRDefault="001D26E7">
            <w:pPr>
              <w:rPr>
                <w:rFonts w:ascii="Times New Roman" w:hAnsi="Times New Roman"/>
              </w:rPr>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CF5946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44A36E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E2880A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2DC468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789B9C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9A8C4E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r>
      <w:tr w:rsidR="001D26E7" w:rsidRPr="00F614F9" w14:paraId="4C535923"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64F79CA"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20014D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82B9F5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C8CD1C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157AA5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B2E7B30"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138A10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486530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02CD47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2DFC2A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D3B7062" w14:textId="77777777" w:rsidR="001D26E7" w:rsidRPr="00F614F9" w:rsidRDefault="001D26E7">
            <w:pPr>
              <w:rPr>
                <w:rFonts w:ascii="Times New Roman" w:hAnsi="Times New Roman"/>
              </w:rPr>
            </w:pPr>
          </w:p>
        </w:tc>
      </w:tr>
      <w:tr w:rsidR="001D26E7" w:rsidRPr="00F614F9" w14:paraId="7E278639"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48F760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按单项计提坏账准备的应收账款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14:paraId="7EAF83A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7,646,823.99</w:t>
            </w:r>
          </w:p>
        </w:tc>
        <w:tc>
          <w:tcPr>
            <w:tcW w:w="876" w:type="dxa"/>
            <w:tcBorders>
              <w:top w:val="single" w:sz="2" w:space="0" w:color="auto"/>
              <w:left w:val="single" w:sz="2" w:space="0" w:color="auto"/>
              <w:bottom w:val="single" w:sz="2" w:space="0" w:color="auto"/>
              <w:right w:val="single" w:sz="2" w:space="0" w:color="auto"/>
            </w:tcBorders>
            <w:vAlign w:val="center"/>
          </w:tcPr>
          <w:p w14:paraId="2E5A250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1.72%</w:t>
            </w:r>
          </w:p>
        </w:tc>
        <w:tc>
          <w:tcPr>
            <w:tcW w:w="876" w:type="dxa"/>
            <w:tcBorders>
              <w:top w:val="single" w:sz="2" w:space="0" w:color="auto"/>
              <w:left w:val="single" w:sz="2" w:space="0" w:color="auto"/>
              <w:bottom w:val="single" w:sz="2" w:space="0" w:color="auto"/>
              <w:right w:val="single" w:sz="2" w:space="0" w:color="auto"/>
            </w:tcBorders>
            <w:vAlign w:val="center"/>
          </w:tcPr>
          <w:p w14:paraId="534AB66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7,646,823.99</w:t>
            </w:r>
          </w:p>
        </w:tc>
        <w:tc>
          <w:tcPr>
            <w:tcW w:w="876" w:type="dxa"/>
            <w:tcBorders>
              <w:top w:val="single" w:sz="2" w:space="0" w:color="auto"/>
              <w:left w:val="single" w:sz="2" w:space="0" w:color="auto"/>
              <w:bottom w:val="single" w:sz="2" w:space="0" w:color="auto"/>
              <w:right w:val="single" w:sz="2" w:space="0" w:color="auto"/>
            </w:tcBorders>
            <w:vAlign w:val="center"/>
          </w:tcPr>
          <w:p w14:paraId="7445B210" w14:textId="77777777" w:rsidR="001D26E7" w:rsidRPr="00F614F9" w:rsidRDefault="0080040E">
            <w:pPr>
              <w:spacing w:line="240" w:lineRule="exact"/>
              <w:jc w:val="right"/>
              <w:rPr>
                <w:rFonts w:ascii="Times New Roman" w:eastAsia="宋体" w:hAnsi="Times New Roman" w:cs="宋体"/>
                <w:sz w:val="18"/>
                <w:szCs w:val="18"/>
              </w:rPr>
            </w:pPr>
            <w:r>
              <w:rPr>
                <w:rFonts w:ascii="Times New Roman" w:eastAsia="宋体" w:hAnsi="Times New Roman" w:cs="宋体" w:hint="eastAsia"/>
                <w:sz w:val="18"/>
                <w:szCs w:val="18"/>
              </w:rPr>
              <w:t>100.00</w:t>
            </w:r>
            <w:r w:rsidRPr="00F614F9">
              <w:rPr>
                <w:rFonts w:ascii="Times New Roman" w:eastAsia="宋体" w:hAnsi="Times New Roman"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14:paraId="30CD05A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14:paraId="445F8D0C" w14:textId="77777777" w:rsidR="001D26E7" w:rsidRPr="00F614F9" w:rsidRDefault="001D26E7">
            <w:pPr>
              <w:spacing w:line="240" w:lineRule="exact"/>
              <w:jc w:val="right"/>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0B2DEFA" w14:textId="77777777" w:rsidR="001D26E7" w:rsidRPr="00F614F9" w:rsidRDefault="001D26E7">
            <w:pPr>
              <w:spacing w:line="240" w:lineRule="exact"/>
              <w:jc w:val="right"/>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920D997" w14:textId="77777777" w:rsidR="001D26E7" w:rsidRPr="00F614F9" w:rsidRDefault="001D26E7">
            <w:pPr>
              <w:spacing w:line="240" w:lineRule="exact"/>
              <w:jc w:val="right"/>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C48353F" w14:textId="77777777" w:rsidR="001D26E7" w:rsidRPr="00F614F9" w:rsidRDefault="001D26E7">
            <w:pPr>
              <w:spacing w:line="240" w:lineRule="exact"/>
              <w:jc w:val="right"/>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92F7EF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A77A984"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D554280"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AE503D6"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ED112B1"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5C6E3FF"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A25835B"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C2D0C1C"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7363DAE"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6E8F5D5"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22BBA00"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28B9919"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07D1ABE" w14:textId="77777777" w:rsidR="001D26E7" w:rsidRPr="00F614F9" w:rsidRDefault="001D26E7">
            <w:pPr>
              <w:rPr>
                <w:rFonts w:ascii="Times New Roman" w:hAnsi="Times New Roman"/>
              </w:rPr>
            </w:pPr>
          </w:p>
        </w:tc>
      </w:tr>
      <w:tr w:rsidR="001D26E7" w:rsidRPr="00F614F9" w14:paraId="0D3E76A5"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BAEF32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14:paraId="11B34D4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438,107,384.27</w:t>
            </w:r>
          </w:p>
        </w:tc>
        <w:tc>
          <w:tcPr>
            <w:tcW w:w="876" w:type="dxa"/>
            <w:tcBorders>
              <w:top w:val="single" w:sz="2" w:space="0" w:color="auto"/>
              <w:left w:val="single" w:sz="2" w:space="0" w:color="auto"/>
              <w:bottom w:val="single" w:sz="2" w:space="0" w:color="auto"/>
              <w:right w:val="single" w:sz="2" w:space="0" w:color="auto"/>
            </w:tcBorders>
            <w:vAlign w:val="center"/>
          </w:tcPr>
          <w:p w14:paraId="26A961E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98.28%</w:t>
            </w:r>
          </w:p>
        </w:tc>
        <w:tc>
          <w:tcPr>
            <w:tcW w:w="876" w:type="dxa"/>
            <w:tcBorders>
              <w:top w:val="single" w:sz="2" w:space="0" w:color="auto"/>
              <w:left w:val="single" w:sz="2" w:space="0" w:color="auto"/>
              <w:bottom w:val="single" w:sz="2" w:space="0" w:color="auto"/>
              <w:right w:val="single" w:sz="2" w:space="0" w:color="auto"/>
            </w:tcBorders>
            <w:vAlign w:val="center"/>
          </w:tcPr>
          <w:p w14:paraId="4B1DE07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19,948,450.42</w:t>
            </w:r>
          </w:p>
        </w:tc>
        <w:tc>
          <w:tcPr>
            <w:tcW w:w="876" w:type="dxa"/>
            <w:tcBorders>
              <w:top w:val="single" w:sz="2" w:space="0" w:color="auto"/>
              <w:left w:val="single" w:sz="2" w:space="0" w:color="auto"/>
              <w:bottom w:val="single" w:sz="2" w:space="0" w:color="auto"/>
              <w:right w:val="single" w:sz="2" w:space="0" w:color="auto"/>
            </w:tcBorders>
            <w:vAlign w:val="center"/>
          </w:tcPr>
          <w:p w14:paraId="54381CC0" w14:textId="77777777" w:rsidR="001D26E7" w:rsidRPr="00F614F9" w:rsidRDefault="0080040E">
            <w:pPr>
              <w:spacing w:line="240" w:lineRule="exact"/>
              <w:jc w:val="right"/>
              <w:rPr>
                <w:rFonts w:ascii="Times New Roman" w:eastAsia="宋体" w:hAnsi="Times New Roman" w:cs="宋体"/>
                <w:sz w:val="18"/>
                <w:szCs w:val="18"/>
              </w:rPr>
            </w:pPr>
            <w:r>
              <w:rPr>
                <w:rFonts w:ascii="Times New Roman" w:eastAsia="宋体" w:hAnsi="Times New Roman" w:cs="宋体" w:hint="eastAsia"/>
                <w:sz w:val="18"/>
                <w:szCs w:val="18"/>
              </w:rPr>
              <w:t>4.55</w:t>
            </w:r>
            <w:r w:rsidRPr="00F614F9">
              <w:rPr>
                <w:rFonts w:ascii="Times New Roman" w:eastAsia="宋体" w:hAnsi="Times New Roman"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14:paraId="07B3D97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418,158,933.85</w:t>
            </w:r>
          </w:p>
        </w:tc>
        <w:tc>
          <w:tcPr>
            <w:tcW w:w="876" w:type="dxa"/>
            <w:tcBorders>
              <w:top w:val="single" w:sz="2" w:space="0" w:color="auto"/>
              <w:left w:val="single" w:sz="2" w:space="0" w:color="auto"/>
              <w:bottom w:val="single" w:sz="2" w:space="0" w:color="auto"/>
              <w:right w:val="single" w:sz="2" w:space="0" w:color="auto"/>
            </w:tcBorders>
            <w:vAlign w:val="center"/>
          </w:tcPr>
          <w:p w14:paraId="19A9F99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412,528,902.10</w:t>
            </w:r>
          </w:p>
        </w:tc>
        <w:tc>
          <w:tcPr>
            <w:tcW w:w="876" w:type="dxa"/>
            <w:tcBorders>
              <w:top w:val="single" w:sz="2" w:space="0" w:color="auto"/>
              <w:left w:val="single" w:sz="2" w:space="0" w:color="auto"/>
              <w:bottom w:val="single" w:sz="2" w:space="0" w:color="auto"/>
              <w:right w:val="single" w:sz="2" w:space="0" w:color="auto"/>
            </w:tcBorders>
            <w:vAlign w:val="center"/>
          </w:tcPr>
          <w:p w14:paraId="28D9673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3759231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11,440,046.53</w:t>
            </w:r>
          </w:p>
        </w:tc>
        <w:tc>
          <w:tcPr>
            <w:tcW w:w="876" w:type="dxa"/>
            <w:tcBorders>
              <w:top w:val="single" w:sz="2" w:space="0" w:color="auto"/>
              <w:left w:val="single" w:sz="2" w:space="0" w:color="auto"/>
              <w:bottom w:val="single" w:sz="2" w:space="0" w:color="auto"/>
              <w:right w:val="single" w:sz="2" w:space="0" w:color="auto"/>
            </w:tcBorders>
            <w:vAlign w:val="center"/>
          </w:tcPr>
          <w:p w14:paraId="71A2E9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2.77%</w:t>
            </w:r>
          </w:p>
        </w:tc>
        <w:tc>
          <w:tcPr>
            <w:tcW w:w="876" w:type="dxa"/>
            <w:tcBorders>
              <w:top w:val="single" w:sz="2" w:space="0" w:color="auto"/>
              <w:left w:val="single" w:sz="2" w:space="0" w:color="auto"/>
              <w:bottom w:val="single" w:sz="2" w:space="0" w:color="auto"/>
              <w:right w:val="single" w:sz="2" w:space="0" w:color="auto"/>
            </w:tcBorders>
            <w:vAlign w:val="center"/>
          </w:tcPr>
          <w:p w14:paraId="11DAAD7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401,088,855.57</w:t>
            </w:r>
          </w:p>
        </w:tc>
      </w:tr>
      <w:tr w:rsidR="001D26E7" w:rsidRPr="00F614F9" w14:paraId="6F195346"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05A5070"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3CCB0E2"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EAA7990"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D064A46"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55C4BC6"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0D3DDCB"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AF0A00B"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C38A408"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3F99F40"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A5F13A5"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C818006" w14:textId="77777777" w:rsidR="001D26E7" w:rsidRPr="00F614F9" w:rsidRDefault="001D26E7">
            <w:pPr>
              <w:rPr>
                <w:rFonts w:ascii="Times New Roman" w:hAnsi="Times New Roman"/>
              </w:rPr>
            </w:pPr>
          </w:p>
        </w:tc>
      </w:tr>
      <w:tr w:rsidR="001D26E7" w:rsidRPr="00F614F9" w14:paraId="297977A0"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99C904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合并范围内关联方款项组合</w:t>
            </w:r>
          </w:p>
        </w:tc>
        <w:tc>
          <w:tcPr>
            <w:tcW w:w="876" w:type="dxa"/>
            <w:tcBorders>
              <w:top w:val="single" w:sz="2" w:space="0" w:color="auto"/>
              <w:left w:val="single" w:sz="2" w:space="0" w:color="auto"/>
              <w:bottom w:val="single" w:sz="2" w:space="0" w:color="auto"/>
              <w:right w:val="single" w:sz="2" w:space="0" w:color="auto"/>
            </w:tcBorders>
            <w:vAlign w:val="center"/>
          </w:tcPr>
          <w:p w14:paraId="4656CFC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128,341,083.72</w:t>
            </w:r>
          </w:p>
        </w:tc>
        <w:tc>
          <w:tcPr>
            <w:tcW w:w="876" w:type="dxa"/>
            <w:tcBorders>
              <w:top w:val="single" w:sz="2" w:space="0" w:color="auto"/>
              <w:left w:val="single" w:sz="2" w:space="0" w:color="auto"/>
              <w:bottom w:val="single" w:sz="2" w:space="0" w:color="auto"/>
              <w:right w:val="single" w:sz="2" w:space="0" w:color="auto"/>
            </w:tcBorders>
            <w:vAlign w:val="center"/>
          </w:tcPr>
          <w:p w14:paraId="0B6DC7A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28.79%</w:t>
            </w:r>
          </w:p>
        </w:tc>
        <w:tc>
          <w:tcPr>
            <w:tcW w:w="876" w:type="dxa"/>
            <w:tcBorders>
              <w:top w:val="single" w:sz="2" w:space="0" w:color="auto"/>
              <w:left w:val="single" w:sz="2" w:space="0" w:color="auto"/>
              <w:bottom w:val="single" w:sz="2" w:space="0" w:color="auto"/>
              <w:right w:val="single" w:sz="2" w:space="0" w:color="auto"/>
            </w:tcBorders>
            <w:vAlign w:val="center"/>
          </w:tcPr>
          <w:p w14:paraId="0D9235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12,501,547.38</w:t>
            </w:r>
          </w:p>
        </w:tc>
        <w:tc>
          <w:tcPr>
            <w:tcW w:w="876" w:type="dxa"/>
            <w:tcBorders>
              <w:top w:val="single" w:sz="2" w:space="0" w:color="auto"/>
              <w:left w:val="single" w:sz="2" w:space="0" w:color="auto"/>
              <w:bottom w:val="single" w:sz="2" w:space="0" w:color="auto"/>
              <w:right w:val="single" w:sz="2" w:space="0" w:color="auto"/>
            </w:tcBorders>
            <w:vAlign w:val="center"/>
          </w:tcPr>
          <w:p w14:paraId="3D1B60CB" w14:textId="77777777" w:rsidR="001D26E7" w:rsidRPr="00F614F9" w:rsidRDefault="0080040E">
            <w:pPr>
              <w:spacing w:line="240" w:lineRule="exact"/>
              <w:jc w:val="right"/>
              <w:rPr>
                <w:rFonts w:ascii="Times New Roman" w:eastAsia="宋体" w:hAnsi="Times New Roman" w:cs="宋体"/>
                <w:sz w:val="18"/>
                <w:szCs w:val="18"/>
              </w:rPr>
            </w:pPr>
            <w:r>
              <w:rPr>
                <w:rFonts w:ascii="Times New Roman" w:eastAsia="宋体" w:hAnsi="Times New Roman" w:cs="宋体" w:hint="eastAsia"/>
                <w:sz w:val="18"/>
                <w:szCs w:val="18"/>
              </w:rPr>
              <w:t>9.74</w:t>
            </w:r>
            <w:r w:rsidRPr="00F614F9">
              <w:rPr>
                <w:rFonts w:ascii="Times New Roman" w:eastAsia="宋体" w:hAnsi="Times New Roman"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14:paraId="5E5D17C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115,839,536.34</w:t>
            </w:r>
          </w:p>
        </w:tc>
        <w:tc>
          <w:tcPr>
            <w:tcW w:w="876" w:type="dxa"/>
            <w:tcBorders>
              <w:top w:val="single" w:sz="2" w:space="0" w:color="auto"/>
              <w:left w:val="single" w:sz="2" w:space="0" w:color="auto"/>
              <w:bottom w:val="single" w:sz="2" w:space="0" w:color="auto"/>
              <w:right w:val="single" w:sz="2" w:space="0" w:color="auto"/>
            </w:tcBorders>
            <w:vAlign w:val="center"/>
          </w:tcPr>
          <w:p w14:paraId="3466D4F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59,610,123.52</w:t>
            </w:r>
          </w:p>
        </w:tc>
        <w:tc>
          <w:tcPr>
            <w:tcW w:w="876" w:type="dxa"/>
            <w:tcBorders>
              <w:top w:val="single" w:sz="2" w:space="0" w:color="auto"/>
              <w:left w:val="single" w:sz="2" w:space="0" w:color="auto"/>
              <w:bottom w:val="single" w:sz="2" w:space="0" w:color="auto"/>
              <w:right w:val="single" w:sz="2" w:space="0" w:color="auto"/>
            </w:tcBorders>
            <w:vAlign w:val="center"/>
          </w:tcPr>
          <w:p w14:paraId="6804B1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14.45%</w:t>
            </w:r>
          </w:p>
        </w:tc>
        <w:tc>
          <w:tcPr>
            <w:tcW w:w="876" w:type="dxa"/>
            <w:tcBorders>
              <w:top w:val="single" w:sz="2" w:space="0" w:color="auto"/>
              <w:left w:val="single" w:sz="2" w:space="0" w:color="auto"/>
              <w:bottom w:val="single" w:sz="2" w:space="0" w:color="auto"/>
              <w:right w:val="single" w:sz="2" w:space="0" w:color="auto"/>
            </w:tcBorders>
            <w:vAlign w:val="center"/>
          </w:tcPr>
          <w:p w14:paraId="17248239" w14:textId="77777777" w:rsidR="001D26E7" w:rsidRPr="00F614F9" w:rsidRDefault="001D26E7">
            <w:pPr>
              <w:spacing w:line="240" w:lineRule="exact"/>
              <w:jc w:val="right"/>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EA48C43" w14:textId="77777777" w:rsidR="001D26E7" w:rsidRPr="00F614F9" w:rsidRDefault="001D26E7">
            <w:pPr>
              <w:spacing w:line="240" w:lineRule="exact"/>
              <w:jc w:val="right"/>
              <w:rPr>
                <w:rFonts w:ascii="Times New Roman" w:eastAsia="宋体" w:hAnsi="Times New Roman"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9A5D21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59,610,123.52</w:t>
            </w:r>
          </w:p>
        </w:tc>
      </w:tr>
      <w:tr w:rsidR="001D26E7" w:rsidRPr="00F614F9" w14:paraId="0D8A7B9C"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3EF029A"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账</w:t>
            </w:r>
            <w:proofErr w:type="gramEnd"/>
            <w:r w:rsidRPr="00F614F9">
              <w:rPr>
                <w:rFonts w:ascii="Times New Roman" w:eastAsia="宋体" w:hAnsi="Times New Roman" w:cs="宋体"/>
                <w:sz w:val="18"/>
                <w:szCs w:val="18"/>
              </w:rPr>
              <w:t>龄组合</w:t>
            </w:r>
          </w:p>
        </w:tc>
        <w:tc>
          <w:tcPr>
            <w:tcW w:w="876" w:type="dxa"/>
            <w:tcBorders>
              <w:top w:val="single" w:sz="2" w:space="0" w:color="auto"/>
              <w:left w:val="single" w:sz="2" w:space="0" w:color="auto"/>
              <w:bottom w:val="single" w:sz="2" w:space="0" w:color="auto"/>
              <w:right w:val="single" w:sz="2" w:space="0" w:color="auto"/>
            </w:tcBorders>
            <w:vAlign w:val="center"/>
          </w:tcPr>
          <w:p w14:paraId="7343A0B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309,766,300.55</w:t>
            </w:r>
          </w:p>
        </w:tc>
        <w:tc>
          <w:tcPr>
            <w:tcW w:w="876" w:type="dxa"/>
            <w:tcBorders>
              <w:top w:val="single" w:sz="2" w:space="0" w:color="auto"/>
              <w:left w:val="single" w:sz="2" w:space="0" w:color="auto"/>
              <w:bottom w:val="single" w:sz="2" w:space="0" w:color="auto"/>
              <w:right w:val="single" w:sz="2" w:space="0" w:color="auto"/>
            </w:tcBorders>
            <w:vAlign w:val="center"/>
          </w:tcPr>
          <w:p w14:paraId="047A67D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69.49%</w:t>
            </w:r>
          </w:p>
        </w:tc>
        <w:tc>
          <w:tcPr>
            <w:tcW w:w="876" w:type="dxa"/>
            <w:tcBorders>
              <w:top w:val="single" w:sz="2" w:space="0" w:color="auto"/>
              <w:left w:val="single" w:sz="2" w:space="0" w:color="auto"/>
              <w:bottom w:val="single" w:sz="2" w:space="0" w:color="auto"/>
              <w:right w:val="single" w:sz="2" w:space="0" w:color="auto"/>
            </w:tcBorders>
            <w:vAlign w:val="center"/>
          </w:tcPr>
          <w:p w14:paraId="66EECCF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7,446,903.04</w:t>
            </w:r>
          </w:p>
        </w:tc>
        <w:tc>
          <w:tcPr>
            <w:tcW w:w="876" w:type="dxa"/>
            <w:tcBorders>
              <w:top w:val="single" w:sz="2" w:space="0" w:color="auto"/>
              <w:left w:val="single" w:sz="2" w:space="0" w:color="auto"/>
              <w:bottom w:val="single" w:sz="2" w:space="0" w:color="auto"/>
              <w:right w:val="single" w:sz="2" w:space="0" w:color="auto"/>
            </w:tcBorders>
            <w:vAlign w:val="center"/>
          </w:tcPr>
          <w:p w14:paraId="723A1777" w14:textId="77777777" w:rsidR="001D26E7" w:rsidRPr="00F614F9" w:rsidRDefault="0080040E">
            <w:pPr>
              <w:spacing w:line="240" w:lineRule="exact"/>
              <w:jc w:val="right"/>
              <w:rPr>
                <w:rFonts w:ascii="Times New Roman" w:eastAsia="宋体" w:hAnsi="Times New Roman" w:cs="宋体"/>
                <w:sz w:val="18"/>
                <w:szCs w:val="18"/>
              </w:rPr>
            </w:pPr>
            <w:r>
              <w:rPr>
                <w:rFonts w:ascii="Times New Roman" w:eastAsia="宋体" w:hAnsi="Times New Roman" w:cs="宋体" w:hint="eastAsia"/>
                <w:sz w:val="18"/>
                <w:szCs w:val="18"/>
              </w:rPr>
              <w:t>2.40</w:t>
            </w:r>
            <w:r w:rsidRPr="00F614F9">
              <w:rPr>
                <w:rFonts w:ascii="Times New Roman" w:eastAsia="宋体" w:hAnsi="Times New Roman"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14:paraId="39A3141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302,319,397.51</w:t>
            </w:r>
          </w:p>
        </w:tc>
        <w:tc>
          <w:tcPr>
            <w:tcW w:w="876" w:type="dxa"/>
            <w:tcBorders>
              <w:top w:val="single" w:sz="2" w:space="0" w:color="auto"/>
              <w:left w:val="single" w:sz="2" w:space="0" w:color="auto"/>
              <w:bottom w:val="single" w:sz="2" w:space="0" w:color="auto"/>
              <w:right w:val="single" w:sz="2" w:space="0" w:color="auto"/>
            </w:tcBorders>
            <w:vAlign w:val="center"/>
          </w:tcPr>
          <w:p w14:paraId="404754F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352,918,778.58</w:t>
            </w:r>
          </w:p>
        </w:tc>
        <w:tc>
          <w:tcPr>
            <w:tcW w:w="876" w:type="dxa"/>
            <w:tcBorders>
              <w:top w:val="single" w:sz="2" w:space="0" w:color="auto"/>
              <w:left w:val="single" w:sz="2" w:space="0" w:color="auto"/>
              <w:bottom w:val="single" w:sz="2" w:space="0" w:color="auto"/>
              <w:right w:val="single" w:sz="2" w:space="0" w:color="auto"/>
            </w:tcBorders>
            <w:vAlign w:val="center"/>
          </w:tcPr>
          <w:p w14:paraId="0B930C3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85.55%</w:t>
            </w:r>
          </w:p>
        </w:tc>
        <w:tc>
          <w:tcPr>
            <w:tcW w:w="876" w:type="dxa"/>
            <w:tcBorders>
              <w:top w:val="single" w:sz="2" w:space="0" w:color="auto"/>
              <w:left w:val="single" w:sz="2" w:space="0" w:color="auto"/>
              <w:bottom w:val="single" w:sz="2" w:space="0" w:color="auto"/>
              <w:right w:val="single" w:sz="2" w:space="0" w:color="auto"/>
            </w:tcBorders>
            <w:vAlign w:val="center"/>
          </w:tcPr>
          <w:p w14:paraId="2348E30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11,440,046.53</w:t>
            </w:r>
          </w:p>
        </w:tc>
        <w:tc>
          <w:tcPr>
            <w:tcW w:w="876" w:type="dxa"/>
            <w:tcBorders>
              <w:top w:val="single" w:sz="2" w:space="0" w:color="auto"/>
              <w:left w:val="single" w:sz="2" w:space="0" w:color="auto"/>
              <w:bottom w:val="single" w:sz="2" w:space="0" w:color="auto"/>
              <w:right w:val="single" w:sz="2" w:space="0" w:color="auto"/>
            </w:tcBorders>
            <w:vAlign w:val="center"/>
          </w:tcPr>
          <w:p w14:paraId="3E39D10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3.24%</w:t>
            </w:r>
          </w:p>
        </w:tc>
        <w:tc>
          <w:tcPr>
            <w:tcW w:w="876" w:type="dxa"/>
            <w:tcBorders>
              <w:top w:val="single" w:sz="2" w:space="0" w:color="auto"/>
              <w:left w:val="single" w:sz="2" w:space="0" w:color="auto"/>
              <w:bottom w:val="single" w:sz="2" w:space="0" w:color="auto"/>
              <w:right w:val="single" w:sz="2" w:space="0" w:color="auto"/>
            </w:tcBorders>
            <w:vAlign w:val="center"/>
          </w:tcPr>
          <w:p w14:paraId="4B155C8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341,478,732.05</w:t>
            </w:r>
          </w:p>
        </w:tc>
      </w:tr>
      <w:tr w:rsidR="001D26E7" w:rsidRPr="00F614F9" w14:paraId="47C31E8E"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4B4D2BC"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14:paraId="78053F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445,754,208.26</w:t>
            </w:r>
          </w:p>
        </w:tc>
        <w:tc>
          <w:tcPr>
            <w:tcW w:w="876" w:type="dxa"/>
            <w:tcBorders>
              <w:top w:val="single" w:sz="2" w:space="0" w:color="auto"/>
              <w:left w:val="single" w:sz="2" w:space="0" w:color="auto"/>
              <w:bottom w:val="single" w:sz="2" w:space="0" w:color="auto"/>
              <w:right w:val="single" w:sz="2" w:space="0" w:color="auto"/>
            </w:tcBorders>
            <w:vAlign w:val="center"/>
          </w:tcPr>
          <w:p w14:paraId="7C64DCF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447DE59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27,595,274.41</w:t>
            </w:r>
          </w:p>
        </w:tc>
        <w:tc>
          <w:tcPr>
            <w:tcW w:w="876" w:type="dxa"/>
            <w:tcBorders>
              <w:top w:val="single" w:sz="2" w:space="0" w:color="auto"/>
              <w:left w:val="single" w:sz="2" w:space="0" w:color="auto"/>
              <w:bottom w:val="single" w:sz="2" w:space="0" w:color="auto"/>
              <w:right w:val="single" w:sz="2" w:space="0" w:color="auto"/>
            </w:tcBorders>
            <w:vAlign w:val="center"/>
          </w:tcPr>
          <w:p w14:paraId="2CDDC76B" w14:textId="77777777" w:rsidR="001D26E7" w:rsidRPr="00F614F9" w:rsidRDefault="0080040E">
            <w:pPr>
              <w:spacing w:line="240" w:lineRule="exact"/>
              <w:jc w:val="right"/>
              <w:rPr>
                <w:rFonts w:ascii="Times New Roman" w:eastAsia="宋体" w:hAnsi="Times New Roman" w:cs="宋体"/>
                <w:sz w:val="18"/>
                <w:szCs w:val="18"/>
              </w:rPr>
            </w:pPr>
            <w:r>
              <w:rPr>
                <w:rFonts w:ascii="Times New Roman" w:eastAsia="宋体" w:hAnsi="Times New Roman" w:cs="宋体" w:hint="eastAsia"/>
                <w:sz w:val="18"/>
                <w:szCs w:val="18"/>
              </w:rPr>
              <w:t>6.19</w:t>
            </w:r>
            <w:r w:rsidRPr="00F614F9">
              <w:rPr>
                <w:rFonts w:ascii="Times New Roman" w:eastAsia="宋体" w:hAnsi="Times New Roman"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14:paraId="53382D7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418,158,933.85</w:t>
            </w:r>
          </w:p>
        </w:tc>
        <w:tc>
          <w:tcPr>
            <w:tcW w:w="876" w:type="dxa"/>
            <w:tcBorders>
              <w:top w:val="single" w:sz="2" w:space="0" w:color="auto"/>
              <w:left w:val="single" w:sz="2" w:space="0" w:color="auto"/>
              <w:bottom w:val="single" w:sz="2" w:space="0" w:color="auto"/>
              <w:right w:val="single" w:sz="2" w:space="0" w:color="auto"/>
            </w:tcBorders>
            <w:vAlign w:val="center"/>
          </w:tcPr>
          <w:p w14:paraId="2D35D12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412,528,902.10</w:t>
            </w:r>
          </w:p>
        </w:tc>
        <w:tc>
          <w:tcPr>
            <w:tcW w:w="876" w:type="dxa"/>
            <w:tcBorders>
              <w:top w:val="single" w:sz="2" w:space="0" w:color="auto"/>
              <w:left w:val="single" w:sz="2" w:space="0" w:color="auto"/>
              <w:bottom w:val="single" w:sz="2" w:space="0" w:color="auto"/>
              <w:right w:val="single" w:sz="2" w:space="0" w:color="auto"/>
            </w:tcBorders>
            <w:vAlign w:val="center"/>
          </w:tcPr>
          <w:p w14:paraId="04A6911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05195F8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11,440,046.53</w:t>
            </w:r>
          </w:p>
        </w:tc>
        <w:tc>
          <w:tcPr>
            <w:tcW w:w="876" w:type="dxa"/>
            <w:tcBorders>
              <w:top w:val="single" w:sz="2" w:space="0" w:color="auto"/>
              <w:left w:val="single" w:sz="2" w:space="0" w:color="auto"/>
              <w:bottom w:val="single" w:sz="2" w:space="0" w:color="auto"/>
              <w:right w:val="single" w:sz="2" w:space="0" w:color="auto"/>
            </w:tcBorders>
            <w:vAlign w:val="center"/>
          </w:tcPr>
          <w:p w14:paraId="3973542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2.77%</w:t>
            </w:r>
          </w:p>
        </w:tc>
        <w:tc>
          <w:tcPr>
            <w:tcW w:w="876" w:type="dxa"/>
            <w:tcBorders>
              <w:top w:val="single" w:sz="2" w:space="0" w:color="auto"/>
              <w:left w:val="single" w:sz="2" w:space="0" w:color="auto"/>
              <w:bottom w:val="single" w:sz="2" w:space="0" w:color="auto"/>
              <w:right w:val="single" w:sz="2" w:space="0" w:color="auto"/>
            </w:tcBorders>
            <w:vAlign w:val="center"/>
          </w:tcPr>
          <w:p w14:paraId="187125C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401,088,855.57</w:t>
            </w:r>
          </w:p>
        </w:tc>
      </w:tr>
    </w:tbl>
    <w:p w14:paraId="2378109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按单项计提坏账准备：</w:t>
      </w:r>
      <w:r w:rsidRPr="00F614F9">
        <w:rPr>
          <w:rFonts w:ascii="Times New Roman" w:eastAsia="宋体" w:hAnsi="Times New Roman" w:cs="宋体"/>
          <w:sz w:val="18"/>
          <w:szCs w:val="18"/>
        </w:rPr>
        <w:t>0</w:t>
      </w:r>
    </w:p>
    <w:p w14:paraId="5020627E"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lastRenderedPageBreak/>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1D26E7" w:rsidRPr="00F614F9" w14:paraId="12C0C381"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56F511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A87C17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6515DCB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r>
      <w:tr w:rsidR="001D26E7" w:rsidRPr="00F614F9" w14:paraId="6B41734D"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818E4BD" w14:textId="77777777" w:rsidR="001D26E7" w:rsidRPr="00F614F9" w:rsidRDefault="001D26E7">
            <w:pPr>
              <w:rPr>
                <w:rFonts w:ascii="Times New Roman" w:hAnsi="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E0BD4F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6F5EB4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3511EE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A1B384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14B6DD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5C0A9D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计提理由</w:t>
            </w:r>
          </w:p>
        </w:tc>
      </w:tr>
      <w:tr w:rsidR="001D26E7" w:rsidRPr="00F614F9" w14:paraId="6A6C8A2A"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8F1400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4-6</w:t>
            </w:r>
            <w:r w:rsidRPr="00F614F9">
              <w:rPr>
                <w:rFonts w:ascii="Times New Roman" w:eastAsia="宋体" w:hAnsi="Times New Roman" w:cs="宋体"/>
                <w:sz w:val="18"/>
                <w:szCs w:val="18"/>
              </w:rPr>
              <w:t>月</w:t>
            </w:r>
          </w:p>
        </w:tc>
        <w:tc>
          <w:tcPr>
            <w:tcW w:w="1377" w:type="dxa"/>
            <w:tcBorders>
              <w:top w:val="single" w:sz="2" w:space="0" w:color="auto"/>
              <w:left w:val="single" w:sz="2" w:space="0" w:color="auto"/>
              <w:bottom w:val="single" w:sz="2" w:space="0" w:color="auto"/>
              <w:right w:val="single" w:sz="2" w:space="0" w:color="auto"/>
            </w:tcBorders>
            <w:vAlign w:val="center"/>
          </w:tcPr>
          <w:p w14:paraId="6A31BAC8"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0D788F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7AF0ED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446,786.30</w:t>
            </w:r>
          </w:p>
        </w:tc>
        <w:tc>
          <w:tcPr>
            <w:tcW w:w="1377" w:type="dxa"/>
            <w:tcBorders>
              <w:top w:val="single" w:sz="2" w:space="0" w:color="auto"/>
              <w:left w:val="single" w:sz="2" w:space="0" w:color="auto"/>
              <w:bottom w:val="single" w:sz="2" w:space="0" w:color="auto"/>
              <w:right w:val="single" w:sz="2" w:space="0" w:color="auto"/>
            </w:tcBorders>
            <w:vAlign w:val="center"/>
          </w:tcPr>
          <w:p w14:paraId="51D8A85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446,786.30</w:t>
            </w:r>
          </w:p>
        </w:tc>
        <w:tc>
          <w:tcPr>
            <w:tcW w:w="1377" w:type="dxa"/>
            <w:tcBorders>
              <w:top w:val="single" w:sz="2" w:space="0" w:color="auto"/>
              <w:left w:val="single" w:sz="2" w:space="0" w:color="auto"/>
              <w:bottom w:val="single" w:sz="2" w:space="0" w:color="auto"/>
              <w:right w:val="single" w:sz="2" w:space="0" w:color="auto"/>
            </w:tcBorders>
            <w:vAlign w:val="center"/>
          </w:tcPr>
          <w:p w14:paraId="7FBEFCD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5CF62815"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7FADD7D0"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0FD539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10-12</w:t>
            </w:r>
            <w:r w:rsidRPr="00F614F9">
              <w:rPr>
                <w:rFonts w:ascii="Times New Roman" w:eastAsia="宋体" w:hAnsi="Times New Roman" w:cs="宋体"/>
                <w:sz w:val="18"/>
                <w:szCs w:val="18"/>
              </w:rPr>
              <w:t>月</w:t>
            </w:r>
          </w:p>
        </w:tc>
        <w:tc>
          <w:tcPr>
            <w:tcW w:w="1377" w:type="dxa"/>
            <w:tcBorders>
              <w:top w:val="single" w:sz="2" w:space="0" w:color="auto"/>
              <w:left w:val="single" w:sz="2" w:space="0" w:color="auto"/>
              <w:bottom w:val="single" w:sz="2" w:space="0" w:color="auto"/>
              <w:right w:val="single" w:sz="2" w:space="0" w:color="auto"/>
            </w:tcBorders>
            <w:vAlign w:val="center"/>
          </w:tcPr>
          <w:p w14:paraId="717D6627"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2C4E83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70E78F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127,198.11</w:t>
            </w:r>
          </w:p>
        </w:tc>
        <w:tc>
          <w:tcPr>
            <w:tcW w:w="1377" w:type="dxa"/>
            <w:tcBorders>
              <w:top w:val="single" w:sz="2" w:space="0" w:color="auto"/>
              <w:left w:val="single" w:sz="2" w:space="0" w:color="auto"/>
              <w:bottom w:val="single" w:sz="2" w:space="0" w:color="auto"/>
              <w:right w:val="single" w:sz="2" w:space="0" w:color="auto"/>
            </w:tcBorders>
            <w:vAlign w:val="center"/>
          </w:tcPr>
          <w:p w14:paraId="5142E7C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127,198.11</w:t>
            </w:r>
          </w:p>
        </w:tc>
        <w:tc>
          <w:tcPr>
            <w:tcW w:w="1377" w:type="dxa"/>
            <w:tcBorders>
              <w:top w:val="single" w:sz="2" w:space="0" w:color="auto"/>
              <w:left w:val="single" w:sz="2" w:space="0" w:color="auto"/>
              <w:bottom w:val="single" w:sz="2" w:space="0" w:color="auto"/>
              <w:right w:val="single" w:sz="2" w:space="0" w:color="auto"/>
            </w:tcBorders>
            <w:vAlign w:val="center"/>
          </w:tcPr>
          <w:p w14:paraId="0EC3A86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03200D60"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1508CE62"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B3D52C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1-2</w:t>
            </w:r>
            <w:r w:rsidRPr="00F614F9">
              <w:rPr>
                <w:rFonts w:ascii="Times New Roman" w:eastAsia="宋体" w:hAnsi="Times New Roman" w:cs="宋体"/>
                <w:sz w:val="18"/>
                <w:szCs w:val="18"/>
              </w:rPr>
              <w:t>年</w:t>
            </w:r>
          </w:p>
        </w:tc>
        <w:tc>
          <w:tcPr>
            <w:tcW w:w="1377" w:type="dxa"/>
            <w:tcBorders>
              <w:top w:val="single" w:sz="2" w:space="0" w:color="auto"/>
              <w:left w:val="single" w:sz="2" w:space="0" w:color="auto"/>
              <w:bottom w:val="single" w:sz="2" w:space="0" w:color="auto"/>
              <w:right w:val="single" w:sz="2" w:space="0" w:color="auto"/>
            </w:tcBorders>
            <w:vAlign w:val="center"/>
          </w:tcPr>
          <w:p w14:paraId="0A9CA130"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5E07792"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F57DA4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7,071,135.36</w:t>
            </w:r>
          </w:p>
        </w:tc>
        <w:tc>
          <w:tcPr>
            <w:tcW w:w="1377" w:type="dxa"/>
            <w:tcBorders>
              <w:top w:val="single" w:sz="2" w:space="0" w:color="auto"/>
              <w:left w:val="single" w:sz="2" w:space="0" w:color="auto"/>
              <w:bottom w:val="single" w:sz="2" w:space="0" w:color="auto"/>
              <w:right w:val="single" w:sz="2" w:space="0" w:color="auto"/>
            </w:tcBorders>
            <w:vAlign w:val="center"/>
          </w:tcPr>
          <w:p w14:paraId="685EBA0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7,071,135.36</w:t>
            </w:r>
          </w:p>
        </w:tc>
        <w:tc>
          <w:tcPr>
            <w:tcW w:w="1377" w:type="dxa"/>
            <w:tcBorders>
              <w:top w:val="single" w:sz="2" w:space="0" w:color="auto"/>
              <w:left w:val="single" w:sz="2" w:space="0" w:color="auto"/>
              <w:bottom w:val="single" w:sz="2" w:space="0" w:color="auto"/>
              <w:right w:val="single" w:sz="2" w:space="0" w:color="auto"/>
            </w:tcBorders>
            <w:vAlign w:val="center"/>
          </w:tcPr>
          <w:p w14:paraId="15127FE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01C2461F"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59DA3815"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DE2452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2-3</w:t>
            </w:r>
            <w:r w:rsidRPr="00F614F9">
              <w:rPr>
                <w:rFonts w:ascii="Times New Roman" w:eastAsia="宋体" w:hAnsi="Times New Roman" w:cs="宋体"/>
                <w:sz w:val="18"/>
                <w:szCs w:val="18"/>
              </w:rPr>
              <w:t>年</w:t>
            </w:r>
          </w:p>
        </w:tc>
        <w:tc>
          <w:tcPr>
            <w:tcW w:w="1377" w:type="dxa"/>
            <w:tcBorders>
              <w:top w:val="single" w:sz="2" w:space="0" w:color="auto"/>
              <w:left w:val="single" w:sz="2" w:space="0" w:color="auto"/>
              <w:bottom w:val="single" w:sz="2" w:space="0" w:color="auto"/>
              <w:right w:val="single" w:sz="2" w:space="0" w:color="auto"/>
            </w:tcBorders>
            <w:vAlign w:val="center"/>
          </w:tcPr>
          <w:p w14:paraId="3C83681F"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83E324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51B661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1,704.22</w:t>
            </w:r>
          </w:p>
        </w:tc>
        <w:tc>
          <w:tcPr>
            <w:tcW w:w="1377" w:type="dxa"/>
            <w:tcBorders>
              <w:top w:val="single" w:sz="2" w:space="0" w:color="auto"/>
              <w:left w:val="single" w:sz="2" w:space="0" w:color="auto"/>
              <w:bottom w:val="single" w:sz="2" w:space="0" w:color="auto"/>
              <w:right w:val="single" w:sz="2" w:space="0" w:color="auto"/>
            </w:tcBorders>
            <w:vAlign w:val="center"/>
          </w:tcPr>
          <w:p w14:paraId="272794A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1,704.22</w:t>
            </w:r>
          </w:p>
        </w:tc>
        <w:tc>
          <w:tcPr>
            <w:tcW w:w="1377" w:type="dxa"/>
            <w:tcBorders>
              <w:top w:val="single" w:sz="2" w:space="0" w:color="auto"/>
              <w:left w:val="single" w:sz="2" w:space="0" w:color="auto"/>
              <w:bottom w:val="single" w:sz="2" w:space="0" w:color="auto"/>
              <w:right w:val="single" w:sz="2" w:space="0" w:color="auto"/>
            </w:tcBorders>
            <w:vAlign w:val="center"/>
          </w:tcPr>
          <w:p w14:paraId="347FD6B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275DF058"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0AAE2243"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3A66ED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42F73FEB"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25BDFFB"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9AC703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7,646,823.99</w:t>
            </w:r>
          </w:p>
        </w:tc>
        <w:tc>
          <w:tcPr>
            <w:tcW w:w="1377" w:type="dxa"/>
            <w:tcBorders>
              <w:top w:val="single" w:sz="2" w:space="0" w:color="auto"/>
              <w:left w:val="single" w:sz="2" w:space="0" w:color="auto"/>
              <w:bottom w:val="single" w:sz="2" w:space="0" w:color="auto"/>
              <w:right w:val="single" w:sz="2" w:space="0" w:color="auto"/>
            </w:tcBorders>
            <w:vAlign w:val="center"/>
          </w:tcPr>
          <w:p w14:paraId="27597AC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7,646,823.99</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EC899E9" w14:textId="77777777" w:rsidR="001D26E7" w:rsidRPr="00F614F9" w:rsidRDefault="001D26E7">
            <w:pPr>
              <w:rPr>
                <w:rFonts w:ascii="Times New Roman" w:hAnsi="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0C54327" w14:textId="77777777" w:rsidR="001D26E7" w:rsidRPr="00F614F9" w:rsidRDefault="001D26E7">
            <w:pPr>
              <w:rPr>
                <w:rFonts w:ascii="Times New Roman" w:hAnsi="Times New Roman"/>
              </w:rPr>
            </w:pPr>
          </w:p>
        </w:tc>
      </w:tr>
    </w:tbl>
    <w:p w14:paraId="556517D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按组合计提坏账准备：</w:t>
      </w:r>
      <w:r w:rsidRPr="00F614F9">
        <w:rPr>
          <w:rFonts w:ascii="Times New Roman" w:eastAsia="宋体" w:hAnsi="Times New Roman" w:cs="宋体"/>
          <w:sz w:val="18"/>
          <w:szCs w:val="18"/>
        </w:rPr>
        <w:t>0</w:t>
      </w:r>
    </w:p>
    <w:p w14:paraId="224F7E9A"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1D26E7" w:rsidRPr="00F614F9" w14:paraId="7F11D753" w14:textId="7777777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EB88CF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904FAA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r>
      <w:tr w:rsidR="001D26E7" w:rsidRPr="00F614F9" w14:paraId="58F2AE35" w14:textId="7777777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A7E7D7E" w14:textId="77777777" w:rsidR="001D26E7" w:rsidRPr="00F614F9" w:rsidRDefault="001D26E7">
            <w:pPr>
              <w:rPr>
                <w:rFonts w:ascii="Times New Roman" w:hAnsi="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1A12BC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F1A604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1ECEAA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计提比例</w:t>
            </w:r>
          </w:p>
        </w:tc>
      </w:tr>
      <w:tr w:rsidR="001D26E7" w:rsidRPr="00F614F9" w14:paraId="125F1C8E"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112012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1-3</w:t>
            </w:r>
            <w:r w:rsidRPr="00F614F9">
              <w:rPr>
                <w:rFonts w:ascii="Times New Roman" w:eastAsia="宋体" w:hAnsi="Times New Roman" w:cs="宋体"/>
                <w:sz w:val="18"/>
                <w:szCs w:val="18"/>
              </w:rPr>
              <w:t>月</w:t>
            </w:r>
          </w:p>
        </w:tc>
        <w:tc>
          <w:tcPr>
            <w:tcW w:w="2410" w:type="dxa"/>
            <w:tcBorders>
              <w:top w:val="single" w:sz="2" w:space="0" w:color="auto"/>
              <w:left w:val="single" w:sz="2" w:space="0" w:color="auto"/>
              <w:bottom w:val="single" w:sz="2" w:space="0" w:color="auto"/>
              <w:right w:val="single" w:sz="2" w:space="0" w:color="auto"/>
            </w:tcBorders>
            <w:vAlign w:val="center"/>
          </w:tcPr>
          <w:p w14:paraId="5AC3A74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268,793,320.87</w:t>
            </w:r>
          </w:p>
        </w:tc>
        <w:tc>
          <w:tcPr>
            <w:tcW w:w="2410" w:type="dxa"/>
            <w:tcBorders>
              <w:top w:val="single" w:sz="2" w:space="0" w:color="auto"/>
              <w:left w:val="single" w:sz="2" w:space="0" w:color="auto"/>
              <w:bottom w:val="single" w:sz="2" w:space="0" w:color="auto"/>
              <w:right w:val="single" w:sz="2" w:space="0" w:color="auto"/>
            </w:tcBorders>
            <w:vAlign w:val="center"/>
          </w:tcPr>
          <w:p w14:paraId="1EF48AA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6,047,849.77</w:t>
            </w:r>
          </w:p>
        </w:tc>
        <w:tc>
          <w:tcPr>
            <w:tcW w:w="2410" w:type="dxa"/>
            <w:tcBorders>
              <w:top w:val="single" w:sz="2" w:space="0" w:color="auto"/>
              <w:left w:val="single" w:sz="2" w:space="0" w:color="auto"/>
              <w:bottom w:val="single" w:sz="2" w:space="0" w:color="auto"/>
              <w:right w:val="single" w:sz="2" w:space="0" w:color="auto"/>
            </w:tcBorders>
            <w:vAlign w:val="center"/>
          </w:tcPr>
          <w:p w14:paraId="2679312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2.25%</w:t>
            </w:r>
          </w:p>
        </w:tc>
      </w:tr>
      <w:tr w:rsidR="001D26E7" w:rsidRPr="00F614F9" w14:paraId="398296CB"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5D72B5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4-6</w:t>
            </w:r>
            <w:r w:rsidRPr="00F614F9">
              <w:rPr>
                <w:rFonts w:ascii="Times New Roman" w:eastAsia="宋体" w:hAnsi="Times New Roman" w:cs="宋体"/>
                <w:sz w:val="18"/>
                <w:szCs w:val="18"/>
              </w:rPr>
              <w:t>月</w:t>
            </w:r>
          </w:p>
        </w:tc>
        <w:tc>
          <w:tcPr>
            <w:tcW w:w="2410" w:type="dxa"/>
            <w:tcBorders>
              <w:top w:val="single" w:sz="2" w:space="0" w:color="auto"/>
              <w:left w:val="single" w:sz="2" w:space="0" w:color="auto"/>
              <w:bottom w:val="single" w:sz="2" w:space="0" w:color="auto"/>
              <w:right w:val="single" w:sz="2" w:space="0" w:color="auto"/>
            </w:tcBorders>
            <w:vAlign w:val="center"/>
          </w:tcPr>
          <w:p w14:paraId="0AA63B1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33,896,499.00</w:t>
            </w:r>
          </w:p>
        </w:tc>
        <w:tc>
          <w:tcPr>
            <w:tcW w:w="2410" w:type="dxa"/>
            <w:tcBorders>
              <w:top w:val="single" w:sz="2" w:space="0" w:color="auto"/>
              <w:left w:val="single" w:sz="2" w:space="0" w:color="auto"/>
              <w:bottom w:val="single" w:sz="2" w:space="0" w:color="auto"/>
              <w:right w:val="single" w:sz="2" w:space="0" w:color="auto"/>
            </w:tcBorders>
            <w:vAlign w:val="center"/>
          </w:tcPr>
          <w:p w14:paraId="26369C3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762,671.23</w:t>
            </w:r>
          </w:p>
        </w:tc>
        <w:tc>
          <w:tcPr>
            <w:tcW w:w="2410" w:type="dxa"/>
            <w:tcBorders>
              <w:top w:val="single" w:sz="2" w:space="0" w:color="auto"/>
              <w:left w:val="single" w:sz="2" w:space="0" w:color="auto"/>
              <w:bottom w:val="single" w:sz="2" w:space="0" w:color="auto"/>
              <w:right w:val="single" w:sz="2" w:space="0" w:color="auto"/>
            </w:tcBorders>
            <w:vAlign w:val="center"/>
          </w:tcPr>
          <w:p w14:paraId="18135A7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2.25%</w:t>
            </w:r>
          </w:p>
        </w:tc>
      </w:tr>
      <w:tr w:rsidR="001D26E7" w:rsidRPr="00F614F9" w14:paraId="2CFE6E97"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1DFC47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7-9</w:t>
            </w:r>
            <w:r w:rsidRPr="00F614F9">
              <w:rPr>
                <w:rFonts w:ascii="Times New Roman" w:eastAsia="宋体" w:hAnsi="Times New Roman" w:cs="宋体"/>
                <w:sz w:val="18"/>
                <w:szCs w:val="18"/>
              </w:rPr>
              <w:t>月</w:t>
            </w:r>
          </w:p>
        </w:tc>
        <w:tc>
          <w:tcPr>
            <w:tcW w:w="2410" w:type="dxa"/>
            <w:tcBorders>
              <w:top w:val="single" w:sz="2" w:space="0" w:color="auto"/>
              <w:left w:val="single" w:sz="2" w:space="0" w:color="auto"/>
              <w:bottom w:val="single" w:sz="2" w:space="0" w:color="auto"/>
              <w:right w:val="single" w:sz="2" w:space="0" w:color="auto"/>
            </w:tcBorders>
            <w:vAlign w:val="center"/>
          </w:tcPr>
          <w:p w14:paraId="6081A19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3,479,296.09</w:t>
            </w:r>
          </w:p>
        </w:tc>
        <w:tc>
          <w:tcPr>
            <w:tcW w:w="2410" w:type="dxa"/>
            <w:tcBorders>
              <w:top w:val="single" w:sz="2" w:space="0" w:color="auto"/>
              <w:left w:val="single" w:sz="2" w:space="0" w:color="auto"/>
              <w:bottom w:val="single" w:sz="2" w:space="0" w:color="auto"/>
              <w:right w:val="single" w:sz="2" w:space="0" w:color="auto"/>
            </w:tcBorders>
            <w:vAlign w:val="center"/>
          </w:tcPr>
          <w:p w14:paraId="6821D25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78,284.16</w:t>
            </w:r>
          </w:p>
        </w:tc>
        <w:tc>
          <w:tcPr>
            <w:tcW w:w="2410" w:type="dxa"/>
            <w:tcBorders>
              <w:top w:val="single" w:sz="2" w:space="0" w:color="auto"/>
              <w:left w:val="single" w:sz="2" w:space="0" w:color="auto"/>
              <w:bottom w:val="single" w:sz="2" w:space="0" w:color="auto"/>
              <w:right w:val="single" w:sz="2" w:space="0" w:color="auto"/>
            </w:tcBorders>
            <w:vAlign w:val="center"/>
          </w:tcPr>
          <w:p w14:paraId="748EFFF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2.25%</w:t>
            </w:r>
          </w:p>
        </w:tc>
      </w:tr>
      <w:tr w:rsidR="001D26E7" w:rsidRPr="00F614F9" w14:paraId="076531DE"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7E551D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10-12</w:t>
            </w:r>
            <w:r w:rsidRPr="00F614F9">
              <w:rPr>
                <w:rFonts w:ascii="Times New Roman" w:eastAsia="宋体" w:hAnsi="Times New Roman" w:cs="宋体"/>
                <w:sz w:val="18"/>
                <w:szCs w:val="18"/>
              </w:rPr>
              <w:t>月</w:t>
            </w:r>
          </w:p>
        </w:tc>
        <w:tc>
          <w:tcPr>
            <w:tcW w:w="2410" w:type="dxa"/>
            <w:tcBorders>
              <w:top w:val="single" w:sz="2" w:space="0" w:color="auto"/>
              <w:left w:val="single" w:sz="2" w:space="0" w:color="auto"/>
              <w:bottom w:val="single" w:sz="2" w:space="0" w:color="auto"/>
              <w:right w:val="single" w:sz="2" w:space="0" w:color="auto"/>
            </w:tcBorders>
            <w:vAlign w:val="center"/>
          </w:tcPr>
          <w:p w14:paraId="7380E39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1,740,146.72</w:t>
            </w:r>
          </w:p>
        </w:tc>
        <w:tc>
          <w:tcPr>
            <w:tcW w:w="2410" w:type="dxa"/>
            <w:tcBorders>
              <w:top w:val="single" w:sz="2" w:space="0" w:color="auto"/>
              <w:left w:val="single" w:sz="2" w:space="0" w:color="auto"/>
              <w:bottom w:val="single" w:sz="2" w:space="0" w:color="auto"/>
              <w:right w:val="single" w:sz="2" w:space="0" w:color="auto"/>
            </w:tcBorders>
            <w:vAlign w:val="center"/>
          </w:tcPr>
          <w:p w14:paraId="32A907A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39,153.30</w:t>
            </w:r>
          </w:p>
        </w:tc>
        <w:tc>
          <w:tcPr>
            <w:tcW w:w="2410" w:type="dxa"/>
            <w:tcBorders>
              <w:top w:val="single" w:sz="2" w:space="0" w:color="auto"/>
              <w:left w:val="single" w:sz="2" w:space="0" w:color="auto"/>
              <w:bottom w:val="single" w:sz="2" w:space="0" w:color="auto"/>
              <w:right w:val="single" w:sz="2" w:space="0" w:color="auto"/>
            </w:tcBorders>
            <w:vAlign w:val="center"/>
          </w:tcPr>
          <w:p w14:paraId="19986B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2.25%</w:t>
            </w:r>
          </w:p>
        </w:tc>
      </w:tr>
      <w:tr w:rsidR="001D26E7" w:rsidRPr="00F614F9" w14:paraId="788DB7DF"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036BE3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1-2</w:t>
            </w:r>
            <w:r w:rsidRPr="00F614F9">
              <w:rPr>
                <w:rFonts w:ascii="Times New Roman" w:eastAsia="宋体" w:hAnsi="Times New Roman"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5F2CBA3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1,662,376.88</w:t>
            </w:r>
          </w:p>
        </w:tc>
        <w:tc>
          <w:tcPr>
            <w:tcW w:w="2410" w:type="dxa"/>
            <w:tcBorders>
              <w:top w:val="single" w:sz="2" w:space="0" w:color="auto"/>
              <w:left w:val="single" w:sz="2" w:space="0" w:color="auto"/>
              <w:bottom w:val="single" w:sz="2" w:space="0" w:color="auto"/>
              <w:right w:val="single" w:sz="2" w:space="0" w:color="auto"/>
            </w:tcBorders>
            <w:vAlign w:val="center"/>
          </w:tcPr>
          <w:p w14:paraId="51EFE5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415,594.22</w:t>
            </w:r>
          </w:p>
        </w:tc>
        <w:tc>
          <w:tcPr>
            <w:tcW w:w="2410" w:type="dxa"/>
            <w:tcBorders>
              <w:top w:val="single" w:sz="2" w:space="0" w:color="auto"/>
              <w:left w:val="single" w:sz="2" w:space="0" w:color="auto"/>
              <w:bottom w:val="single" w:sz="2" w:space="0" w:color="auto"/>
              <w:right w:val="single" w:sz="2" w:space="0" w:color="auto"/>
            </w:tcBorders>
            <w:vAlign w:val="center"/>
          </w:tcPr>
          <w:p w14:paraId="7B33429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25.00%</w:t>
            </w:r>
          </w:p>
        </w:tc>
      </w:tr>
      <w:tr w:rsidR="001D26E7" w:rsidRPr="00F614F9" w14:paraId="637DAB2C"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FD3E84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2-3</w:t>
            </w:r>
            <w:r w:rsidRPr="00F614F9">
              <w:rPr>
                <w:rFonts w:ascii="Times New Roman" w:eastAsia="宋体" w:hAnsi="Times New Roman"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2F841A1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174,594.76</w:t>
            </w:r>
          </w:p>
        </w:tc>
        <w:tc>
          <w:tcPr>
            <w:tcW w:w="2410" w:type="dxa"/>
            <w:tcBorders>
              <w:top w:val="single" w:sz="2" w:space="0" w:color="auto"/>
              <w:left w:val="single" w:sz="2" w:space="0" w:color="auto"/>
              <w:bottom w:val="single" w:sz="2" w:space="0" w:color="auto"/>
              <w:right w:val="single" w:sz="2" w:space="0" w:color="auto"/>
            </w:tcBorders>
            <w:vAlign w:val="center"/>
          </w:tcPr>
          <w:p w14:paraId="79EA5DF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87,297.38</w:t>
            </w:r>
          </w:p>
        </w:tc>
        <w:tc>
          <w:tcPr>
            <w:tcW w:w="2410" w:type="dxa"/>
            <w:tcBorders>
              <w:top w:val="single" w:sz="2" w:space="0" w:color="auto"/>
              <w:left w:val="single" w:sz="2" w:space="0" w:color="auto"/>
              <w:bottom w:val="single" w:sz="2" w:space="0" w:color="auto"/>
              <w:right w:val="single" w:sz="2" w:space="0" w:color="auto"/>
            </w:tcBorders>
            <w:vAlign w:val="center"/>
          </w:tcPr>
          <w:p w14:paraId="2F22C21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50.00%</w:t>
            </w:r>
          </w:p>
        </w:tc>
      </w:tr>
      <w:tr w:rsidR="001D26E7" w:rsidRPr="00F614F9" w14:paraId="4626DB60"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71CB29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3-4</w:t>
            </w:r>
            <w:r w:rsidRPr="00F614F9">
              <w:rPr>
                <w:rFonts w:ascii="Times New Roman" w:eastAsia="宋体" w:hAnsi="Times New Roman"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52FD25F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20,066.23</w:t>
            </w:r>
          </w:p>
        </w:tc>
        <w:tc>
          <w:tcPr>
            <w:tcW w:w="2410" w:type="dxa"/>
            <w:tcBorders>
              <w:top w:val="single" w:sz="2" w:space="0" w:color="auto"/>
              <w:left w:val="single" w:sz="2" w:space="0" w:color="auto"/>
              <w:bottom w:val="single" w:sz="2" w:space="0" w:color="auto"/>
              <w:right w:val="single" w:sz="2" w:space="0" w:color="auto"/>
            </w:tcBorders>
            <w:vAlign w:val="center"/>
          </w:tcPr>
          <w:p w14:paraId="54A7963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16,052.98</w:t>
            </w:r>
          </w:p>
        </w:tc>
        <w:tc>
          <w:tcPr>
            <w:tcW w:w="2410" w:type="dxa"/>
            <w:tcBorders>
              <w:top w:val="single" w:sz="2" w:space="0" w:color="auto"/>
              <w:left w:val="single" w:sz="2" w:space="0" w:color="auto"/>
              <w:bottom w:val="single" w:sz="2" w:space="0" w:color="auto"/>
              <w:right w:val="single" w:sz="2" w:space="0" w:color="auto"/>
            </w:tcBorders>
            <w:vAlign w:val="center"/>
          </w:tcPr>
          <w:p w14:paraId="3C3B332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80.00%</w:t>
            </w:r>
          </w:p>
        </w:tc>
      </w:tr>
      <w:tr w:rsidR="001D26E7" w:rsidRPr="00F614F9" w14:paraId="7B988E1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BBADB2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2A76228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309,766,300.55</w:t>
            </w:r>
          </w:p>
        </w:tc>
        <w:tc>
          <w:tcPr>
            <w:tcW w:w="2410" w:type="dxa"/>
            <w:tcBorders>
              <w:top w:val="single" w:sz="2" w:space="0" w:color="auto"/>
              <w:left w:val="single" w:sz="2" w:space="0" w:color="auto"/>
              <w:bottom w:val="single" w:sz="2" w:space="0" w:color="auto"/>
              <w:right w:val="single" w:sz="2" w:space="0" w:color="auto"/>
            </w:tcBorders>
            <w:vAlign w:val="center"/>
          </w:tcPr>
          <w:p w14:paraId="1116D00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7,446,903.04</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337B7F2" w14:textId="77777777" w:rsidR="001D26E7" w:rsidRPr="00F614F9" w:rsidRDefault="001D26E7">
            <w:pPr>
              <w:rPr>
                <w:rFonts w:ascii="Times New Roman" w:hAnsi="Times New Roman"/>
              </w:rPr>
            </w:pPr>
          </w:p>
        </w:tc>
      </w:tr>
    </w:tbl>
    <w:p w14:paraId="2690C827"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确定该组合依据的说明：</w:t>
      </w:r>
    </w:p>
    <w:p w14:paraId="1B5B3CF0" w14:textId="77777777" w:rsidR="00872599" w:rsidRPr="00F614F9" w:rsidRDefault="00000000">
      <w:pPr>
        <w:pStyle w:val="a3"/>
        <w:divId w:val="1193496410"/>
        <w:rPr>
          <w:rFonts w:ascii="Times New Roman" w:hAnsi="Times New Roman"/>
          <w:sz w:val="18"/>
          <w:szCs w:val="18"/>
        </w:rPr>
      </w:pPr>
      <w:r w:rsidRPr="00F614F9">
        <w:rPr>
          <w:rFonts w:ascii="Times New Roman" w:hAnsi="Times New Roman" w:hint="eastAsia"/>
          <w:sz w:val="18"/>
          <w:szCs w:val="18"/>
        </w:rPr>
        <w:t>无</w:t>
      </w:r>
    </w:p>
    <w:p w14:paraId="163D8294"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如是按照预期信用损失一般模型计提应收账款坏账准备：</w:t>
      </w:r>
    </w:p>
    <w:p w14:paraId="50C734DE"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0543FEF8"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639" w:name="_Toc989477"/>
      <w:r w:rsidRPr="00F614F9">
        <w:rPr>
          <w:rFonts w:ascii="Times New Roman" w:eastAsia="宋体" w:hAnsi="Times New Roman" w:cs="宋体"/>
          <w:b/>
          <w:bCs/>
          <w:szCs w:val="21"/>
        </w:rPr>
        <w:t>（</w:t>
      </w:r>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本期计提、收回或转回的坏账准备情况</w:t>
      </w:r>
      <w:bookmarkEnd w:id="639"/>
    </w:p>
    <w:p w14:paraId="1C992D2A"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本期计提坏账准备情况：</w:t>
      </w:r>
    </w:p>
    <w:p w14:paraId="3B665928"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1D26E7" w:rsidRPr="00F614F9" w14:paraId="40E83546"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077368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873176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5255C62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F9E8F3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r>
      <w:tr w:rsidR="001D26E7" w:rsidRPr="00F614F9" w14:paraId="588776AF"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7509C8B" w14:textId="77777777" w:rsidR="001D26E7" w:rsidRPr="00F614F9" w:rsidRDefault="001D26E7">
            <w:pPr>
              <w:rPr>
                <w:rFonts w:ascii="Times New Roman" w:hAnsi="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A92395E" w14:textId="77777777" w:rsidR="001D26E7" w:rsidRPr="00F614F9" w:rsidRDefault="001D26E7">
            <w:pPr>
              <w:rPr>
                <w:rFonts w:ascii="Times New Roman" w:hAnsi="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6AF9FD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A92F88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354561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5767E8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DE1BFC9" w14:textId="77777777" w:rsidR="001D26E7" w:rsidRPr="00F614F9" w:rsidRDefault="001D26E7">
            <w:pPr>
              <w:rPr>
                <w:rFonts w:ascii="Times New Roman" w:hAnsi="Times New Roman"/>
              </w:rPr>
            </w:pPr>
          </w:p>
        </w:tc>
      </w:tr>
      <w:tr w:rsidR="001D26E7" w:rsidRPr="00F614F9" w14:paraId="41223254"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FE0EA5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应收账款</w:t>
            </w:r>
          </w:p>
        </w:tc>
        <w:tc>
          <w:tcPr>
            <w:tcW w:w="1377" w:type="dxa"/>
            <w:tcBorders>
              <w:top w:val="single" w:sz="2" w:space="0" w:color="auto"/>
              <w:left w:val="single" w:sz="2" w:space="0" w:color="auto"/>
              <w:bottom w:val="single" w:sz="2" w:space="0" w:color="auto"/>
              <w:right w:val="single" w:sz="2" w:space="0" w:color="auto"/>
            </w:tcBorders>
            <w:vAlign w:val="center"/>
          </w:tcPr>
          <w:p w14:paraId="528C0D5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11,440,046.53</w:t>
            </w:r>
          </w:p>
        </w:tc>
        <w:tc>
          <w:tcPr>
            <w:tcW w:w="1377" w:type="dxa"/>
            <w:tcBorders>
              <w:top w:val="single" w:sz="2" w:space="0" w:color="auto"/>
              <w:left w:val="single" w:sz="2" w:space="0" w:color="auto"/>
              <w:bottom w:val="single" w:sz="2" w:space="0" w:color="auto"/>
              <w:right w:val="single" w:sz="2" w:space="0" w:color="auto"/>
            </w:tcBorders>
            <w:vAlign w:val="center"/>
          </w:tcPr>
          <w:p w14:paraId="61E8796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16,155,227.88</w:t>
            </w:r>
          </w:p>
        </w:tc>
        <w:tc>
          <w:tcPr>
            <w:tcW w:w="1377" w:type="dxa"/>
            <w:tcBorders>
              <w:top w:val="single" w:sz="2" w:space="0" w:color="auto"/>
              <w:left w:val="single" w:sz="2" w:space="0" w:color="auto"/>
              <w:bottom w:val="single" w:sz="2" w:space="0" w:color="auto"/>
              <w:right w:val="single" w:sz="2" w:space="0" w:color="auto"/>
            </w:tcBorders>
            <w:vAlign w:val="center"/>
          </w:tcPr>
          <w:p w14:paraId="2E854F9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B4BF78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C64BAEF"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F642D1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27,595,274.41</w:t>
            </w:r>
          </w:p>
        </w:tc>
      </w:tr>
      <w:tr w:rsidR="001D26E7" w:rsidRPr="00F614F9" w14:paraId="587F6A4F"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7F1A73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6CA9D07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11,440,046.53</w:t>
            </w:r>
          </w:p>
        </w:tc>
        <w:tc>
          <w:tcPr>
            <w:tcW w:w="1377" w:type="dxa"/>
            <w:tcBorders>
              <w:top w:val="single" w:sz="2" w:space="0" w:color="auto"/>
              <w:left w:val="single" w:sz="2" w:space="0" w:color="auto"/>
              <w:bottom w:val="single" w:sz="2" w:space="0" w:color="auto"/>
              <w:right w:val="single" w:sz="2" w:space="0" w:color="auto"/>
            </w:tcBorders>
            <w:vAlign w:val="center"/>
          </w:tcPr>
          <w:p w14:paraId="49B0128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16,155,227.88</w:t>
            </w:r>
          </w:p>
        </w:tc>
        <w:tc>
          <w:tcPr>
            <w:tcW w:w="1377" w:type="dxa"/>
            <w:tcBorders>
              <w:top w:val="single" w:sz="2" w:space="0" w:color="auto"/>
              <w:left w:val="single" w:sz="2" w:space="0" w:color="auto"/>
              <w:bottom w:val="single" w:sz="2" w:space="0" w:color="auto"/>
              <w:right w:val="single" w:sz="2" w:space="0" w:color="auto"/>
            </w:tcBorders>
            <w:vAlign w:val="center"/>
          </w:tcPr>
          <w:p w14:paraId="02C33A5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6A18355"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D380D0D"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A598CE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27,595,274.41</w:t>
            </w:r>
          </w:p>
        </w:tc>
      </w:tr>
    </w:tbl>
    <w:p w14:paraId="2B1E4439"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其中本期坏账准备收回或转回金额重要的：</w:t>
      </w:r>
    </w:p>
    <w:p w14:paraId="432C0B49"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1D26E7" w:rsidRPr="00F614F9" w14:paraId="34BCBC78"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BB9BB6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单位名称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F57F82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收回或转回金额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CD7A27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转回原因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77FC4C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收回方式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BAC1C0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确定原坏账准备计提比例的依据及其合理性</w:t>
            </w:r>
          </w:p>
        </w:tc>
      </w:tr>
    </w:tbl>
    <w:p w14:paraId="479725B4" w14:textId="77777777" w:rsidR="00872599" w:rsidRPr="00F614F9" w:rsidRDefault="00000000">
      <w:pPr>
        <w:pStyle w:val="a3"/>
        <w:divId w:val="858853794"/>
        <w:rPr>
          <w:rFonts w:ascii="Times New Roman" w:hAnsi="Times New Roman"/>
          <w:sz w:val="18"/>
          <w:szCs w:val="18"/>
        </w:rPr>
      </w:pPr>
      <w:r w:rsidRPr="00F614F9">
        <w:rPr>
          <w:rFonts w:ascii="Times New Roman" w:hAnsi="Times New Roman" w:hint="eastAsia"/>
          <w:sz w:val="18"/>
          <w:szCs w:val="18"/>
        </w:rPr>
        <w:t>无</w:t>
      </w:r>
    </w:p>
    <w:p w14:paraId="0C8E49A1"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640" w:name="_Toc989478"/>
      <w:r w:rsidRPr="00F614F9">
        <w:rPr>
          <w:rFonts w:ascii="Times New Roman" w:eastAsia="宋体" w:hAnsi="Times New Roman" w:cs="宋体"/>
          <w:b/>
          <w:bCs/>
          <w:szCs w:val="21"/>
        </w:rPr>
        <w:t>（</w:t>
      </w:r>
      <w:r w:rsidRPr="00F614F9">
        <w:rPr>
          <w:rFonts w:ascii="Times New Roman" w:eastAsia="宋体" w:hAnsi="Times New Roman" w:cs="宋体"/>
          <w:b/>
          <w:bCs/>
          <w:szCs w:val="21"/>
        </w:rPr>
        <w:t>4</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本期实际核销的应收账款情况</w:t>
      </w:r>
      <w:bookmarkEnd w:id="640"/>
    </w:p>
    <w:p w14:paraId="49AB53CB"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1D26E7" w:rsidRPr="00F614F9" w14:paraId="280A526F"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CBA765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85A375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核销金额</w:t>
            </w:r>
          </w:p>
        </w:tc>
      </w:tr>
    </w:tbl>
    <w:p w14:paraId="2F0944E4"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其中重要的应收账款核销情况：</w:t>
      </w:r>
    </w:p>
    <w:p w14:paraId="11A4AD22"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1D26E7" w:rsidRPr="00F614F9" w14:paraId="3922E9A5"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5929DB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4B916F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应收账款性质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BB32FC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核销金额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43D305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核销原因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A74A99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履行的核销程序</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89BB95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款项是否由关联交易产生</w:t>
            </w:r>
          </w:p>
        </w:tc>
      </w:tr>
    </w:tbl>
    <w:p w14:paraId="0B6A3603"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应收账款核销说明：</w:t>
      </w:r>
    </w:p>
    <w:p w14:paraId="04A6C71E" w14:textId="77777777" w:rsidR="001D26E7" w:rsidRPr="00F614F9" w:rsidRDefault="001D26E7">
      <w:pPr>
        <w:rPr>
          <w:rFonts w:ascii="Times New Roman" w:hAnsi="Times New Roman"/>
        </w:rPr>
      </w:pPr>
    </w:p>
    <w:p w14:paraId="0D317BF4"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641" w:name="_Toc989479"/>
      <w:r w:rsidRPr="00F614F9">
        <w:rPr>
          <w:rFonts w:ascii="Times New Roman" w:eastAsia="宋体" w:hAnsi="Times New Roman" w:cs="宋体"/>
          <w:b/>
          <w:bCs/>
          <w:szCs w:val="21"/>
        </w:rPr>
        <w:t>（</w:t>
      </w:r>
      <w:r w:rsidRPr="00F614F9">
        <w:rPr>
          <w:rFonts w:ascii="Times New Roman" w:eastAsia="宋体" w:hAnsi="Times New Roman" w:cs="宋体"/>
          <w:b/>
          <w:bCs/>
          <w:szCs w:val="21"/>
        </w:rPr>
        <w:t>5</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按欠款方归集的期末余额前五名的应收账款和合同资产情况</w:t>
      </w:r>
      <w:bookmarkEnd w:id="641"/>
    </w:p>
    <w:p w14:paraId="3E6D0001"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1D26E7" w:rsidRPr="00F614F9" w14:paraId="6A0F6702"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6A6015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98DBA9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D3D4E2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3EB6F8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A226D9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5D290F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应收账款坏账准备和合同资产减值准备期末余额</w:t>
            </w:r>
          </w:p>
        </w:tc>
      </w:tr>
      <w:tr w:rsidR="001D26E7" w:rsidRPr="00F614F9" w14:paraId="3CB0C987"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BEFA26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w:t>
            </w:r>
            <w:r w:rsidRPr="00F614F9">
              <w:rPr>
                <w:rFonts w:ascii="Times New Roman" w:eastAsia="宋体" w:hAnsi="Times New Roman" w:cs="宋体"/>
                <w:sz w:val="18"/>
                <w:szCs w:val="18"/>
              </w:rPr>
              <w:t>A</w:t>
            </w:r>
          </w:p>
        </w:tc>
        <w:tc>
          <w:tcPr>
            <w:tcW w:w="1606" w:type="dxa"/>
            <w:tcBorders>
              <w:top w:val="single" w:sz="2" w:space="0" w:color="auto"/>
              <w:left w:val="single" w:sz="2" w:space="0" w:color="auto"/>
              <w:bottom w:val="single" w:sz="2" w:space="0" w:color="auto"/>
              <w:right w:val="single" w:sz="2" w:space="0" w:color="auto"/>
            </w:tcBorders>
            <w:vAlign w:val="center"/>
          </w:tcPr>
          <w:p w14:paraId="6336FC3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39,350,018.46</w:t>
            </w:r>
          </w:p>
        </w:tc>
        <w:tc>
          <w:tcPr>
            <w:tcW w:w="1606" w:type="dxa"/>
            <w:tcBorders>
              <w:top w:val="single" w:sz="2" w:space="0" w:color="auto"/>
              <w:left w:val="single" w:sz="2" w:space="0" w:color="auto"/>
              <w:bottom w:val="single" w:sz="2" w:space="0" w:color="auto"/>
              <w:right w:val="single" w:sz="2" w:space="0" w:color="auto"/>
            </w:tcBorders>
            <w:vAlign w:val="center"/>
          </w:tcPr>
          <w:p w14:paraId="4F77F632"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82CB8E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39,350,018.46</w:t>
            </w:r>
          </w:p>
        </w:tc>
        <w:tc>
          <w:tcPr>
            <w:tcW w:w="1606" w:type="dxa"/>
            <w:tcBorders>
              <w:top w:val="single" w:sz="2" w:space="0" w:color="auto"/>
              <w:left w:val="single" w:sz="2" w:space="0" w:color="auto"/>
              <w:bottom w:val="single" w:sz="2" w:space="0" w:color="auto"/>
              <w:right w:val="single" w:sz="2" w:space="0" w:color="auto"/>
            </w:tcBorders>
            <w:vAlign w:val="center"/>
          </w:tcPr>
          <w:p w14:paraId="76BF30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8.83%</w:t>
            </w:r>
          </w:p>
        </w:tc>
        <w:tc>
          <w:tcPr>
            <w:tcW w:w="1606" w:type="dxa"/>
            <w:tcBorders>
              <w:top w:val="single" w:sz="2" w:space="0" w:color="auto"/>
              <w:left w:val="single" w:sz="2" w:space="0" w:color="auto"/>
              <w:bottom w:val="single" w:sz="2" w:space="0" w:color="auto"/>
              <w:right w:val="single" w:sz="2" w:space="0" w:color="auto"/>
            </w:tcBorders>
            <w:vAlign w:val="center"/>
          </w:tcPr>
          <w:p w14:paraId="1FC7526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885,375.42</w:t>
            </w:r>
          </w:p>
        </w:tc>
      </w:tr>
      <w:tr w:rsidR="001D26E7" w:rsidRPr="00F614F9" w14:paraId="66986FEB"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5301BE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w:t>
            </w:r>
            <w:r w:rsidRPr="00F614F9">
              <w:rPr>
                <w:rFonts w:ascii="Times New Roman" w:eastAsia="宋体" w:hAnsi="Times New Roman" w:cs="宋体"/>
                <w:sz w:val="18"/>
                <w:szCs w:val="18"/>
              </w:rPr>
              <w:t>B</w:t>
            </w:r>
          </w:p>
        </w:tc>
        <w:tc>
          <w:tcPr>
            <w:tcW w:w="1606" w:type="dxa"/>
            <w:tcBorders>
              <w:top w:val="single" w:sz="2" w:space="0" w:color="auto"/>
              <w:left w:val="single" w:sz="2" w:space="0" w:color="auto"/>
              <w:bottom w:val="single" w:sz="2" w:space="0" w:color="auto"/>
              <w:right w:val="single" w:sz="2" w:space="0" w:color="auto"/>
            </w:tcBorders>
            <w:vAlign w:val="center"/>
          </w:tcPr>
          <w:p w14:paraId="01AB614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38,375,195.55</w:t>
            </w:r>
          </w:p>
        </w:tc>
        <w:tc>
          <w:tcPr>
            <w:tcW w:w="1606" w:type="dxa"/>
            <w:tcBorders>
              <w:top w:val="single" w:sz="2" w:space="0" w:color="auto"/>
              <w:left w:val="single" w:sz="2" w:space="0" w:color="auto"/>
              <w:bottom w:val="single" w:sz="2" w:space="0" w:color="auto"/>
              <w:right w:val="single" w:sz="2" w:space="0" w:color="auto"/>
            </w:tcBorders>
            <w:vAlign w:val="center"/>
          </w:tcPr>
          <w:p w14:paraId="26BFE45E"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AA8C27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38,375,195.55</w:t>
            </w:r>
          </w:p>
        </w:tc>
        <w:tc>
          <w:tcPr>
            <w:tcW w:w="1606" w:type="dxa"/>
            <w:tcBorders>
              <w:top w:val="single" w:sz="2" w:space="0" w:color="auto"/>
              <w:left w:val="single" w:sz="2" w:space="0" w:color="auto"/>
              <w:bottom w:val="single" w:sz="2" w:space="0" w:color="auto"/>
              <w:right w:val="single" w:sz="2" w:space="0" w:color="auto"/>
            </w:tcBorders>
            <w:vAlign w:val="center"/>
          </w:tcPr>
          <w:p w14:paraId="273A2C2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8.61%</w:t>
            </w:r>
          </w:p>
        </w:tc>
        <w:tc>
          <w:tcPr>
            <w:tcW w:w="1606" w:type="dxa"/>
            <w:tcBorders>
              <w:top w:val="single" w:sz="2" w:space="0" w:color="auto"/>
              <w:left w:val="single" w:sz="2" w:space="0" w:color="auto"/>
              <w:bottom w:val="single" w:sz="2" w:space="0" w:color="auto"/>
              <w:right w:val="single" w:sz="2" w:space="0" w:color="auto"/>
            </w:tcBorders>
            <w:vAlign w:val="center"/>
          </w:tcPr>
          <w:p w14:paraId="7DBD6A00"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D06EDB6"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10A7632"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w:t>
            </w:r>
            <w:r w:rsidRPr="00F614F9">
              <w:rPr>
                <w:rFonts w:ascii="Times New Roman" w:eastAsia="宋体" w:hAnsi="Times New Roman" w:cs="宋体"/>
                <w:sz w:val="18"/>
                <w:szCs w:val="18"/>
              </w:rPr>
              <w:t>C</w:t>
            </w:r>
          </w:p>
        </w:tc>
        <w:tc>
          <w:tcPr>
            <w:tcW w:w="1606" w:type="dxa"/>
            <w:tcBorders>
              <w:top w:val="single" w:sz="2" w:space="0" w:color="auto"/>
              <w:left w:val="single" w:sz="2" w:space="0" w:color="auto"/>
              <w:bottom w:val="single" w:sz="2" w:space="0" w:color="auto"/>
              <w:right w:val="single" w:sz="2" w:space="0" w:color="auto"/>
            </w:tcBorders>
            <w:vAlign w:val="center"/>
          </w:tcPr>
          <w:p w14:paraId="09651E4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31,696,993.99</w:t>
            </w:r>
          </w:p>
        </w:tc>
        <w:tc>
          <w:tcPr>
            <w:tcW w:w="1606" w:type="dxa"/>
            <w:tcBorders>
              <w:top w:val="single" w:sz="2" w:space="0" w:color="auto"/>
              <w:left w:val="single" w:sz="2" w:space="0" w:color="auto"/>
              <w:bottom w:val="single" w:sz="2" w:space="0" w:color="auto"/>
              <w:right w:val="single" w:sz="2" w:space="0" w:color="auto"/>
            </w:tcBorders>
            <w:vAlign w:val="center"/>
          </w:tcPr>
          <w:p w14:paraId="07465F09"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1B89CD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31,696,993.99</w:t>
            </w:r>
          </w:p>
        </w:tc>
        <w:tc>
          <w:tcPr>
            <w:tcW w:w="1606" w:type="dxa"/>
            <w:tcBorders>
              <w:top w:val="single" w:sz="2" w:space="0" w:color="auto"/>
              <w:left w:val="single" w:sz="2" w:space="0" w:color="auto"/>
              <w:bottom w:val="single" w:sz="2" w:space="0" w:color="auto"/>
              <w:right w:val="single" w:sz="2" w:space="0" w:color="auto"/>
            </w:tcBorders>
            <w:vAlign w:val="center"/>
          </w:tcPr>
          <w:p w14:paraId="1264FD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7.11%</w:t>
            </w:r>
          </w:p>
        </w:tc>
        <w:tc>
          <w:tcPr>
            <w:tcW w:w="1606" w:type="dxa"/>
            <w:tcBorders>
              <w:top w:val="single" w:sz="2" w:space="0" w:color="auto"/>
              <w:left w:val="single" w:sz="2" w:space="0" w:color="auto"/>
              <w:bottom w:val="single" w:sz="2" w:space="0" w:color="auto"/>
              <w:right w:val="single" w:sz="2" w:space="0" w:color="auto"/>
            </w:tcBorders>
            <w:vAlign w:val="center"/>
          </w:tcPr>
          <w:p w14:paraId="475D9AC2"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4FE6A8EF"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DDA508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w:t>
            </w:r>
            <w:r w:rsidRPr="00F614F9">
              <w:rPr>
                <w:rFonts w:ascii="Times New Roman" w:eastAsia="宋体" w:hAnsi="Times New Roman" w:cs="宋体"/>
                <w:sz w:val="18"/>
                <w:szCs w:val="18"/>
              </w:rPr>
              <w:t>D</w:t>
            </w:r>
          </w:p>
        </w:tc>
        <w:tc>
          <w:tcPr>
            <w:tcW w:w="1606" w:type="dxa"/>
            <w:tcBorders>
              <w:top w:val="single" w:sz="2" w:space="0" w:color="auto"/>
              <w:left w:val="single" w:sz="2" w:space="0" w:color="auto"/>
              <w:bottom w:val="single" w:sz="2" w:space="0" w:color="auto"/>
              <w:right w:val="single" w:sz="2" w:space="0" w:color="auto"/>
            </w:tcBorders>
            <w:vAlign w:val="center"/>
          </w:tcPr>
          <w:p w14:paraId="7B51581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24,297,587.50</w:t>
            </w:r>
          </w:p>
        </w:tc>
        <w:tc>
          <w:tcPr>
            <w:tcW w:w="1606" w:type="dxa"/>
            <w:tcBorders>
              <w:top w:val="single" w:sz="2" w:space="0" w:color="auto"/>
              <w:left w:val="single" w:sz="2" w:space="0" w:color="auto"/>
              <w:bottom w:val="single" w:sz="2" w:space="0" w:color="auto"/>
              <w:right w:val="single" w:sz="2" w:space="0" w:color="auto"/>
            </w:tcBorders>
            <w:vAlign w:val="center"/>
          </w:tcPr>
          <w:p w14:paraId="7AAD3189"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152443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24,297,587.50</w:t>
            </w:r>
          </w:p>
        </w:tc>
        <w:tc>
          <w:tcPr>
            <w:tcW w:w="1606" w:type="dxa"/>
            <w:tcBorders>
              <w:top w:val="single" w:sz="2" w:space="0" w:color="auto"/>
              <w:left w:val="single" w:sz="2" w:space="0" w:color="auto"/>
              <w:bottom w:val="single" w:sz="2" w:space="0" w:color="auto"/>
              <w:right w:val="single" w:sz="2" w:space="0" w:color="auto"/>
            </w:tcBorders>
            <w:vAlign w:val="center"/>
          </w:tcPr>
          <w:p w14:paraId="2C0EC32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5.45%</w:t>
            </w:r>
          </w:p>
        </w:tc>
        <w:tc>
          <w:tcPr>
            <w:tcW w:w="1606" w:type="dxa"/>
            <w:tcBorders>
              <w:top w:val="single" w:sz="2" w:space="0" w:color="auto"/>
              <w:left w:val="single" w:sz="2" w:space="0" w:color="auto"/>
              <w:bottom w:val="single" w:sz="2" w:space="0" w:color="auto"/>
              <w:right w:val="single" w:sz="2" w:space="0" w:color="auto"/>
            </w:tcBorders>
            <w:vAlign w:val="center"/>
          </w:tcPr>
          <w:p w14:paraId="4D6251B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546,695.72</w:t>
            </w:r>
          </w:p>
        </w:tc>
      </w:tr>
      <w:tr w:rsidR="001D26E7" w:rsidRPr="00F614F9" w14:paraId="37D66B11"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EEBBA8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客户</w:t>
            </w:r>
            <w:r w:rsidRPr="00F614F9">
              <w:rPr>
                <w:rFonts w:ascii="Times New Roman" w:eastAsia="宋体" w:hAnsi="Times New Roman" w:cs="宋体"/>
                <w:sz w:val="18"/>
                <w:szCs w:val="18"/>
              </w:rPr>
              <w:t>E</w:t>
            </w:r>
          </w:p>
        </w:tc>
        <w:tc>
          <w:tcPr>
            <w:tcW w:w="1606" w:type="dxa"/>
            <w:tcBorders>
              <w:top w:val="single" w:sz="2" w:space="0" w:color="auto"/>
              <w:left w:val="single" w:sz="2" w:space="0" w:color="auto"/>
              <w:bottom w:val="single" w:sz="2" w:space="0" w:color="auto"/>
              <w:right w:val="single" w:sz="2" w:space="0" w:color="auto"/>
            </w:tcBorders>
            <w:vAlign w:val="center"/>
          </w:tcPr>
          <w:p w14:paraId="145FC7D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21,697,295.08</w:t>
            </w:r>
          </w:p>
        </w:tc>
        <w:tc>
          <w:tcPr>
            <w:tcW w:w="1606" w:type="dxa"/>
            <w:tcBorders>
              <w:top w:val="single" w:sz="2" w:space="0" w:color="auto"/>
              <w:left w:val="single" w:sz="2" w:space="0" w:color="auto"/>
              <w:bottom w:val="single" w:sz="2" w:space="0" w:color="auto"/>
              <w:right w:val="single" w:sz="2" w:space="0" w:color="auto"/>
            </w:tcBorders>
            <w:vAlign w:val="center"/>
          </w:tcPr>
          <w:p w14:paraId="3982C4DF"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8C76E3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21,697,295.08</w:t>
            </w:r>
          </w:p>
        </w:tc>
        <w:tc>
          <w:tcPr>
            <w:tcW w:w="1606" w:type="dxa"/>
            <w:tcBorders>
              <w:top w:val="single" w:sz="2" w:space="0" w:color="auto"/>
              <w:left w:val="single" w:sz="2" w:space="0" w:color="auto"/>
              <w:bottom w:val="single" w:sz="2" w:space="0" w:color="auto"/>
              <w:right w:val="single" w:sz="2" w:space="0" w:color="auto"/>
            </w:tcBorders>
            <w:vAlign w:val="center"/>
          </w:tcPr>
          <w:p w14:paraId="45DBE73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4.87%</w:t>
            </w:r>
          </w:p>
        </w:tc>
        <w:tc>
          <w:tcPr>
            <w:tcW w:w="1606" w:type="dxa"/>
            <w:tcBorders>
              <w:top w:val="single" w:sz="2" w:space="0" w:color="auto"/>
              <w:left w:val="single" w:sz="2" w:space="0" w:color="auto"/>
              <w:bottom w:val="single" w:sz="2" w:space="0" w:color="auto"/>
              <w:right w:val="single" w:sz="2" w:space="0" w:color="auto"/>
            </w:tcBorders>
            <w:vAlign w:val="center"/>
          </w:tcPr>
          <w:p w14:paraId="2042A59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488,189.14</w:t>
            </w:r>
          </w:p>
        </w:tc>
      </w:tr>
      <w:tr w:rsidR="001D26E7" w:rsidRPr="00F614F9" w14:paraId="071F6B62"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7D6384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3039D21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155,417,090.58</w:t>
            </w:r>
          </w:p>
        </w:tc>
        <w:tc>
          <w:tcPr>
            <w:tcW w:w="1606" w:type="dxa"/>
            <w:tcBorders>
              <w:top w:val="single" w:sz="2" w:space="0" w:color="auto"/>
              <w:left w:val="single" w:sz="2" w:space="0" w:color="auto"/>
              <w:bottom w:val="single" w:sz="2" w:space="0" w:color="auto"/>
              <w:right w:val="single" w:sz="2" w:space="0" w:color="auto"/>
            </w:tcBorders>
            <w:vAlign w:val="center"/>
          </w:tcPr>
          <w:p w14:paraId="353E5F9A" w14:textId="77777777" w:rsidR="001D26E7" w:rsidRPr="00F614F9" w:rsidRDefault="001D26E7">
            <w:pPr>
              <w:spacing w:line="240" w:lineRule="exact"/>
              <w:jc w:val="right"/>
              <w:rPr>
                <w:rFonts w:ascii="Times New Roman" w:eastAsia="宋体" w:hAnsi="Times New Roman"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4E6723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155,417,090.58</w:t>
            </w:r>
          </w:p>
        </w:tc>
        <w:tc>
          <w:tcPr>
            <w:tcW w:w="1606" w:type="dxa"/>
            <w:tcBorders>
              <w:top w:val="single" w:sz="2" w:space="0" w:color="auto"/>
              <w:left w:val="single" w:sz="2" w:space="0" w:color="auto"/>
              <w:bottom w:val="single" w:sz="2" w:space="0" w:color="auto"/>
              <w:right w:val="single" w:sz="2" w:space="0" w:color="auto"/>
            </w:tcBorders>
            <w:vAlign w:val="center"/>
          </w:tcPr>
          <w:p w14:paraId="07B83E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34.87%</w:t>
            </w:r>
          </w:p>
        </w:tc>
        <w:tc>
          <w:tcPr>
            <w:tcW w:w="1606" w:type="dxa"/>
            <w:tcBorders>
              <w:top w:val="single" w:sz="2" w:space="0" w:color="auto"/>
              <w:left w:val="single" w:sz="2" w:space="0" w:color="auto"/>
              <w:bottom w:val="single" w:sz="2" w:space="0" w:color="auto"/>
              <w:right w:val="single" w:sz="2" w:space="0" w:color="auto"/>
            </w:tcBorders>
            <w:vAlign w:val="center"/>
          </w:tcPr>
          <w:p w14:paraId="42385B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1,920,260.28</w:t>
            </w:r>
          </w:p>
        </w:tc>
      </w:tr>
    </w:tbl>
    <w:p w14:paraId="5B673DCE" w14:textId="77777777" w:rsidR="001D26E7" w:rsidRPr="00F614F9" w:rsidRDefault="00000000">
      <w:pPr>
        <w:pStyle w:val="3"/>
        <w:spacing w:line="280" w:lineRule="exact"/>
        <w:jc w:val="left"/>
        <w:rPr>
          <w:rFonts w:ascii="Times New Roman" w:hAnsi="Times New Roman" w:cs="宋体"/>
          <w:b/>
          <w:bCs/>
        </w:rPr>
      </w:pPr>
      <w:bookmarkStart w:id="642" w:name="_Toc989480"/>
      <w:r w:rsidRPr="00F614F9">
        <w:rPr>
          <w:rFonts w:ascii="Times New Roman" w:hAnsi="Times New Roman" w:cs="宋体"/>
          <w:b/>
          <w:bCs/>
        </w:rPr>
        <w:t>2</w:t>
      </w:r>
      <w:r w:rsidRPr="00F614F9">
        <w:rPr>
          <w:rFonts w:ascii="Times New Roman" w:hAnsi="Times New Roman" w:cs="宋体"/>
          <w:b/>
          <w:bCs/>
        </w:rPr>
        <w:t>、其他应收款</w:t>
      </w:r>
      <w:bookmarkEnd w:id="642"/>
    </w:p>
    <w:p w14:paraId="22BAF250"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2F50CB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EE9EC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4F4A6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E7591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4F045BD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A73D3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2FE4DE6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7A3499F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6A5E415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436A1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364AF12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2,240,000.00</w:t>
            </w:r>
          </w:p>
        </w:tc>
        <w:tc>
          <w:tcPr>
            <w:tcW w:w="3213" w:type="dxa"/>
            <w:tcBorders>
              <w:top w:val="single" w:sz="2" w:space="0" w:color="auto"/>
              <w:left w:val="single" w:sz="2" w:space="0" w:color="auto"/>
              <w:bottom w:val="single" w:sz="2" w:space="0" w:color="auto"/>
              <w:right w:val="single" w:sz="2" w:space="0" w:color="auto"/>
            </w:tcBorders>
            <w:vAlign w:val="center"/>
          </w:tcPr>
          <w:p w14:paraId="7411CFD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r w:rsidR="001D26E7" w:rsidRPr="00F614F9" w14:paraId="63AE891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FCA9D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440CD97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515,367,684.10</w:t>
            </w:r>
          </w:p>
        </w:tc>
        <w:tc>
          <w:tcPr>
            <w:tcW w:w="3213" w:type="dxa"/>
            <w:tcBorders>
              <w:top w:val="single" w:sz="2" w:space="0" w:color="auto"/>
              <w:left w:val="single" w:sz="2" w:space="0" w:color="auto"/>
              <w:bottom w:val="single" w:sz="2" w:space="0" w:color="auto"/>
              <w:right w:val="single" w:sz="2" w:space="0" w:color="auto"/>
            </w:tcBorders>
            <w:vAlign w:val="center"/>
          </w:tcPr>
          <w:p w14:paraId="3BFFE98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1,275,606,011.35</w:t>
            </w:r>
          </w:p>
        </w:tc>
      </w:tr>
      <w:tr w:rsidR="001D26E7" w:rsidRPr="00F614F9" w14:paraId="510050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CE98F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5CF12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517,607,684.10</w:t>
            </w:r>
          </w:p>
        </w:tc>
        <w:tc>
          <w:tcPr>
            <w:tcW w:w="3213" w:type="dxa"/>
            <w:tcBorders>
              <w:top w:val="single" w:sz="2" w:space="0" w:color="auto"/>
              <w:left w:val="single" w:sz="2" w:space="0" w:color="auto"/>
              <w:bottom w:val="single" w:sz="2" w:space="0" w:color="auto"/>
              <w:right w:val="single" w:sz="2" w:space="0" w:color="auto"/>
            </w:tcBorders>
            <w:vAlign w:val="center"/>
          </w:tcPr>
          <w:p w14:paraId="3405790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1,275,606,011.35</w:t>
            </w:r>
          </w:p>
        </w:tc>
      </w:tr>
    </w:tbl>
    <w:p w14:paraId="142FDF24"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643" w:name="_Toc989481"/>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应收利息</w:t>
      </w:r>
      <w:bookmarkEnd w:id="643"/>
    </w:p>
    <w:p w14:paraId="0B902AC5" w14:textId="77777777" w:rsidR="001D26E7" w:rsidRPr="00F614F9" w:rsidRDefault="00000000">
      <w:pPr>
        <w:keepNext/>
        <w:keepLines/>
        <w:spacing w:before="300" w:after="300" w:line="280" w:lineRule="exact"/>
        <w:outlineLvl w:val="4"/>
        <w:rPr>
          <w:rFonts w:ascii="Times New Roman" w:eastAsia="宋体" w:hAnsi="Times New Roman" w:cs="宋体"/>
          <w:b/>
          <w:bCs/>
          <w:sz w:val="18"/>
          <w:szCs w:val="18"/>
        </w:rPr>
      </w:pPr>
      <w:bookmarkStart w:id="644" w:name="_Toc989482"/>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应收利息分类</w:t>
      </w:r>
      <w:bookmarkEnd w:id="644"/>
    </w:p>
    <w:p w14:paraId="34C56E01"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179CCD7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19FD2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124E8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5BB78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4AC01D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83787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FB1617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62F421C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bl>
    <w:p w14:paraId="47346037" w14:textId="77777777" w:rsidR="001D26E7" w:rsidRPr="00F614F9" w:rsidRDefault="00000000">
      <w:pPr>
        <w:keepNext/>
        <w:keepLines/>
        <w:spacing w:before="300" w:after="300" w:line="280" w:lineRule="exact"/>
        <w:outlineLvl w:val="4"/>
        <w:rPr>
          <w:rFonts w:ascii="Times New Roman" w:eastAsia="宋体" w:hAnsi="Times New Roman" w:cs="宋体"/>
          <w:b/>
          <w:bCs/>
          <w:sz w:val="18"/>
          <w:szCs w:val="18"/>
        </w:rPr>
      </w:pPr>
      <w:bookmarkStart w:id="645" w:name="_Toc989483"/>
      <w:r w:rsidRPr="00F614F9">
        <w:rPr>
          <w:rFonts w:ascii="Times New Roman" w:eastAsia="宋体" w:hAnsi="Times New Roman" w:cs="宋体"/>
          <w:b/>
          <w:bCs/>
          <w:sz w:val="18"/>
          <w:szCs w:val="18"/>
        </w:rPr>
        <w:t>2</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重要逾期利息</w:t>
      </w:r>
      <w:bookmarkEnd w:id="645"/>
    </w:p>
    <w:p w14:paraId="3F5C047C" w14:textId="77777777" w:rsidR="00872599" w:rsidRPr="00F614F9" w:rsidRDefault="00000000">
      <w:pPr>
        <w:pStyle w:val="a3"/>
        <w:divId w:val="504132420"/>
        <w:rPr>
          <w:rFonts w:ascii="Times New Roman" w:hAnsi="Times New Roman"/>
          <w:sz w:val="18"/>
          <w:szCs w:val="18"/>
        </w:rPr>
      </w:pPr>
      <w:r w:rsidRPr="00F614F9">
        <w:rPr>
          <w:rFonts w:ascii="Times New Roman" w:hAnsi="Times New Roman" w:hint="eastAsia"/>
          <w:sz w:val="18"/>
          <w:szCs w:val="18"/>
        </w:rPr>
        <w:t>无</w:t>
      </w:r>
    </w:p>
    <w:p w14:paraId="4824CF1B" w14:textId="77777777" w:rsidR="001D26E7" w:rsidRPr="00F614F9" w:rsidRDefault="00000000">
      <w:pPr>
        <w:keepNext/>
        <w:keepLines/>
        <w:spacing w:before="300" w:after="300" w:line="280" w:lineRule="exact"/>
        <w:outlineLvl w:val="4"/>
        <w:rPr>
          <w:rFonts w:ascii="Times New Roman" w:eastAsia="宋体" w:hAnsi="Times New Roman" w:cs="宋体"/>
          <w:b/>
          <w:bCs/>
          <w:sz w:val="18"/>
          <w:szCs w:val="18"/>
        </w:rPr>
      </w:pPr>
      <w:bookmarkStart w:id="646" w:name="_Toc989484"/>
      <w:r w:rsidRPr="00F614F9">
        <w:rPr>
          <w:rFonts w:ascii="Times New Roman" w:eastAsia="宋体" w:hAnsi="Times New Roman" w:cs="宋体"/>
          <w:b/>
          <w:bCs/>
          <w:sz w:val="18"/>
          <w:szCs w:val="18"/>
        </w:rPr>
        <w:t>3</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按坏账计提方法分类披露</w:t>
      </w:r>
      <w:bookmarkEnd w:id="646"/>
    </w:p>
    <w:p w14:paraId="472A1247" w14:textId="77777777" w:rsidR="001D26E7" w:rsidRPr="00F614F9" w:rsidRDefault="00000000">
      <w:pPr>
        <w:spacing w:before="40" w:after="4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340C14F8" w14:textId="77777777" w:rsidR="001D26E7" w:rsidRPr="00F614F9" w:rsidRDefault="00000000">
      <w:pPr>
        <w:keepNext/>
        <w:keepLines/>
        <w:spacing w:before="300" w:after="300" w:line="280" w:lineRule="exact"/>
        <w:outlineLvl w:val="4"/>
        <w:rPr>
          <w:rFonts w:ascii="Times New Roman" w:eastAsia="宋体" w:hAnsi="Times New Roman" w:cs="宋体"/>
          <w:b/>
          <w:bCs/>
          <w:sz w:val="18"/>
          <w:szCs w:val="18"/>
        </w:rPr>
      </w:pPr>
      <w:bookmarkStart w:id="647" w:name="_Toc989485"/>
      <w:r w:rsidRPr="00F614F9">
        <w:rPr>
          <w:rFonts w:ascii="Times New Roman" w:eastAsia="宋体" w:hAnsi="Times New Roman" w:cs="宋体"/>
          <w:b/>
          <w:bCs/>
          <w:sz w:val="18"/>
          <w:szCs w:val="18"/>
        </w:rPr>
        <w:lastRenderedPageBreak/>
        <w:t>4</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本期计提、收回或转回的坏账准备的情况</w:t>
      </w:r>
      <w:bookmarkEnd w:id="647"/>
    </w:p>
    <w:p w14:paraId="4E8D4C81" w14:textId="77777777" w:rsidR="00872599" w:rsidRPr="00F614F9" w:rsidRDefault="00000000">
      <w:pPr>
        <w:pStyle w:val="a3"/>
        <w:divId w:val="567812787"/>
        <w:rPr>
          <w:rFonts w:ascii="Times New Roman" w:hAnsi="Times New Roman"/>
          <w:sz w:val="18"/>
          <w:szCs w:val="18"/>
        </w:rPr>
      </w:pPr>
      <w:r w:rsidRPr="00F614F9">
        <w:rPr>
          <w:rFonts w:ascii="Times New Roman" w:hAnsi="Times New Roman" w:hint="eastAsia"/>
          <w:sz w:val="18"/>
          <w:szCs w:val="18"/>
        </w:rPr>
        <w:t>无</w:t>
      </w:r>
    </w:p>
    <w:p w14:paraId="1DBCC59C" w14:textId="77777777" w:rsidR="001D26E7" w:rsidRPr="00F614F9" w:rsidRDefault="00000000">
      <w:pPr>
        <w:keepNext/>
        <w:keepLines/>
        <w:spacing w:before="300" w:after="300" w:line="280" w:lineRule="exact"/>
        <w:outlineLvl w:val="4"/>
        <w:rPr>
          <w:rFonts w:ascii="Times New Roman" w:eastAsia="宋体" w:hAnsi="Times New Roman" w:cs="宋体"/>
          <w:b/>
          <w:bCs/>
          <w:sz w:val="18"/>
          <w:szCs w:val="18"/>
        </w:rPr>
      </w:pPr>
      <w:bookmarkStart w:id="648" w:name="_Toc989486"/>
      <w:r w:rsidRPr="00F614F9">
        <w:rPr>
          <w:rFonts w:ascii="Times New Roman" w:eastAsia="宋体" w:hAnsi="Times New Roman" w:cs="宋体"/>
          <w:b/>
          <w:bCs/>
          <w:sz w:val="18"/>
          <w:szCs w:val="18"/>
        </w:rPr>
        <w:t>5</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本期实际核销的应收利息情况</w:t>
      </w:r>
      <w:bookmarkEnd w:id="648"/>
    </w:p>
    <w:p w14:paraId="6DF5B5DB" w14:textId="77777777" w:rsidR="007E1BEF" w:rsidRPr="00F614F9" w:rsidRDefault="007E1BEF" w:rsidP="007E1BEF">
      <w:pPr>
        <w:spacing w:before="40" w:after="40" w:line="240" w:lineRule="exact"/>
        <w:ind w:firstLineChars="200" w:firstLine="360"/>
        <w:rPr>
          <w:rFonts w:ascii="Times New Roman" w:eastAsia="宋体" w:hAnsi="Times New Roman" w:cs="宋体"/>
          <w:sz w:val="18"/>
          <w:szCs w:val="18"/>
        </w:rPr>
      </w:pPr>
      <w:bookmarkStart w:id="649" w:name="_Toc989487"/>
      <w:r w:rsidRPr="00F614F9">
        <w:rPr>
          <w:rFonts w:ascii="Times New Roman" w:eastAsia="宋体" w:hAnsi="Times New Roman" w:cs="宋体" w:hint="eastAsia"/>
          <w:sz w:val="18"/>
          <w:szCs w:val="18"/>
        </w:rPr>
        <w:t>无</w:t>
      </w:r>
    </w:p>
    <w:p w14:paraId="064E77A4"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2</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应收股利</w:t>
      </w:r>
      <w:bookmarkEnd w:id="649"/>
    </w:p>
    <w:p w14:paraId="0B508368" w14:textId="77777777" w:rsidR="001D26E7" w:rsidRPr="00F614F9" w:rsidRDefault="00000000">
      <w:pPr>
        <w:keepNext/>
        <w:keepLines/>
        <w:spacing w:before="300" w:after="300" w:line="280" w:lineRule="exact"/>
        <w:outlineLvl w:val="4"/>
        <w:rPr>
          <w:rFonts w:ascii="Times New Roman" w:eastAsia="宋体" w:hAnsi="Times New Roman" w:cs="宋体"/>
          <w:b/>
          <w:bCs/>
          <w:sz w:val="18"/>
          <w:szCs w:val="18"/>
        </w:rPr>
      </w:pPr>
      <w:bookmarkStart w:id="650" w:name="_Toc989488"/>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应收股利分类</w:t>
      </w:r>
      <w:bookmarkEnd w:id="650"/>
    </w:p>
    <w:p w14:paraId="2ACDE26E"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011B584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7471E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项目（或被投资单位）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42598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7142C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47EDC23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1169E6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蓬莱富龙肉食品有限公司</w:t>
            </w:r>
          </w:p>
        </w:tc>
        <w:tc>
          <w:tcPr>
            <w:tcW w:w="3213" w:type="dxa"/>
            <w:tcBorders>
              <w:top w:val="single" w:sz="2" w:space="0" w:color="auto"/>
              <w:left w:val="single" w:sz="2" w:space="0" w:color="auto"/>
              <w:bottom w:val="single" w:sz="2" w:space="0" w:color="auto"/>
              <w:right w:val="single" w:sz="2" w:space="0" w:color="auto"/>
            </w:tcBorders>
            <w:vAlign w:val="center"/>
          </w:tcPr>
          <w:p w14:paraId="2BC7532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2,240,000.00</w:t>
            </w:r>
          </w:p>
        </w:tc>
        <w:tc>
          <w:tcPr>
            <w:tcW w:w="3213" w:type="dxa"/>
            <w:tcBorders>
              <w:top w:val="single" w:sz="2" w:space="0" w:color="auto"/>
              <w:left w:val="single" w:sz="2" w:space="0" w:color="auto"/>
              <w:bottom w:val="single" w:sz="2" w:space="0" w:color="auto"/>
              <w:right w:val="single" w:sz="2" w:space="0" w:color="auto"/>
            </w:tcBorders>
            <w:vAlign w:val="center"/>
          </w:tcPr>
          <w:p w14:paraId="18CE9318"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3D89AF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40ACE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736183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2,240,000.00</w:t>
            </w:r>
          </w:p>
        </w:tc>
        <w:tc>
          <w:tcPr>
            <w:tcW w:w="3213" w:type="dxa"/>
            <w:tcBorders>
              <w:top w:val="single" w:sz="2" w:space="0" w:color="auto"/>
              <w:left w:val="single" w:sz="2" w:space="0" w:color="auto"/>
              <w:bottom w:val="single" w:sz="2" w:space="0" w:color="auto"/>
              <w:right w:val="single" w:sz="2" w:space="0" w:color="auto"/>
            </w:tcBorders>
            <w:vAlign w:val="center"/>
          </w:tcPr>
          <w:p w14:paraId="514D0C2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r>
    </w:tbl>
    <w:p w14:paraId="77BD2122" w14:textId="77777777" w:rsidR="001D26E7" w:rsidRPr="00F614F9" w:rsidRDefault="00000000">
      <w:pPr>
        <w:keepNext/>
        <w:keepLines/>
        <w:spacing w:before="300" w:after="300" w:line="280" w:lineRule="exact"/>
        <w:outlineLvl w:val="4"/>
        <w:rPr>
          <w:rFonts w:ascii="Times New Roman" w:eastAsia="宋体" w:hAnsi="Times New Roman" w:cs="宋体"/>
          <w:b/>
          <w:bCs/>
          <w:sz w:val="18"/>
          <w:szCs w:val="18"/>
        </w:rPr>
      </w:pPr>
      <w:bookmarkStart w:id="651" w:name="_Toc989489"/>
      <w:r w:rsidRPr="00F614F9">
        <w:rPr>
          <w:rFonts w:ascii="Times New Roman" w:eastAsia="宋体" w:hAnsi="Times New Roman" w:cs="宋体"/>
          <w:b/>
          <w:bCs/>
          <w:sz w:val="18"/>
          <w:szCs w:val="18"/>
        </w:rPr>
        <w:t>2</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重要的账龄超过</w:t>
      </w:r>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年的应收股利</w:t>
      </w:r>
      <w:bookmarkEnd w:id="651"/>
    </w:p>
    <w:p w14:paraId="2DAD12C8" w14:textId="77777777" w:rsidR="007E1BEF" w:rsidRPr="00F614F9" w:rsidRDefault="007E1BEF" w:rsidP="007E1BEF">
      <w:pPr>
        <w:spacing w:before="40" w:after="40" w:line="240" w:lineRule="exact"/>
        <w:ind w:firstLineChars="200" w:firstLine="360"/>
        <w:rPr>
          <w:rFonts w:ascii="Times New Roman" w:eastAsia="宋体" w:hAnsi="Times New Roman" w:cs="宋体"/>
          <w:sz w:val="18"/>
          <w:szCs w:val="18"/>
        </w:rPr>
      </w:pPr>
      <w:bookmarkStart w:id="652" w:name="_Toc989490"/>
      <w:r w:rsidRPr="00F614F9">
        <w:rPr>
          <w:rFonts w:ascii="Times New Roman" w:eastAsia="宋体" w:hAnsi="Times New Roman" w:cs="宋体" w:hint="eastAsia"/>
          <w:sz w:val="18"/>
          <w:szCs w:val="18"/>
        </w:rPr>
        <w:t>无</w:t>
      </w:r>
    </w:p>
    <w:p w14:paraId="63B65F31" w14:textId="77777777" w:rsidR="001D26E7" w:rsidRPr="00F614F9" w:rsidRDefault="00000000">
      <w:pPr>
        <w:keepNext/>
        <w:keepLines/>
        <w:spacing w:before="300" w:after="300" w:line="280" w:lineRule="exact"/>
        <w:outlineLvl w:val="4"/>
        <w:rPr>
          <w:rFonts w:ascii="Times New Roman" w:eastAsia="宋体" w:hAnsi="Times New Roman" w:cs="宋体"/>
          <w:b/>
          <w:bCs/>
          <w:sz w:val="18"/>
          <w:szCs w:val="18"/>
        </w:rPr>
      </w:pPr>
      <w:r w:rsidRPr="00F614F9">
        <w:rPr>
          <w:rFonts w:ascii="Times New Roman" w:eastAsia="宋体" w:hAnsi="Times New Roman" w:cs="宋体"/>
          <w:b/>
          <w:bCs/>
          <w:sz w:val="18"/>
          <w:szCs w:val="18"/>
        </w:rPr>
        <w:t>3</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按坏账计提方法分类披露</w:t>
      </w:r>
      <w:bookmarkEnd w:id="652"/>
    </w:p>
    <w:p w14:paraId="666EC127"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1F4D3A7" w14:textId="77777777" w:rsidR="001D26E7" w:rsidRPr="00F614F9" w:rsidRDefault="00000000">
      <w:pPr>
        <w:keepNext/>
        <w:keepLines/>
        <w:spacing w:before="300" w:after="300" w:line="280" w:lineRule="exact"/>
        <w:outlineLvl w:val="4"/>
        <w:rPr>
          <w:rFonts w:ascii="Times New Roman" w:eastAsia="宋体" w:hAnsi="Times New Roman" w:cs="宋体"/>
          <w:b/>
          <w:bCs/>
          <w:szCs w:val="21"/>
        </w:rPr>
      </w:pPr>
      <w:bookmarkStart w:id="653" w:name="_Toc989491"/>
      <w:r w:rsidRPr="00F614F9">
        <w:rPr>
          <w:rFonts w:ascii="Times New Roman" w:eastAsia="宋体" w:hAnsi="Times New Roman" w:cs="宋体"/>
          <w:b/>
          <w:bCs/>
          <w:szCs w:val="21"/>
        </w:rPr>
        <w:t>4</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本期计提、收回或转回的坏账准备的情况</w:t>
      </w:r>
      <w:bookmarkEnd w:id="653"/>
    </w:p>
    <w:p w14:paraId="68688961" w14:textId="77777777" w:rsidR="00872599" w:rsidRPr="00F614F9" w:rsidRDefault="00000000">
      <w:pPr>
        <w:pStyle w:val="a3"/>
        <w:divId w:val="1318607947"/>
        <w:rPr>
          <w:rFonts w:ascii="Times New Roman" w:hAnsi="Times New Roman"/>
          <w:sz w:val="18"/>
          <w:szCs w:val="18"/>
        </w:rPr>
      </w:pPr>
      <w:r w:rsidRPr="00F614F9">
        <w:rPr>
          <w:rFonts w:ascii="Times New Roman" w:hAnsi="Times New Roman" w:hint="eastAsia"/>
          <w:sz w:val="18"/>
          <w:szCs w:val="18"/>
        </w:rPr>
        <w:t>无</w:t>
      </w:r>
    </w:p>
    <w:p w14:paraId="0D6B34AB" w14:textId="77777777" w:rsidR="001D26E7" w:rsidRPr="00F614F9" w:rsidRDefault="00000000">
      <w:pPr>
        <w:keepNext/>
        <w:keepLines/>
        <w:spacing w:before="300" w:after="300" w:line="280" w:lineRule="exact"/>
        <w:outlineLvl w:val="4"/>
        <w:rPr>
          <w:rFonts w:ascii="Times New Roman" w:eastAsia="宋体" w:hAnsi="Times New Roman" w:cs="宋体"/>
          <w:b/>
          <w:bCs/>
          <w:szCs w:val="21"/>
        </w:rPr>
      </w:pPr>
      <w:bookmarkStart w:id="654" w:name="_Toc989492"/>
      <w:r w:rsidRPr="00F614F9">
        <w:rPr>
          <w:rFonts w:ascii="Times New Roman" w:eastAsia="宋体" w:hAnsi="Times New Roman" w:cs="宋体"/>
          <w:b/>
          <w:bCs/>
          <w:szCs w:val="21"/>
        </w:rPr>
        <w:t>5</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本期实际核销的应收股利情况</w:t>
      </w:r>
      <w:bookmarkEnd w:id="654"/>
    </w:p>
    <w:p w14:paraId="64D04335" w14:textId="77777777" w:rsidR="00872599" w:rsidRPr="00F614F9" w:rsidRDefault="00000000">
      <w:pPr>
        <w:pStyle w:val="a3"/>
        <w:divId w:val="1018585166"/>
        <w:rPr>
          <w:rFonts w:ascii="Times New Roman" w:hAnsi="Times New Roman"/>
          <w:sz w:val="18"/>
          <w:szCs w:val="18"/>
        </w:rPr>
      </w:pPr>
      <w:r w:rsidRPr="00F614F9">
        <w:rPr>
          <w:rFonts w:ascii="Times New Roman" w:hAnsi="Times New Roman" w:hint="eastAsia"/>
          <w:sz w:val="18"/>
          <w:szCs w:val="18"/>
        </w:rPr>
        <w:t>无</w:t>
      </w:r>
    </w:p>
    <w:p w14:paraId="24AF4636" w14:textId="77777777" w:rsidR="001D26E7" w:rsidRPr="00F614F9" w:rsidRDefault="00000000">
      <w:pPr>
        <w:keepNext/>
        <w:keepLines/>
        <w:spacing w:before="300" w:after="300" w:line="280" w:lineRule="exact"/>
        <w:outlineLvl w:val="3"/>
        <w:rPr>
          <w:rFonts w:ascii="Times New Roman" w:eastAsia="宋体" w:hAnsi="Times New Roman" w:cs="宋体"/>
          <w:b/>
          <w:bCs/>
          <w:sz w:val="18"/>
          <w:szCs w:val="18"/>
        </w:rPr>
      </w:pPr>
      <w:bookmarkStart w:id="655" w:name="_Toc989493"/>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3</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其他应收款</w:t>
      </w:r>
      <w:bookmarkEnd w:id="655"/>
    </w:p>
    <w:p w14:paraId="7325460D" w14:textId="77777777" w:rsidR="001D26E7" w:rsidRPr="00F614F9" w:rsidRDefault="00000000">
      <w:pPr>
        <w:keepNext/>
        <w:keepLines/>
        <w:spacing w:before="300" w:after="300" w:line="280" w:lineRule="exact"/>
        <w:outlineLvl w:val="4"/>
        <w:rPr>
          <w:rFonts w:ascii="Times New Roman" w:eastAsia="宋体" w:hAnsi="Times New Roman" w:cs="宋体"/>
          <w:b/>
          <w:bCs/>
          <w:sz w:val="18"/>
          <w:szCs w:val="18"/>
        </w:rPr>
      </w:pPr>
      <w:bookmarkStart w:id="656" w:name="_Toc989494"/>
      <w:r w:rsidRPr="00F614F9">
        <w:rPr>
          <w:rFonts w:ascii="Times New Roman" w:eastAsia="宋体" w:hAnsi="Times New Roman" w:cs="宋体"/>
          <w:b/>
          <w:bCs/>
          <w:sz w:val="18"/>
          <w:szCs w:val="18"/>
        </w:rPr>
        <w:t>1</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其他应收款按款项性质分类情况</w:t>
      </w:r>
      <w:bookmarkEnd w:id="656"/>
    </w:p>
    <w:p w14:paraId="77FD6904"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11BD61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B2A7E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DF2C1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AB67E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期初账面余额</w:t>
            </w:r>
          </w:p>
        </w:tc>
      </w:tr>
      <w:tr w:rsidR="001D26E7" w:rsidRPr="00F614F9" w14:paraId="243360E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9441DF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备用金借支</w:t>
            </w:r>
          </w:p>
        </w:tc>
        <w:tc>
          <w:tcPr>
            <w:tcW w:w="3213" w:type="dxa"/>
            <w:tcBorders>
              <w:top w:val="single" w:sz="2" w:space="0" w:color="auto"/>
              <w:left w:val="single" w:sz="2" w:space="0" w:color="auto"/>
              <w:bottom w:val="single" w:sz="2" w:space="0" w:color="auto"/>
              <w:right w:val="single" w:sz="2" w:space="0" w:color="auto"/>
            </w:tcBorders>
            <w:vAlign w:val="center"/>
          </w:tcPr>
          <w:p w14:paraId="353E1A3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2,634,329.78</w:t>
            </w:r>
          </w:p>
        </w:tc>
        <w:tc>
          <w:tcPr>
            <w:tcW w:w="3213" w:type="dxa"/>
            <w:tcBorders>
              <w:top w:val="single" w:sz="2" w:space="0" w:color="auto"/>
              <w:left w:val="single" w:sz="2" w:space="0" w:color="auto"/>
              <w:bottom w:val="single" w:sz="2" w:space="0" w:color="auto"/>
              <w:right w:val="single" w:sz="2" w:space="0" w:color="auto"/>
            </w:tcBorders>
            <w:vAlign w:val="center"/>
          </w:tcPr>
          <w:p w14:paraId="2A80A4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2,324,293.58</w:t>
            </w:r>
          </w:p>
        </w:tc>
      </w:tr>
      <w:tr w:rsidR="001D26E7" w:rsidRPr="00F614F9" w14:paraId="4882CF1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21A0DD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保证金、押金</w:t>
            </w:r>
          </w:p>
        </w:tc>
        <w:tc>
          <w:tcPr>
            <w:tcW w:w="3213" w:type="dxa"/>
            <w:tcBorders>
              <w:top w:val="single" w:sz="2" w:space="0" w:color="auto"/>
              <w:left w:val="single" w:sz="2" w:space="0" w:color="auto"/>
              <w:bottom w:val="single" w:sz="2" w:space="0" w:color="auto"/>
              <w:right w:val="single" w:sz="2" w:space="0" w:color="auto"/>
            </w:tcBorders>
            <w:vAlign w:val="center"/>
          </w:tcPr>
          <w:p w14:paraId="1C9184E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27,432,548.26</w:t>
            </w:r>
          </w:p>
        </w:tc>
        <w:tc>
          <w:tcPr>
            <w:tcW w:w="3213" w:type="dxa"/>
            <w:tcBorders>
              <w:top w:val="single" w:sz="2" w:space="0" w:color="auto"/>
              <w:left w:val="single" w:sz="2" w:space="0" w:color="auto"/>
              <w:bottom w:val="single" w:sz="2" w:space="0" w:color="auto"/>
              <w:right w:val="single" w:sz="2" w:space="0" w:color="auto"/>
            </w:tcBorders>
            <w:vAlign w:val="center"/>
          </w:tcPr>
          <w:p w14:paraId="15A3D08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28,771,527.19</w:t>
            </w:r>
          </w:p>
        </w:tc>
      </w:tr>
      <w:tr w:rsidR="001D26E7" w:rsidRPr="00F614F9" w14:paraId="29E4A98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D5054B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对关联公司的应收款项</w:t>
            </w:r>
          </w:p>
        </w:tc>
        <w:tc>
          <w:tcPr>
            <w:tcW w:w="3213" w:type="dxa"/>
            <w:tcBorders>
              <w:top w:val="single" w:sz="2" w:space="0" w:color="auto"/>
              <w:left w:val="single" w:sz="2" w:space="0" w:color="auto"/>
              <w:bottom w:val="single" w:sz="2" w:space="0" w:color="auto"/>
              <w:right w:val="single" w:sz="2" w:space="0" w:color="auto"/>
            </w:tcBorders>
            <w:vAlign w:val="center"/>
          </w:tcPr>
          <w:p w14:paraId="6DCFC24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1,116,824,311.18</w:t>
            </w:r>
          </w:p>
        </w:tc>
        <w:tc>
          <w:tcPr>
            <w:tcW w:w="3213" w:type="dxa"/>
            <w:tcBorders>
              <w:top w:val="single" w:sz="2" w:space="0" w:color="auto"/>
              <w:left w:val="single" w:sz="2" w:space="0" w:color="auto"/>
              <w:bottom w:val="single" w:sz="2" w:space="0" w:color="auto"/>
              <w:right w:val="single" w:sz="2" w:space="0" w:color="auto"/>
            </w:tcBorders>
            <w:vAlign w:val="center"/>
          </w:tcPr>
          <w:p w14:paraId="565C318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1,357,222,843.18</w:t>
            </w:r>
          </w:p>
        </w:tc>
      </w:tr>
      <w:tr w:rsidR="001D26E7" w:rsidRPr="00F614F9" w14:paraId="4FDA00B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448CE0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3814B38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8,391,946.17</w:t>
            </w:r>
          </w:p>
        </w:tc>
        <w:tc>
          <w:tcPr>
            <w:tcW w:w="3213" w:type="dxa"/>
            <w:tcBorders>
              <w:top w:val="single" w:sz="2" w:space="0" w:color="auto"/>
              <w:left w:val="single" w:sz="2" w:space="0" w:color="auto"/>
              <w:bottom w:val="single" w:sz="2" w:space="0" w:color="auto"/>
              <w:right w:val="single" w:sz="2" w:space="0" w:color="auto"/>
            </w:tcBorders>
            <w:vAlign w:val="center"/>
          </w:tcPr>
          <w:p w14:paraId="0D389C8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4,807,730.35</w:t>
            </w:r>
          </w:p>
        </w:tc>
      </w:tr>
      <w:tr w:rsidR="001D26E7" w:rsidRPr="00F614F9" w14:paraId="3A455B7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95A819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减：坏账准备</w:t>
            </w:r>
          </w:p>
        </w:tc>
        <w:tc>
          <w:tcPr>
            <w:tcW w:w="3213" w:type="dxa"/>
            <w:tcBorders>
              <w:top w:val="single" w:sz="2" w:space="0" w:color="auto"/>
              <w:left w:val="single" w:sz="2" w:space="0" w:color="auto"/>
              <w:bottom w:val="single" w:sz="2" w:space="0" w:color="auto"/>
              <w:right w:val="single" w:sz="2" w:space="0" w:color="auto"/>
            </w:tcBorders>
            <w:vAlign w:val="center"/>
          </w:tcPr>
          <w:p w14:paraId="202A432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-639,915,451.29</w:t>
            </w:r>
          </w:p>
        </w:tc>
        <w:tc>
          <w:tcPr>
            <w:tcW w:w="3213" w:type="dxa"/>
            <w:tcBorders>
              <w:top w:val="single" w:sz="2" w:space="0" w:color="auto"/>
              <w:left w:val="single" w:sz="2" w:space="0" w:color="auto"/>
              <w:bottom w:val="single" w:sz="2" w:space="0" w:color="auto"/>
              <w:right w:val="single" w:sz="2" w:space="0" w:color="auto"/>
            </w:tcBorders>
            <w:vAlign w:val="center"/>
          </w:tcPr>
          <w:p w14:paraId="105F7CD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-117,520,382.95</w:t>
            </w:r>
          </w:p>
        </w:tc>
      </w:tr>
      <w:tr w:rsidR="001D26E7" w:rsidRPr="00F614F9" w14:paraId="2AE0D1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D2946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694521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515,367,684.10</w:t>
            </w:r>
          </w:p>
        </w:tc>
        <w:tc>
          <w:tcPr>
            <w:tcW w:w="3213" w:type="dxa"/>
            <w:tcBorders>
              <w:top w:val="single" w:sz="2" w:space="0" w:color="auto"/>
              <w:left w:val="single" w:sz="2" w:space="0" w:color="auto"/>
              <w:bottom w:val="single" w:sz="2" w:space="0" w:color="auto"/>
              <w:right w:val="single" w:sz="2" w:space="0" w:color="auto"/>
            </w:tcBorders>
            <w:vAlign w:val="center"/>
          </w:tcPr>
          <w:p w14:paraId="131F17C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1,275,606,011.35</w:t>
            </w:r>
          </w:p>
        </w:tc>
      </w:tr>
    </w:tbl>
    <w:p w14:paraId="0DC6F83C" w14:textId="77777777" w:rsidR="001D26E7" w:rsidRPr="00F614F9" w:rsidRDefault="00000000">
      <w:pPr>
        <w:keepNext/>
        <w:keepLines/>
        <w:spacing w:before="300" w:after="300" w:line="280" w:lineRule="exact"/>
        <w:outlineLvl w:val="4"/>
        <w:rPr>
          <w:rFonts w:ascii="Times New Roman" w:eastAsia="宋体" w:hAnsi="Times New Roman" w:cs="宋体"/>
          <w:b/>
          <w:bCs/>
          <w:sz w:val="18"/>
          <w:szCs w:val="18"/>
        </w:rPr>
      </w:pPr>
      <w:bookmarkStart w:id="657" w:name="_Toc989495"/>
      <w:r w:rsidRPr="00F614F9">
        <w:rPr>
          <w:rFonts w:ascii="Times New Roman" w:eastAsia="宋体" w:hAnsi="Times New Roman" w:cs="宋体"/>
          <w:b/>
          <w:bCs/>
          <w:sz w:val="18"/>
          <w:szCs w:val="18"/>
        </w:rPr>
        <w:lastRenderedPageBreak/>
        <w:t>2</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proofErr w:type="gramStart"/>
      <w:r w:rsidRPr="00F614F9">
        <w:rPr>
          <w:rFonts w:ascii="Times New Roman" w:eastAsia="宋体" w:hAnsi="Times New Roman" w:cs="宋体"/>
          <w:b/>
          <w:bCs/>
          <w:sz w:val="18"/>
          <w:szCs w:val="18"/>
        </w:rPr>
        <w:t>按账龄</w:t>
      </w:r>
      <w:proofErr w:type="gramEnd"/>
      <w:r w:rsidRPr="00F614F9">
        <w:rPr>
          <w:rFonts w:ascii="Times New Roman" w:eastAsia="宋体" w:hAnsi="Times New Roman" w:cs="宋体"/>
          <w:b/>
          <w:bCs/>
          <w:sz w:val="18"/>
          <w:szCs w:val="18"/>
        </w:rPr>
        <w:t>披露</w:t>
      </w:r>
      <w:bookmarkEnd w:id="657"/>
    </w:p>
    <w:p w14:paraId="252DD3B1"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5BC5BB2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1EE21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D5C1A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72662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期初账面余额</w:t>
            </w:r>
          </w:p>
        </w:tc>
      </w:tr>
      <w:tr w:rsidR="001D26E7" w:rsidRPr="00F614F9" w14:paraId="1F702F5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A906C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年以内（含</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2E76E58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461,271,902.32</w:t>
            </w:r>
          </w:p>
        </w:tc>
        <w:tc>
          <w:tcPr>
            <w:tcW w:w="3213" w:type="dxa"/>
            <w:tcBorders>
              <w:top w:val="single" w:sz="2" w:space="0" w:color="auto"/>
              <w:left w:val="single" w:sz="2" w:space="0" w:color="auto"/>
              <w:bottom w:val="single" w:sz="2" w:space="0" w:color="auto"/>
              <w:right w:val="single" w:sz="2" w:space="0" w:color="auto"/>
            </w:tcBorders>
            <w:vAlign w:val="center"/>
          </w:tcPr>
          <w:p w14:paraId="22512E7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707,779,595.38</w:t>
            </w:r>
          </w:p>
        </w:tc>
      </w:tr>
      <w:tr w:rsidR="001D26E7" w:rsidRPr="00F614F9" w14:paraId="4E85DCD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DD531F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1-3</w:t>
            </w:r>
            <w:r w:rsidRPr="00F614F9">
              <w:rPr>
                <w:rFonts w:ascii="Times New Roman" w:eastAsia="宋体" w:hAnsi="Times New Roman"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66E99E6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186,013,215.98</w:t>
            </w:r>
          </w:p>
        </w:tc>
        <w:tc>
          <w:tcPr>
            <w:tcW w:w="3213" w:type="dxa"/>
            <w:tcBorders>
              <w:top w:val="single" w:sz="2" w:space="0" w:color="auto"/>
              <w:left w:val="single" w:sz="2" w:space="0" w:color="auto"/>
              <w:bottom w:val="single" w:sz="2" w:space="0" w:color="auto"/>
              <w:right w:val="single" w:sz="2" w:space="0" w:color="auto"/>
            </w:tcBorders>
            <w:vAlign w:val="center"/>
          </w:tcPr>
          <w:p w14:paraId="2B6EA39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135,407,278.85</w:t>
            </w:r>
          </w:p>
        </w:tc>
      </w:tr>
      <w:tr w:rsidR="001D26E7" w:rsidRPr="00F614F9" w14:paraId="1E13F33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0755AC1"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4-6</w:t>
            </w:r>
            <w:r w:rsidRPr="00F614F9">
              <w:rPr>
                <w:rFonts w:ascii="Times New Roman" w:eastAsia="宋体" w:hAnsi="Times New Roman"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3127584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86,604,589.79</w:t>
            </w:r>
          </w:p>
        </w:tc>
        <w:tc>
          <w:tcPr>
            <w:tcW w:w="3213" w:type="dxa"/>
            <w:tcBorders>
              <w:top w:val="single" w:sz="2" w:space="0" w:color="auto"/>
              <w:left w:val="single" w:sz="2" w:space="0" w:color="auto"/>
              <w:bottom w:val="single" w:sz="2" w:space="0" w:color="auto"/>
              <w:right w:val="single" w:sz="2" w:space="0" w:color="auto"/>
            </w:tcBorders>
            <w:vAlign w:val="center"/>
          </w:tcPr>
          <w:p w14:paraId="4D71B40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428,144,723.57</w:t>
            </w:r>
          </w:p>
        </w:tc>
      </w:tr>
      <w:tr w:rsidR="001D26E7" w:rsidRPr="00F614F9" w14:paraId="246C58A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E65E9B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7-9</w:t>
            </w:r>
            <w:r w:rsidRPr="00F614F9">
              <w:rPr>
                <w:rFonts w:ascii="Times New Roman" w:eastAsia="宋体" w:hAnsi="Times New Roman"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26C39A1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62,315,100.00</w:t>
            </w:r>
          </w:p>
        </w:tc>
        <w:tc>
          <w:tcPr>
            <w:tcW w:w="3213" w:type="dxa"/>
            <w:tcBorders>
              <w:top w:val="single" w:sz="2" w:space="0" w:color="auto"/>
              <w:left w:val="single" w:sz="2" w:space="0" w:color="auto"/>
              <w:bottom w:val="single" w:sz="2" w:space="0" w:color="auto"/>
              <w:right w:val="single" w:sz="2" w:space="0" w:color="auto"/>
            </w:tcBorders>
            <w:vAlign w:val="center"/>
          </w:tcPr>
          <w:p w14:paraId="38FB86B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78,587,184.83</w:t>
            </w:r>
          </w:p>
        </w:tc>
      </w:tr>
      <w:tr w:rsidR="001D26E7" w:rsidRPr="00F614F9" w14:paraId="5A4A3EB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B91B24B"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10-12</w:t>
            </w:r>
            <w:r w:rsidRPr="00F614F9">
              <w:rPr>
                <w:rFonts w:ascii="Times New Roman" w:eastAsia="宋体" w:hAnsi="Times New Roman"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4F71C6D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126,338,996.55</w:t>
            </w:r>
          </w:p>
        </w:tc>
        <w:tc>
          <w:tcPr>
            <w:tcW w:w="3213" w:type="dxa"/>
            <w:tcBorders>
              <w:top w:val="single" w:sz="2" w:space="0" w:color="auto"/>
              <w:left w:val="single" w:sz="2" w:space="0" w:color="auto"/>
              <w:bottom w:val="single" w:sz="2" w:space="0" w:color="auto"/>
              <w:right w:val="single" w:sz="2" w:space="0" w:color="auto"/>
            </w:tcBorders>
            <w:vAlign w:val="center"/>
          </w:tcPr>
          <w:p w14:paraId="5AE690B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65,640,408.13</w:t>
            </w:r>
          </w:p>
        </w:tc>
      </w:tr>
      <w:tr w:rsidR="001D26E7" w:rsidRPr="00F614F9" w14:paraId="387C8F5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5550A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1</w:t>
            </w:r>
            <w:r w:rsidRPr="00F614F9">
              <w:rPr>
                <w:rFonts w:ascii="Times New Roman" w:eastAsia="宋体" w:hAnsi="Times New Roman" w:cs="宋体"/>
                <w:sz w:val="18"/>
                <w:szCs w:val="18"/>
              </w:rPr>
              <w:t>至</w:t>
            </w:r>
            <w:r w:rsidRPr="00F614F9">
              <w:rPr>
                <w:rFonts w:ascii="Times New Roman" w:eastAsia="宋体" w:hAnsi="Times New Roman" w:cs="宋体"/>
                <w:sz w:val="18"/>
                <w:szCs w:val="18"/>
              </w:rPr>
              <w:t>2</w:t>
            </w:r>
            <w:r w:rsidRPr="00F614F9">
              <w:rPr>
                <w:rFonts w:ascii="Times New Roman" w:eastAsia="宋体" w:hAnsi="Times New Roman"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7D03931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259,521,703.76</w:t>
            </w:r>
          </w:p>
        </w:tc>
        <w:tc>
          <w:tcPr>
            <w:tcW w:w="3213" w:type="dxa"/>
            <w:tcBorders>
              <w:top w:val="single" w:sz="2" w:space="0" w:color="auto"/>
              <w:left w:val="single" w:sz="2" w:space="0" w:color="auto"/>
              <w:bottom w:val="single" w:sz="2" w:space="0" w:color="auto"/>
              <w:right w:val="single" w:sz="2" w:space="0" w:color="auto"/>
            </w:tcBorders>
            <w:vAlign w:val="center"/>
          </w:tcPr>
          <w:p w14:paraId="0D2DFE2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683,477,910.40</w:t>
            </w:r>
          </w:p>
        </w:tc>
      </w:tr>
      <w:tr w:rsidR="001D26E7" w:rsidRPr="00F614F9" w14:paraId="1CB5FBB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94B12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w:t>
            </w:r>
            <w:r w:rsidRPr="00F614F9">
              <w:rPr>
                <w:rFonts w:ascii="Times New Roman" w:eastAsia="宋体" w:hAnsi="Times New Roman" w:cs="宋体"/>
                <w:sz w:val="18"/>
                <w:szCs w:val="18"/>
              </w:rPr>
              <w:t>至</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6C5D4B9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247,030,724.79</w:t>
            </w:r>
          </w:p>
        </w:tc>
        <w:tc>
          <w:tcPr>
            <w:tcW w:w="3213" w:type="dxa"/>
            <w:tcBorders>
              <w:top w:val="single" w:sz="2" w:space="0" w:color="auto"/>
              <w:left w:val="single" w:sz="2" w:space="0" w:color="auto"/>
              <w:bottom w:val="single" w:sz="2" w:space="0" w:color="auto"/>
              <w:right w:val="single" w:sz="2" w:space="0" w:color="auto"/>
            </w:tcBorders>
            <w:vAlign w:val="center"/>
          </w:tcPr>
          <w:p w14:paraId="52297D3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365,740.00</w:t>
            </w:r>
          </w:p>
        </w:tc>
      </w:tr>
      <w:tr w:rsidR="001D26E7" w:rsidRPr="00F614F9" w14:paraId="40FAAD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85F5D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年以上</w:t>
            </w:r>
          </w:p>
        </w:tc>
        <w:tc>
          <w:tcPr>
            <w:tcW w:w="3213" w:type="dxa"/>
            <w:tcBorders>
              <w:top w:val="single" w:sz="2" w:space="0" w:color="auto"/>
              <w:left w:val="single" w:sz="2" w:space="0" w:color="auto"/>
              <w:bottom w:val="single" w:sz="2" w:space="0" w:color="auto"/>
              <w:right w:val="single" w:sz="2" w:space="0" w:color="auto"/>
            </w:tcBorders>
            <w:vAlign w:val="center"/>
          </w:tcPr>
          <w:p w14:paraId="0A36187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187,458,804.52</w:t>
            </w:r>
          </w:p>
        </w:tc>
        <w:tc>
          <w:tcPr>
            <w:tcW w:w="3213" w:type="dxa"/>
            <w:tcBorders>
              <w:top w:val="single" w:sz="2" w:space="0" w:color="auto"/>
              <w:left w:val="single" w:sz="2" w:space="0" w:color="auto"/>
              <w:bottom w:val="single" w:sz="2" w:space="0" w:color="auto"/>
              <w:right w:val="single" w:sz="2" w:space="0" w:color="auto"/>
            </w:tcBorders>
            <w:vAlign w:val="center"/>
          </w:tcPr>
          <w:p w14:paraId="58549C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1,503,148.52</w:t>
            </w:r>
          </w:p>
        </w:tc>
      </w:tr>
      <w:tr w:rsidR="001D26E7" w:rsidRPr="00F614F9" w14:paraId="6B06FC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D70DFB"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3</w:t>
            </w:r>
            <w:r w:rsidRPr="00F614F9">
              <w:rPr>
                <w:rFonts w:ascii="Times New Roman" w:eastAsia="宋体" w:hAnsi="Times New Roman" w:cs="宋体"/>
                <w:sz w:val="18"/>
                <w:szCs w:val="18"/>
              </w:rPr>
              <w:t>至</w:t>
            </w:r>
            <w:r w:rsidRPr="00F614F9">
              <w:rPr>
                <w:rFonts w:ascii="Times New Roman" w:eastAsia="宋体" w:hAnsi="Times New Roman" w:cs="宋体"/>
                <w:sz w:val="18"/>
                <w:szCs w:val="18"/>
              </w:rPr>
              <w:t>4</w:t>
            </w:r>
            <w:r w:rsidRPr="00F614F9">
              <w:rPr>
                <w:rFonts w:ascii="Times New Roman" w:eastAsia="宋体" w:hAnsi="Times New Roman"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34403A1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159,103,406.00</w:t>
            </w:r>
          </w:p>
        </w:tc>
        <w:tc>
          <w:tcPr>
            <w:tcW w:w="3213" w:type="dxa"/>
            <w:tcBorders>
              <w:top w:val="single" w:sz="2" w:space="0" w:color="auto"/>
              <w:left w:val="single" w:sz="2" w:space="0" w:color="auto"/>
              <w:bottom w:val="single" w:sz="2" w:space="0" w:color="auto"/>
              <w:right w:val="single" w:sz="2" w:space="0" w:color="auto"/>
            </w:tcBorders>
            <w:vAlign w:val="center"/>
          </w:tcPr>
          <w:p w14:paraId="1F00569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221,912.50</w:t>
            </w:r>
          </w:p>
        </w:tc>
      </w:tr>
      <w:tr w:rsidR="001D26E7" w:rsidRPr="00F614F9" w14:paraId="4BC3DA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1D40C8"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4</w:t>
            </w:r>
            <w:r w:rsidRPr="00F614F9">
              <w:rPr>
                <w:rFonts w:ascii="Times New Roman" w:eastAsia="宋体" w:hAnsi="Times New Roman" w:cs="宋体"/>
                <w:sz w:val="18"/>
                <w:szCs w:val="18"/>
              </w:rPr>
              <w:t>至</w:t>
            </w:r>
            <w:r w:rsidRPr="00F614F9">
              <w:rPr>
                <w:rFonts w:ascii="Times New Roman" w:eastAsia="宋体" w:hAnsi="Times New Roman" w:cs="宋体"/>
                <w:sz w:val="18"/>
                <w:szCs w:val="18"/>
              </w:rPr>
              <w:t>5</w:t>
            </w:r>
            <w:r w:rsidRPr="00F614F9">
              <w:rPr>
                <w:rFonts w:ascii="Times New Roman" w:eastAsia="宋体" w:hAnsi="Times New Roman"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2B4AF95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27,181,912.50</w:t>
            </w:r>
          </w:p>
        </w:tc>
        <w:tc>
          <w:tcPr>
            <w:tcW w:w="3213" w:type="dxa"/>
            <w:tcBorders>
              <w:top w:val="single" w:sz="2" w:space="0" w:color="auto"/>
              <w:left w:val="single" w:sz="2" w:space="0" w:color="auto"/>
              <w:bottom w:val="single" w:sz="2" w:space="0" w:color="auto"/>
              <w:right w:val="single" w:sz="2" w:space="0" w:color="auto"/>
            </w:tcBorders>
            <w:vAlign w:val="center"/>
          </w:tcPr>
          <w:p w14:paraId="764B8F4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392,476.02</w:t>
            </w:r>
          </w:p>
        </w:tc>
      </w:tr>
      <w:tr w:rsidR="001D26E7" w:rsidRPr="00F614F9" w14:paraId="2D3A230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9B8C07"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5</w:t>
            </w:r>
            <w:r w:rsidRPr="00F614F9">
              <w:rPr>
                <w:rFonts w:ascii="Times New Roman" w:eastAsia="宋体" w:hAnsi="Times New Roman" w:cs="宋体"/>
                <w:sz w:val="18"/>
                <w:szCs w:val="18"/>
              </w:rPr>
              <w:t>年以上</w:t>
            </w:r>
          </w:p>
        </w:tc>
        <w:tc>
          <w:tcPr>
            <w:tcW w:w="3213" w:type="dxa"/>
            <w:tcBorders>
              <w:top w:val="single" w:sz="2" w:space="0" w:color="auto"/>
              <w:left w:val="single" w:sz="2" w:space="0" w:color="auto"/>
              <w:bottom w:val="single" w:sz="2" w:space="0" w:color="auto"/>
              <w:right w:val="single" w:sz="2" w:space="0" w:color="auto"/>
            </w:tcBorders>
            <w:vAlign w:val="center"/>
          </w:tcPr>
          <w:p w14:paraId="7157B54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1,173,486.02</w:t>
            </w:r>
          </w:p>
        </w:tc>
        <w:tc>
          <w:tcPr>
            <w:tcW w:w="3213" w:type="dxa"/>
            <w:tcBorders>
              <w:top w:val="single" w:sz="2" w:space="0" w:color="auto"/>
              <w:left w:val="single" w:sz="2" w:space="0" w:color="auto"/>
              <w:bottom w:val="single" w:sz="2" w:space="0" w:color="auto"/>
              <w:right w:val="single" w:sz="2" w:space="0" w:color="auto"/>
            </w:tcBorders>
            <w:vAlign w:val="center"/>
          </w:tcPr>
          <w:p w14:paraId="4CD1F1E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888,760.00</w:t>
            </w:r>
          </w:p>
        </w:tc>
      </w:tr>
      <w:tr w:rsidR="001D26E7" w:rsidRPr="00F614F9" w14:paraId="03B020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5EA3E7"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BC29F0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1,155,283,135.39</w:t>
            </w:r>
          </w:p>
        </w:tc>
        <w:tc>
          <w:tcPr>
            <w:tcW w:w="3213" w:type="dxa"/>
            <w:tcBorders>
              <w:top w:val="single" w:sz="2" w:space="0" w:color="auto"/>
              <w:left w:val="single" w:sz="2" w:space="0" w:color="auto"/>
              <w:bottom w:val="single" w:sz="2" w:space="0" w:color="auto"/>
              <w:right w:val="single" w:sz="2" w:space="0" w:color="auto"/>
            </w:tcBorders>
            <w:vAlign w:val="center"/>
          </w:tcPr>
          <w:p w14:paraId="445B754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1,393,126,394.30</w:t>
            </w:r>
          </w:p>
        </w:tc>
      </w:tr>
    </w:tbl>
    <w:p w14:paraId="16CE6AD0" w14:textId="77777777" w:rsidR="001D26E7" w:rsidRPr="00F614F9" w:rsidRDefault="00000000">
      <w:pPr>
        <w:keepNext/>
        <w:keepLines/>
        <w:spacing w:before="300" w:after="300" w:line="280" w:lineRule="exact"/>
        <w:outlineLvl w:val="4"/>
        <w:rPr>
          <w:rFonts w:ascii="Times New Roman" w:eastAsia="宋体" w:hAnsi="Times New Roman" w:cs="宋体"/>
          <w:b/>
          <w:bCs/>
          <w:sz w:val="18"/>
          <w:szCs w:val="18"/>
        </w:rPr>
      </w:pPr>
      <w:bookmarkStart w:id="658" w:name="_Toc989496"/>
      <w:r w:rsidRPr="00F614F9">
        <w:rPr>
          <w:rFonts w:ascii="Times New Roman" w:eastAsia="宋体" w:hAnsi="Times New Roman" w:cs="宋体"/>
          <w:b/>
          <w:bCs/>
          <w:sz w:val="18"/>
          <w:szCs w:val="18"/>
        </w:rPr>
        <w:t>3</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按坏账计提方法分类披露</w:t>
      </w:r>
      <w:bookmarkEnd w:id="658"/>
    </w:p>
    <w:p w14:paraId="07E45D98"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75"/>
        <w:gridCol w:w="876"/>
        <w:gridCol w:w="877"/>
        <w:gridCol w:w="876"/>
        <w:gridCol w:w="877"/>
        <w:gridCol w:w="876"/>
        <w:gridCol w:w="876"/>
        <w:gridCol w:w="877"/>
        <w:gridCol w:w="876"/>
        <w:gridCol w:w="877"/>
        <w:gridCol w:w="876"/>
      </w:tblGrid>
      <w:tr w:rsidR="001D26E7" w:rsidRPr="00F614F9" w14:paraId="5A2BDB09" w14:textId="77777777">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EE7544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6B9818C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44FA877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4679D0A9"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F7EDD4E" w14:textId="77777777" w:rsidR="001D26E7" w:rsidRPr="00F614F9" w:rsidRDefault="001D26E7">
            <w:pPr>
              <w:rPr>
                <w:rFonts w:ascii="Times New Roman" w:hAnsi="Times New Roman"/>
              </w:rPr>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0FCEEE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265C72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5969FC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E7B6E8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04B17F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BE3352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r>
      <w:tr w:rsidR="001D26E7" w:rsidRPr="00F614F9" w14:paraId="6AC4BB5C"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A46BA89"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66EFD2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AF188E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F1E867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119A76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037CCEC"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7BD3D8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1EEE61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4FE166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2AF99E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5B1382C" w14:textId="77777777" w:rsidR="001D26E7" w:rsidRPr="00F614F9" w:rsidRDefault="001D26E7">
            <w:pPr>
              <w:rPr>
                <w:rFonts w:ascii="Times New Roman" w:hAnsi="Times New Roman"/>
              </w:rPr>
            </w:pPr>
          </w:p>
        </w:tc>
      </w:tr>
      <w:tr w:rsidR="001D26E7" w:rsidRPr="00F614F9" w14:paraId="1576195B"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854AE49"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3AEF5B9"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A156D75"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31504A2"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85FA09A"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7A12769"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C71BD76"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27E3B4B"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FB5ADDF"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7DC2725"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3D675E8" w14:textId="77777777" w:rsidR="001D26E7" w:rsidRPr="00F614F9" w:rsidRDefault="001D26E7">
            <w:pPr>
              <w:rPr>
                <w:rFonts w:ascii="Times New Roman" w:hAnsi="Times New Roman"/>
              </w:rPr>
            </w:pPr>
          </w:p>
        </w:tc>
      </w:tr>
      <w:tr w:rsidR="001D26E7" w:rsidRPr="00F614F9" w14:paraId="3FAB0F39"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EB763E4" w14:textId="77777777" w:rsidR="001D26E7" w:rsidRPr="00F614F9" w:rsidRDefault="00000000">
            <w:pPr>
              <w:spacing w:before="40" w:after="40" w:line="240" w:lineRule="exact"/>
              <w:ind w:firstLineChars="100" w:firstLine="180"/>
              <w:rPr>
                <w:rFonts w:ascii="Times New Roman" w:eastAsia="宋体" w:hAnsi="Times New Roman" w:cs="宋体"/>
                <w:sz w:val="18"/>
                <w:szCs w:val="18"/>
              </w:rPr>
            </w:pPr>
            <w:r w:rsidRPr="00F614F9">
              <w:rPr>
                <w:rFonts w:ascii="Times New Roman" w:eastAsia="宋体" w:hAnsi="Times New Roman"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C8005A3"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664EF98"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9486899"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9E168E9"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7827662"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30448E0"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66C607D"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6BE6E36"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296CD15" w14:textId="77777777" w:rsidR="001D26E7" w:rsidRPr="00F614F9" w:rsidRDefault="001D26E7">
            <w:pPr>
              <w:rPr>
                <w:rFonts w:ascii="Times New Roman" w:hAnsi="Times New Roman"/>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E4672B4" w14:textId="77777777" w:rsidR="001D26E7" w:rsidRPr="00F614F9" w:rsidRDefault="001D26E7">
            <w:pPr>
              <w:rPr>
                <w:rFonts w:ascii="Times New Roman" w:hAnsi="Times New Roman"/>
              </w:rPr>
            </w:pPr>
          </w:p>
        </w:tc>
      </w:tr>
    </w:tbl>
    <w:p w14:paraId="2073E184"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按预期信用损失一般模型计提坏账准备：</w:t>
      </w:r>
    </w:p>
    <w:p w14:paraId="189F3655"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1D26E7" w:rsidRPr="00F614F9" w14:paraId="7419E6A9"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EF4294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7DF7C4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3B0801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52E142C"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3C8A97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合计</w:t>
            </w:r>
          </w:p>
        </w:tc>
      </w:tr>
      <w:tr w:rsidR="001D26E7" w:rsidRPr="00F614F9" w14:paraId="6BF2BA8C"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0B2D6A9" w14:textId="77777777" w:rsidR="001D26E7" w:rsidRPr="00F614F9" w:rsidRDefault="001D26E7">
            <w:pPr>
              <w:rPr>
                <w:rFonts w:ascii="Times New Roman" w:hAnsi="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7E1CF3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未来</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CD71ED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3C6D7E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E548803" w14:textId="77777777" w:rsidR="001D26E7" w:rsidRPr="00F614F9" w:rsidRDefault="001D26E7">
            <w:pPr>
              <w:rPr>
                <w:rFonts w:ascii="Times New Roman" w:hAnsi="Times New Roman"/>
              </w:rPr>
            </w:pPr>
          </w:p>
        </w:tc>
      </w:tr>
      <w:tr w:rsidR="001D26E7" w:rsidRPr="00F614F9" w14:paraId="26E3367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9EB766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日余额</w:t>
            </w:r>
          </w:p>
        </w:tc>
        <w:tc>
          <w:tcPr>
            <w:tcW w:w="1928" w:type="dxa"/>
            <w:tcBorders>
              <w:top w:val="single" w:sz="2" w:space="0" w:color="auto"/>
              <w:left w:val="single" w:sz="2" w:space="0" w:color="auto"/>
              <w:bottom w:val="single" w:sz="2" w:space="0" w:color="auto"/>
              <w:right w:val="single" w:sz="2" w:space="0" w:color="auto"/>
            </w:tcBorders>
            <w:vAlign w:val="center"/>
          </w:tcPr>
          <w:p w14:paraId="392B579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117,520,382.95</w:t>
            </w:r>
          </w:p>
        </w:tc>
        <w:tc>
          <w:tcPr>
            <w:tcW w:w="1928" w:type="dxa"/>
            <w:tcBorders>
              <w:top w:val="single" w:sz="2" w:space="0" w:color="auto"/>
              <w:left w:val="single" w:sz="2" w:space="0" w:color="auto"/>
              <w:bottom w:val="single" w:sz="2" w:space="0" w:color="auto"/>
              <w:right w:val="single" w:sz="2" w:space="0" w:color="auto"/>
            </w:tcBorders>
            <w:vAlign w:val="center"/>
          </w:tcPr>
          <w:p w14:paraId="4ECD1353"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C6B4992"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AF2278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117,520,382.95</w:t>
            </w:r>
          </w:p>
        </w:tc>
      </w:tr>
      <w:tr w:rsidR="001D26E7" w:rsidRPr="00F614F9" w14:paraId="41B20BF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5AC6311"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1617118" w14:textId="77777777" w:rsidR="001D26E7" w:rsidRPr="00F614F9" w:rsidRDefault="001D26E7">
            <w:pPr>
              <w:rPr>
                <w:rFonts w:ascii="Times New Roman" w:hAnsi="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23C918A" w14:textId="77777777" w:rsidR="001D26E7" w:rsidRPr="00F614F9" w:rsidRDefault="001D26E7">
            <w:pPr>
              <w:rPr>
                <w:rFonts w:ascii="Times New Roman" w:hAnsi="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8A843A9" w14:textId="77777777" w:rsidR="001D26E7" w:rsidRPr="00F614F9" w:rsidRDefault="001D26E7">
            <w:pPr>
              <w:rPr>
                <w:rFonts w:ascii="Times New Roman" w:hAnsi="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A386CC8" w14:textId="77777777" w:rsidR="001D26E7" w:rsidRPr="00F614F9" w:rsidRDefault="001D26E7">
            <w:pPr>
              <w:rPr>
                <w:rFonts w:ascii="Times New Roman" w:hAnsi="Times New Roman"/>
              </w:rPr>
            </w:pPr>
          </w:p>
        </w:tc>
      </w:tr>
      <w:tr w:rsidR="001D26E7" w:rsidRPr="00F614F9" w14:paraId="25371D66"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681343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w:t>
            </w:r>
            <w:r w:rsidRPr="00F614F9">
              <w:rPr>
                <w:rFonts w:ascii="Times New Roman" w:eastAsia="宋体" w:hAnsi="Times New Roman" w:cs="宋体"/>
                <w:sz w:val="18"/>
                <w:szCs w:val="18"/>
              </w:rPr>
              <w:t>转入第三阶段</w:t>
            </w:r>
          </w:p>
        </w:tc>
        <w:tc>
          <w:tcPr>
            <w:tcW w:w="1928" w:type="dxa"/>
            <w:tcBorders>
              <w:top w:val="single" w:sz="2" w:space="0" w:color="auto"/>
              <w:left w:val="single" w:sz="2" w:space="0" w:color="auto"/>
              <w:bottom w:val="single" w:sz="2" w:space="0" w:color="auto"/>
              <w:right w:val="single" w:sz="2" w:space="0" w:color="auto"/>
            </w:tcBorders>
            <w:vAlign w:val="center"/>
          </w:tcPr>
          <w:p w14:paraId="05BCA14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-114,424,806.04</w:t>
            </w:r>
          </w:p>
        </w:tc>
        <w:tc>
          <w:tcPr>
            <w:tcW w:w="1928" w:type="dxa"/>
            <w:tcBorders>
              <w:top w:val="single" w:sz="2" w:space="0" w:color="auto"/>
              <w:left w:val="single" w:sz="2" w:space="0" w:color="auto"/>
              <w:bottom w:val="single" w:sz="2" w:space="0" w:color="auto"/>
              <w:right w:val="single" w:sz="2" w:space="0" w:color="auto"/>
            </w:tcBorders>
            <w:vAlign w:val="center"/>
          </w:tcPr>
          <w:p w14:paraId="30851530"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C8AA2D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114,424,806.04</w:t>
            </w:r>
          </w:p>
        </w:tc>
        <w:tc>
          <w:tcPr>
            <w:tcW w:w="1928" w:type="dxa"/>
            <w:tcBorders>
              <w:top w:val="single" w:sz="2" w:space="0" w:color="auto"/>
              <w:left w:val="single" w:sz="2" w:space="0" w:color="auto"/>
              <w:bottom w:val="single" w:sz="2" w:space="0" w:color="auto"/>
              <w:right w:val="single" w:sz="2" w:space="0" w:color="auto"/>
            </w:tcBorders>
            <w:vAlign w:val="center"/>
          </w:tcPr>
          <w:p w14:paraId="6D95C1C2"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AF92D76"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E6F9783"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14:paraId="2A14650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4,575,563.20</w:t>
            </w:r>
          </w:p>
        </w:tc>
        <w:tc>
          <w:tcPr>
            <w:tcW w:w="1928" w:type="dxa"/>
            <w:tcBorders>
              <w:top w:val="single" w:sz="2" w:space="0" w:color="auto"/>
              <w:left w:val="single" w:sz="2" w:space="0" w:color="auto"/>
              <w:bottom w:val="single" w:sz="2" w:space="0" w:color="auto"/>
              <w:right w:val="single" w:sz="2" w:space="0" w:color="auto"/>
            </w:tcBorders>
            <w:vAlign w:val="center"/>
          </w:tcPr>
          <w:p w14:paraId="6B751269"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55047E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517,819,505.14</w:t>
            </w:r>
          </w:p>
        </w:tc>
        <w:tc>
          <w:tcPr>
            <w:tcW w:w="1928" w:type="dxa"/>
            <w:tcBorders>
              <w:top w:val="single" w:sz="2" w:space="0" w:color="auto"/>
              <w:left w:val="single" w:sz="2" w:space="0" w:color="auto"/>
              <w:bottom w:val="single" w:sz="2" w:space="0" w:color="auto"/>
              <w:right w:val="single" w:sz="2" w:space="0" w:color="auto"/>
            </w:tcBorders>
            <w:vAlign w:val="center"/>
          </w:tcPr>
          <w:p w14:paraId="73E3F34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522,395,068.34</w:t>
            </w:r>
          </w:p>
        </w:tc>
      </w:tr>
      <w:tr w:rsidR="001D26E7" w:rsidRPr="00F614F9" w14:paraId="4D3E79F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451B7C0"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2023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31</w:t>
            </w:r>
            <w:r w:rsidRPr="00F614F9">
              <w:rPr>
                <w:rFonts w:ascii="Times New Roman" w:eastAsia="宋体" w:hAnsi="Times New Roman" w:cs="宋体"/>
                <w:sz w:val="18"/>
                <w:szCs w:val="18"/>
              </w:rPr>
              <w:t>日余额</w:t>
            </w:r>
          </w:p>
        </w:tc>
        <w:tc>
          <w:tcPr>
            <w:tcW w:w="1928" w:type="dxa"/>
            <w:tcBorders>
              <w:top w:val="single" w:sz="2" w:space="0" w:color="auto"/>
              <w:left w:val="single" w:sz="2" w:space="0" w:color="auto"/>
              <w:bottom w:val="single" w:sz="2" w:space="0" w:color="auto"/>
              <w:right w:val="single" w:sz="2" w:space="0" w:color="auto"/>
            </w:tcBorders>
            <w:vAlign w:val="center"/>
          </w:tcPr>
          <w:p w14:paraId="1E02F6D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7,671,140.11</w:t>
            </w:r>
          </w:p>
        </w:tc>
        <w:tc>
          <w:tcPr>
            <w:tcW w:w="1928" w:type="dxa"/>
            <w:tcBorders>
              <w:top w:val="single" w:sz="2" w:space="0" w:color="auto"/>
              <w:left w:val="single" w:sz="2" w:space="0" w:color="auto"/>
              <w:bottom w:val="single" w:sz="2" w:space="0" w:color="auto"/>
              <w:right w:val="single" w:sz="2" w:space="0" w:color="auto"/>
            </w:tcBorders>
            <w:vAlign w:val="center"/>
          </w:tcPr>
          <w:p w14:paraId="72C4C237" w14:textId="77777777" w:rsidR="001D26E7" w:rsidRPr="00F614F9" w:rsidRDefault="001D26E7">
            <w:pPr>
              <w:spacing w:line="240" w:lineRule="exact"/>
              <w:jc w:val="right"/>
              <w:rPr>
                <w:rFonts w:ascii="Times New Roman" w:eastAsia="宋体" w:hAnsi="Times New Roman"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15B9A9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632,244,311.18</w:t>
            </w:r>
          </w:p>
        </w:tc>
        <w:tc>
          <w:tcPr>
            <w:tcW w:w="1928" w:type="dxa"/>
            <w:tcBorders>
              <w:top w:val="single" w:sz="2" w:space="0" w:color="auto"/>
              <w:left w:val="single" w:sz="2" w:space="0" w:color="auto"/>
              <w:bottom w:val="single" w:sz="2" w:space="0" w:color="auto"/>
              <w:right w:val="single" w:sz="2" w:space="0" w:color="auto"/>
            </w:tcBorders>
            <w:vAlign w:val="center"/>
          </w:tcPr>
          <w:p w14:paraId="324647D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639,915,451.29</w:t>
            </w:r>
          </w:p>
        </w:tc>
      </w:tr>
    </w:tbl>
    <w:p w14:paraId="70D9D7ED"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各阶段划分依据和坏账准备计提比例</w:t>
      </w:r>
    </w:p>
    <w:p w14:paraId="703D8380" w14:textId="77777777" w:rsidR="00872599" w:rsidRPr="00F614F9" w:rsidRDefault="00000000">
      <w:pPr>
        <w:pStyle w:val="a3"/>
        <w:divId w:val="54210311"/>
        <w:rPr>
          <w:rFonts w:ascii="Times New Roman" w:hAnsi="Times New Roman"/>
          <w:sz w:val="18"/>
          <w:szCs w:val="18"/>
        </w:rPr>
      </w:pPr>
      <w:r w:rsidRPr="00F614F9">
        <w:rPr>
          <w:rFonts w:ascii="Times New Roman" w:hAnsi="Times New Roman" w:hint="eastAsia"/>
          <w:sz w:val="18"/>
          <w:szCs w:val="18"/>
        </w:rPr>
        <w:t>无</w:t>
      </w:r>
    </w:p>
    <w:p w14:paraId="02EAAEA1"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损失准备本期变动金额重大的账面余额变动情况</w:t>
      </w:r>
    </w:p>
    <w:p w14:paraId="003A03F9"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lastRenderedPageBreak/>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CB724C0" w14:textId="77777777" w:rsidR="001D26E7" w:rsidRPr="00F614F9" w:rsidRDefault="00000000">
      <w:pPr>
        <w:keepNext/>
        <w:keepLines/>
        <w:spacing w:before="300" w:after="300" w:line="280" w:lineRule="exact"/>
        <w:outlineLvl w:val="4"/>
        <w:rPr>
          <w:rFonts w:ascii="Times New Roman" w:eastAsia="宋体" w:hAnsi="Times New Roman" w:cs="宋体"/>
          <w:b/>
          <w:bCs/>
          <w:sz w:val="18"/>
          <w:szCs w:val="18"/>
        </w:rPr>
      </w:pPr>
      <w:bookmarkStart w:id="659" w:name="_Toc989497"/>
      <w:r w:rsidRPr="00F614F9">
        <w:rPr>
          <w:rFonts w:ascii="Times New Roman" w:eastAsia="宋体" w:hAnsi="Times New Roman" w:cs="宋体"/>
          <w:b/>
          <w:bCs/>
          <w:sz w:val="18"/>
          <w:szCs w:val="18"/>
        </w:rPr>
        <w:t>4</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本期计提、收回或转回的坏账准备情况</w:t>
      </w:r>
      <w:bookmarkEnd w:id="659"/>
    </w:p>
    <w:p w14:paraId="2909BA8E"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本期计提坏账准备情况：</w:t>
      </w:r>
    </w:p>
    <w:p w14:paraId="754696E0"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1D26E7" w:rsidRPr="00F614F9" w14:paraId="3FC4D9D7"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016FF8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D564E2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302675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E4387F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r>
      <w:tr w:rsidR="001D26E7" w:rsidRPr="00F614F9" w14:paraId="1CC19F67"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DE5DA47" w14:textId="77777777" w:rsidR="001D26E7" w:rsidRPr="00F614F9" w:rsidRDefault="001D26E7">
            <w:pPr>
              <w:rPr>
                <w:rFonts w:ascii="Times New Roman" w:hAnsi="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5F3D970" w14:textId="77777777" w:rsidR="001D26E7" w:rsidRPr="00F614F9" w:rsidRDefault="001D26E7">
            <w:pPr>
              <w:rPr>
                <w:rFonts w:ascii="Times New Roman" w:hAnsi="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6E9A37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C2FBC0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E4C54A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15909F3"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FDF836C" w14:textId="77777777" w:rsidR="001D26E7" w:rsidRPr="00F614F9" w:rsidRDefault="001D26E7">
            <w:pPr>
              <w:rPr>
                <w:rFonts w:ascii="Times New Roman" w:hAnsi="Times New Roman"/>
              </w:rPr>
            </w:pPr>
          </w:p>
        </w:tc>
      </w:tr>
      <w:tr w:rsidR="001D26E7" w:rsidRPr="00F614F9" w14:paraId="7B376431"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B0CEBB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其他应收款</w:t>
            </w:r>
          </w:p>
        </w:tc>
        <w:tc>
          <w:tcPr>
            <w:tcW w:w="1377" w:type="dxa"/>
            <w:tcBorders>
              <w:top w:val="single" w:sz="2" w:space="0" w:color="auto"/>
              <w:left w:val="single" w:sz="2" w:space="0" w:color="auto"/>
              <w:bottom w:val="single" w:sz="2" w:space="0" w:color="auto"/>
              <w:right w:val="single" w:sz="2" w:space="0" w:color="auto"/>
            </w:tcBorders>
            <w:vAlign w:val="center"/>
          </w:tcPr>
          <w:p w14:paraId="49BC89C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117,520,382.95</w:t>
            </w:r>
          </w:p>
        </w:tc>
        <w:tc>
          <w:tcPr>
            <w:tcW w:w="1377" w:type="dxa"/>
            <w:tcBorders>
              <w:top w:val="single" w:sz="2" w:space="0" w:color="auto"/>
              <w:left w:val="single" w:sz="2" w:space="0" w:color="auto"/>
              <w:bottom w:val="single" w:sz="2" w:space="0" w:color="auto"/>
              <w:right w:val="single" w:sz="2" w:space="0" w:color="auto"/>
            </w:tcBorders>
            <w:vAlign w:val="center"/>
          </w:tcPr>
          <w:p w14:paraId="60FE622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522,395,068.34</w:t>
            </w:r>
          </w:p>
        </w:tc>
        <w:tc>
          <w:tcPr>
            <w:tcW w:w="1377" w:type="dxa"/>
            <w:tcBorders>
              <w:top w:val="single" w:sz="2" w:space="0" w:color="auto"/>
              <w:left w:val="single" w:sz="2" w:space="0" w:color="auto"/>
              <w:bottom w:val="single" w:sz="2" w:space="0" w:color="auto"/>
              <w:right w:val="single" w:sz="2" w:space="0" w:color="auto"/>
            </w:tcBorders>
            <w:vAlign w:val="center"/>
          </w:tcPr>
          <w:p w14:paraId="1A0810E4"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27CC070"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6EF58B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72B17A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639,915,451.29</w:t>
            </w:r>
          </w:p>
        </w:tc>
      </w:tr>
      <w:tr w:rsidR="001D26E7" w:rsidRPr="00F614F9" w14:paraId="1C4F0D8F"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70B95A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3279DAA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117,520,382.95</w:t>
            </w:r>
          </w:p>
        </w:tc>
        <w:tc>
          <w:tcPr>
            <w:tcW w:w="1377" w:type="dxa"/>
            <w:tcBorders>
              <w:top w:val="single" w:sz="2" w:space="0" w:color="auto"/>
              <w:left w:val="single" w:sz="2" w:space="0" w:color="auto"/>
              <w:bottom w:val="single" w:sz="2" w:space="0" w:color="auto"/>
              <w:right w:val="single" w:sz="2" w:space="0" w:color="auto"/>
            </w:tcBorders>
            <w:vAlign w:val="center"/>
          </w:tcPr>
          <w:p w14:paraId="07C5F31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522,395,068.34</w:t>
            </w:r>
          </w:p>
        </w:tc>
        <w:tc>
          <w:tcPr>
            <w:tcW w:w="1377" w:type="dxa"/>
            <w:tcBorders>
              <w:top w:val="single" w:sz="2" w:space="0" w:color="auto"/>
              <w:left w:val="single" w:sz="2" w:space="0" w:color="auto"/>
              <w:bottom w:val="single" w:sz="2" w:space="0" w:color="auto"/>
              <w:right w:val="single" w:sz="2" w:space="0" w:color="auto"/>
            </w:tcBorders>
            <w:vAlign w:val="center"/>
          </w:tcPr>
          <w:p w14:paraId="500C6D16"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7C1BEC3"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EBFE32E" w14:textId="77777777" w:rsidR="001D26E7" w:rsidRPr="00F614F9" w:rsidRDefault="001D26E7">
            <w:pPr>
              <w:spacing w:line="240" w:lineRule="exact"/>
              <w:jc w:val="right"/>
              <w:rPr>
                <w:rFonts w:ascii="Times New Roman" w:eastAsia="宋体" w:hAnsi="Times New Roman"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27B393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639,915,451.29</w:t>
            </w:r>
          </w:p>
        </w:tc>
      </w:tr>
    </w:tbl>
    <w:p w14:paraId="1FC7F63A" w14:textId="77777777" w:rsidR="001D26E7" w:rsidRPr="00F614F9" w:rsidRDefault="001D26E7">
      <w:pPr>
        <w:spacing w:before="100" w:after="100" w:line="0" w:lineRule="atLeast"/>
        <w:rPr>
          <w:rFonts w:ascii="Times New Roman" w:hAnsi="Times New Roman"/>
        </w:rPr>
      </w:pPr>
    </w:p>
    <w:p w14:paraId="553DC94A" w14:textId="77777777" w:rsidR="00872599" w:rsidRPr="00F614F9" w:rsidRDefault="00000000">
      <w:pPr>
        <w:pStyle w:val="a3"/>
        <w:divId w:val="706759457"/>
        <w:rPr>
          <w:rFonts w:ascii="Times New Roman" w:hAnsi="Times New Roman"/>
          <w:sz w:val="18"/>
          <w:szCs w:val="18"/>
        </w:rPr>
      </w:pPr>
      <w:r w:rsidRPr="00F614F9">
        <w:rPr>
          <w:rFonts w:ascii="Times New Roman" w:hAnsi="Times New Roman" w:hint="eastAsia"/>
          <w:sz w:val="18"/>
          <w:szCs w:val="18"/>
        </w:rPr>
        <w:t>无</w:t>
      </w:r>
    </w:p>
    <w:p w14:paraId="3E5FFAE4"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其中本期坏账准备转回或收回金额重要的：</w:t>
      </w:r>
    </w:p>
    <w:p w14:paraId="0328E2F6" w14:textId="77777777" w:rsidR="00872599" w:rsidRPr="00F614F9" w:rsidRDefault="00000000">
      <w:pPr>
        <w:pStyle w:val="a3"/>
        <w:divId w:val="1854413459"/>
        <w:rPr>
          <w:rFonts w:ascii="Times New Roman" w:hAnsi="Times New Roman"/>
          <w:sz w:val="18"/>
          <w:szCs w:val="18"/>
        </w:rPr>
      </w:pPr>
      <w:r w:rsidRPr="00F614F9">
        <w:rPr>
          <w:rFonts w:ascii="Times New Roman" w:hAnsi="Times New Roman" w:hint="eastAsia"/>
          <w:sz w:val="18"/>
          <w:szCs w:val="18"/>
        </w:rPr>
        <w:t>无</w:t>
      </w:r>
    </w:p>
    <w:p w14:paraId="52979A95" w14:textId="77777777" w:rsidR="001D26E7" w:rsidRPr="00F614F9" w:rsidRDefault="00000000">
      <w:pPr>
        <w:keepNext/>
        <w:keepLines/>
        <w:spacing w:before="300" w:after="300" w:line="280" w:lineRule="exact"/>
        <w:outlineLvl w:val="4"/>
        <w:rPr>
          <w:rFonts w:ascii="Times New Roman" w:eastAsia="宋体" w:hAnsi="Times New Roman" w:cs="宋体"/>
          <w:b/>
          <w:bCs/>
          <w:sz w:val="18"/>
          <w:szCs w:val="18"/>
        </w:rPr>
      </w:pPr>
      <w:bookmarkStart w:id="660" w:name="_Toc989498"/>
      <w:r w:rsidRPr="00F614F9">
        <w:rPr>
          <w:rFonts w:ascii="Times New Roman" w:eastAsia="宋体" w:hAnsi="Times New Roman" w:cs="宋体"/>
          <w:b/>
          <w:bCs/>
          <w:sz w:val="18"/>
          <w:szCs w:val="18"/>
        </w:rPr>
        <w:t>5</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本期实际核销的其他应收款情况</w:t>
      </w:r>
      <w:bookmarkEnd w:id="660"/>
    </w:p>
    <w:p w14:paraId="1D122E36" w14:textId="77777777" w:rsidR="00872599" w:rsidRPr="00F614F9" w:rsidRDefault="00000000">
      <w:pPr>
        <w:pStyle w:val="a3"/>
        <w:divId w:val="392198898"/>
        <w:rPr>
          <w:rFonts w:ascii="Times New Roman" w:hAnsi="Times New Roman"/>
          <w:sz w:val="18"/>
          <w:szCs w:val="18"/>
        </w:rPr>
      </w:pPr>
      <w:r w:rsidRPr="00F614F9">
        <w:rPr>
          <w:rFonts w:ascii="Times New Roman" w:hAnsi="Times New Roman" w:hint="eastAsia"/>
          <w:sz w:val="18"/>
          <w:szCs w:val="18"/>
        </w:rPr>
        <w:t>无</w:t>
      </w:r>
    </w:p>
    <w:p w14:paraId="5D837D32" w14:textId="77777777" w:rsidR="001D26E7" w:rsidRPr="00F614F9" w:rsidRDefault="00000000">
      <w:pPr>
        <w:keepNext/>
        <w:keepLines/>
        <w:spacing w:before="300" w:after="300" w:line="280" w:lineRule="exact"/>
        <w:outlineLvl w:val="4"/>
        <w:rPr>
          <w:rFonts w:ascii="Times New Roman" w:eastAsia="宋体" w:hAnsi="Times New Roman" w:cs="宋体"/>
          <w:b/>
          <w:bCs/>
          <w:sz w:val="18"/>
          <w:szCs w:val="18"/>
        </w:rPr>
      </w:pPr>
      <w:bookmarkStart w:id="661" w:name="_Toc989499"/>
      <w:r w:rsidRPr="00F614F9">
        <w:rPr>
          <w:rFonts w:ascii="Times New Roman" w:eastAsia="宋体" w:hAnsi="Times New Roman" w:cs="宋体"/>
          <w:b/>
          <w:bCs/>
          <w:sz w:val="18"/>
          <w:szCs w:val="18"/>
        </w:rPr>
        <w:t>6</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按欠款方归集的期末余额前五名的其他应收款情况</w:t>
      </w:r>
      <w:bookmarkEnd w:id="661"/>
    </w:p>
    <w:p w14:paraId="1866CE1E"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1D26E7" w:rsidRPr="00F614F9" w14:paraId="65B15ACF"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AFE1E6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1E1368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7F59C1A"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472811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7CF1BB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F66CC1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坏账准备期末余额</w:t>
            </w:r>
          </w:p>
        </w:tc>
      </w:tr>
      <w:tr w:rsidR="001D26E7" w:rsidRPr="00F614F9" w14:paraId="2B6DFCE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FF5B514"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青岛中和盛杰食品有限公司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7030A01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应收关联方款项</w:t>
            </w:r>
          </w:p>
        </w:tc>
        <w:tc>
          <w:tcPr>
            <w:tcW w:w="1606" w:type="dxa"/>
            <w:tcBorders>
              <w:top w:val="single" w:sz="2" w:space="0" w:color="auto"/>
              <w:left w:val="single" w:sz="2" w:space="0" w:color="auto"/>
              <w:bottom w:val="single" w:sz="2" w:space="0" w:color="auto"/>
              <w:right w:val="single" w:sz="2" w:space="0" w:color="auto"/>
            </w:tcBorders>
            <w:vAlign w:val="center"/>
          </w:tcPr>
          <w:p w14:paraId="147AC52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462,000,000.00</w:t>
            </w:r>
          </w:p>
        </w:tc>
        <w:tc>
          <w:tcPr>
            <w:tcW w:w="1606" w:type="dxa"/>
            <w:tcBorders>
              <w:top w:val="single" w:sz="2" w:space="0" w:color="auto"/>
              <w:left w:val="single" w:sz="2" w:space="0" w:color="auto"/>
              <w:bottom w:val="single" w:sz="2" w:space="0" w:color="auto"/>
              <w:right w:val="single" w:sz="2" w:space="0" w:color="auto"/>
            </w:tcBorders>
            <w:vAlign w:val="center"/>
          </w:tcPr>
          <w:p w14:paraId="44E9927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10-12</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年以上</w:t>
            </w:r>
          </w:p>
        </w:tc>
        <w:tc>
          <w:tcPr>
            <w:tcW w:w="1606" w:type="dxa"/>
            <w:tcBorders>
              <w:top w:val="single" w:sz="2" w:space="0" w:color="auto"/>
              <w:left w:val="single" w:sz="2" w:space="0" w:color="auto"/>
              <w:bottom w:val="single" w:sz="2" w:space="0" w:color="auto"/>
              <w:right w:val="single" w:sz="2" w:space="0" w:color="auto"/>
            </w:tcBorders>
            <w:vAlign w:val="center"/>
          </w:tcPr>
          <w:p w14:paraId="4FA5261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39.99%</w:t>
            </w:r>
          </w:p>
        </w:tc>
        <w:tc>
          <w:tcPr>
            <w:tcW w:w="1606" w:type="dxa"/>
            <w:tcBorders>
              <w:top w:val="single" w:sz="2" w:space="0" w:color="auto"/>
              <w:left w:val="single" w:sz="2" w:space="0" w:color="auto"/>
              <w:bottom w:val="single" w:sz="2" w:space="0" w:color="auto"/>
              <w:right w:val="single" w:sz="2" w:space="0" w:color="auto"/>
            </w:tcBorders>
            <w:vAlign w:val="center"/>
          </w:tcPr>
          <w:p w14:paraId="0DB31D0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462,000,000.00</w:t>
            </w:r>
          </w:p>
        </w:tc>
      </w:tr>
      <w:tr w:rsidR="001D26E7" w:rsidRPr="00F614F9" w14:paraId="7440DA63"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58CBFF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黑龙江龙大养殖有限公司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73ADB64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应收关联方款项</w:t>
            </w:r>
          </w:p>
        </w:tc>
        <w:tc>
          <w:tcPr>
            <w:tcW w:w="1606" w:type="dxa"/>
            <w:tcBorders>
              <w:top w:val="single" w:sz="2" w:space="0" w:color="auto"/>
              <w:left w:val="single" w:sz="2" w:space="0" w:color="auto"/>
              <w:bottom w:val="single" w:sz="2" w:space="0" w:color="auto"/>
              <w:right w:val="single" w:sz="2" w:space="0" w:color="auto"/>
            </w:tcBorders>
            <w:vAlign w:val="center"/>
          </w:tcPr>
          <w:p w14:paraId="6A36C78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125,160,000.00</w:t>
            </w:r>
          </w:p>
        </w:tc>
        <w:tc>
          <w:tcPr>
            <w:tcW w:w="1606" w:type="dxa"/>
            <w:tcBorders>
              <w:top w:val="single" w:sz="2" w:space="0" w:color="auto"/>
              <w:left w:val="single" w:sz="2" w:space="0" w:color="auto"/>
              <w:bottom w:val="single" w:sz="2" w:space="0" w:color="auto"/>
              <w:right w:val="single" w:sz="2" w:space="0" w:color="auto"/>
            </w:tcBorders>
            <w:vAlign w:val="center"/>
          </w:tcPr>
          <w:p w14:paraId="5291DBD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2-3</w:t>
            </w:r>
            <w:r w:rsidRPr="00F614F9">
              <w:rPr>
                <w:rFonts w:ascii="Times New Roman" w:eastAsia="宋体" w:hAnsi="Times New Roman" w:cs="宋体"/>
                <w:sz w:val="18"/>
                <w:szCs w:val="18"/>
              </w:rPr>
              <w:t>年</w:t>
            </w:r>
          </w:p>
        </w:tc>
        <w:tc>
          <w:tcPr>
            <w:tcW w:w="1606" w:type="dxa"/>
            <w:tcBorders>
              <w:top w:val="single" w:sz="2" w:space="0" w:color="auto"/>
              <w:left w:val="single" w:sz="2" w:space="0" w:color="auto"/>
              <w:bottom w:val="single" w:sz="2" w:space="0" w:color="auto"/>
              <w:right w:val="single" w:sz="2" w:space="0" w:color="auto"/>
            </w:tcBorders>
            <w:vAlign w:val="center"/>
          </w:tcPr>
          <w:p w14:paraId="40AA9CD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10.83%</w:t>
            </w:r>
          </w:p>
        </w:tc>
        <w:tc>
          <w:tcPr>
            <w:tcW w:w="1606" w:type="dxa"/>
            <w:tcBorders>
              <w:top w:val="single" w:sz="2" w:space="0" w:color="auto"/>
              <w:left w:val="single" w:sz="2" w:space="0" w:color="auto"/>
              <w:bottom w:val="single" w:sz="2" w:space="0" w:color="auto"/>
              <w:right w:val="single" w:sz="2" w:space="0" w:color="auto"/>
            </w:tcBorders>
            <w:vAlign w:val="center"/>
          </w:tcPr>
          <w:p w14:paraId="6C50D679"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F68CF46"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70700A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云南福照食品有限公司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2B1B84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应收关联方款项</w:t>
            </w:r>
          </w:p>
        </w:tc>
        <w:tc>
          <w:tcPr>
            <w:tcW w:w="1606" w:type="dxa"/>
            <w:tcBorders>
              <w:top w:val="single" w:sz="2" w:space="0" w:color="auto"/>
              <w:left w:val="single" w:sz="2" w:space="0" w:color="auto"/>
              <w:bottom w:val="single" w:sz="2" w:space="0" w:color="auto"/>
              <w:right w:val="single" w:sz="2" w:space="0" w:color="auto"/>
            </w:tcBorders>
            <w:vAlign w:val="center"/>
          </w:tcPr>
          <w:p w14:paraId="56F8388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97,810,000.00</w:t>
            </w:r>
          </w:p>
        </w:tc>
        <w:tc>
          <w:tcPr>
            <w:tcW w:w="1606" w:type="dxa"/>
            <w:tcBorders>
              <w:top w:val="single" w:sz="2" w:space="0" w:color="auto"/>
              <w:left w:val="single" w:sz="2" w:space="0" w:color="auto"/>
              <w:bottom w:val="single" w:sz="2" w:space="0" w:color="auto"/>
              <w:right w:val="single" w:sz="2" w:space="0" w:color="auto"/>
            </w:tcBorders>
            <w:vAlign w:val="center"/>
          </w:tcPr>
          <w:p w14:paraId="0B9CF1E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2-3</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3</w:t>
            </w:r>
            <w:r w:rsidRPr="00F614F9">
              <w:rPr>
                <w:rFonts w:ascii="Times New Roman" w:eastAsia="宋体" w:hAnsi="Times New Roman" w:cs="宋体"/>
                <w:sz w:val="18"/>
                <w:szCs w:val="18"/>
              </w:rPr>
              <w:t>年以上</w:t>
            </w:r>
          </w:p>
        </w:tc>
        <w:tc>
          <w:tcPr>
            <w:tcW w:w="1606" w:type="dxa"/>
            <w:tcBorders>
              <w:top w:val="single" w:sz="2" w:space="0" w:color="auto"/>
              <w:left w:val="single" w:sz="2" w:space="0" w:color="auto"/>
              <w:bottom w:val="single" w:sz="2" w:space="0" w:color="auto"/>
              <w:right w:val="single" w:sz="2" w:space="0" w:color="auto"/>
            </w:tcBorders>
            <w:vAlign w:val="center"/>
          </w:tcPr>
          <w:p w14:paraId="1EF9E00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8.47%</w:t>
            </w:r>
          </w:p>
        </w:tc>
        <w:tc>
          <w:tcPr>
            <w:tcW w:w="1606" w:type="dxa"/>
            <w:tcBorders>
              <w:top w:val="single" w:sz="2" w:space="0" w:color="auto"/>
              <w:left w:val="single" w:sz="2" w:space="0" w:color="auto"/>
              <w:bottom w:val="single" w:sz="2" w:space="0" w:color="auto"/>
              <w:right w:val="single" w:sz="2" w:space="0" w:color="auto"/>
            </w:tcBorders>
            <w:vAlign w:val="center"/>
          </w:tcPr>
          <w:p w14:paraId="73131DB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97,810,000.00</w:t>
            </w:r>
          </w:p>
        </w:tc>
      </w:tr>
      <w:tr w:rsidR="001D26E7" w:rsidRPr="00F614F9" w14:paraId="75AEAE9B"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2E494C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潍坊振</w:t>
            </w:r>
            <w:proofErr w:type="gramStart"/>
            <w:r w:rsidRPr="00F614F9">
              <w:rPr>
                <w:rFonts w:ascii="Times New Roman" w:eastAsia="宋体" w:hAnsi="Times New Roman" w:cs="宋体"/>
                <w:sz w:val="18"/>
                <w:szCs w:val="18"/>
              </w:rPr>
              <w:t>祥</w:t>
            </w:r>
            <w:proofErr w:type="gramEnd"/>
            <w:r w:rsidRPr="00F614F9">
              <w:rPr>
                <w:rFonts w:ascii="Times New Roman" w:eastAsia="宋体" w:hAnsi="Times New Roman" w:cs="宋体"/>
                <w:sz w:val="18"/>
                <w:szCs w:val="18"/>
              </w:rPr>
              <w:t>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062BB8A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应收关联方款项</w:t>
            </w:r>
          </w:p>
        </w:tc>
        <w:tc>
          <w:tcPr>
            <w:tcW w:w="1606" w:type="dxa"/>
            <w:tcBorders>
              <w:top w:val="single" w:sz="2" w:space="0" w:color="auto"/>
              <w:left w:val="single" w:sz="2" w:space="0" w:color="auto"/>
              <w:bottom w:val="single" w:sz="2" w:space="0" w:color="auto"/>
              <w:right w:val="single" w:sz="2" w:space="0" w:color="auto"/>
            </w:tcBorders>
            <w:vAlign w:val="center"/>
          </w:tcPr>
          <w:p w14:paraId="5656F6B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95,370,000.00</w:t>
            </w:r>
          </w:p>
        </w:tc>
        <w:tc>
          <w:tcPr>
            <w:tcW w:w="1606" w:type="dxa"/>
            <w:tcBorders>
              <w:top w:val="single" w:sz="2" w:space="0" w:color="auto"/>
              <w:left w:val="single" w:sz="2" w:space="0" w:color="auto"/>
              <w:bottom w:val="single" w:sz="2" w:space="0" w:color="auto"/>
              <w:right w:val="single" w:sz="2" w:space="0" w:color="auto"/>
            </w:tcBorders>
            <w:vAlign w:val="center"/>
          </w:tcPr>
          <w:p w14:paraId="6144B35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1-3</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4-6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7-9</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1-2</w:t>
            </w:r>
            <w:r w:rsidRPr="00F614F9">
              <w:rPr>
                <w:rFonts w:ascii="Times New Roman" w:eastAsia="宋体" w:hAnsi="Times New Roman" w:cs="宋体"/>
                <w:sz w:val="18"/>
                <w:szCs w:val="18"/>
              </w:rPr>
              <w:t>年，</w:t>
            </w:r>
            <w:r w:rsidRPr="00F614F9">
              <w:rPr>
                <w:rFonts w:ascii="Times New Roman" w:eastAsia="宋体" w:hAnsi="Times New Roman" w:cs="宋体"/>
                <w:sz w:val="18"/>
                <w:szCs w:val="18"/>
              </w:rPr>
              <w:t>2-3</w:t>
            </w:r>
            <w:r w:rsidRPr="00F614F9">
              <w:rPr>
                <w:rFonts w:ascii="Times New Roman" w:eastAsia="宋体" w:hAnsi="Times New Roman" w:cs="宋体"/>
                <w:sz w:val="18"/>
                <w:szCs w:val="18"/>
              </w:rPr>
              <w:t>年</w:t>
            </w:r>
          </w:p>
        </w:tc>
        <w:tc>
          <w:tcPr>
            <w:tcW w:w="1606" w:type="dxa"/>
            <w:tcBorders>
              <w:top w:val="single" w:sz="2" w:space="0" w:color="auto"/>
              <w:left w:val="single" w:sz="2" w:space="0" w:color="auto"/>
              <w:bottom w:val="single" w:sz="2" w:space="0" w:color="auto"/>
              <w:right w:val="single" w:sz="2" w:space="0" w:color="auto"/>
            </w:tcBorders>
            <w:vAlign w:val="center"/>
          </w:tcPr>
          <w:p w14:paraId="23A0BBB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8.26%</w:t>
            </w:r>
          </w:p>
        </w:tc>
        <w:tc>
          <w:tcPr>
            <w:tcW w:w="1606" w:type="dxa"/>
            <w:tcBorders>
              <w:top w:val="single" w:sz="2" w:space="0" w:color="auto"/>
              <w:left w:val="single" w:sz="2" w:space="0" w:color="auto"/>
              <w:bottom w:val="single" w:sz="2" w:space="0" w:color="auto"/>
              <w:right w:val="single" w:sz="2" w:space="0" w:color="auto"/>
            </w:tcBorders>
            <w:vAlign w:val="center"/>
          </w:tcPr>
          <w:p w14:paraId="684D39C8"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18815C3"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96D614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聊城龙大肉食品有限公司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043A9D8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应收关联方款项</w:t>
            </w:r>
          </w:p>
        </w:tc>
        <w:tc>
          <w:tcPr>
            <w:tcW w:w="1606" w:type="dxa"/>
            <w:tcBorders>
              <w:top w:val="single" w:sz="2" w:space="0" w:color="auto"/>
              <w:left w:val="single" w:sz="2" w:space="0" w:color="auto"/>
              <w:bottom w:val="single" w:sz="2" w:space="0" w:color="auto"/>
              <w:right w:val="single" w:sz="2" w:space="0" w:color="auto"/>
            </w:tcBorders>
            <w:vAlign w:val="center"/>
          </w:tcPr>
          <w:p w14:paraId="57B9A2E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82,000,000.00</w:t>
            </w:r>
          </w:p>
        </w:tc>
        <w:tc>
          <w:tcPr>
            <w:tcW w:w="1606" w:type="dxa"/>
            <w:tcBorders>
              <w:top w:val="single" w:sz="2" w:space="0" w:color="auto"/>
              <w:left w:val="single" w:sz="2" w:space="0" w:color="auto"/>
              <w:bottom w:val="single" w:sz="2" w:space="0" w:color="auto"/>
              <w:right w:val="single" w:sz="2" w:space="0" w:color="auto"/>
            </w:tcBorders>
            <w:vAlign w:val="center"/>
          </w:tcPr>
          <w:p w14:paraId="07AC2D0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4-6</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7-9</w:t>
            </w:r>
            <w:r w:rsidRPr="00F614F9">
              <w:rPr>
                <w:rFonts w:ascii="Times New Roman" w:eastAsia="宋体" w:hAnsi="Times New Roman" w:cs="宋体"/>
                <w:sz w:val="18"/>
                <w:szCs w:val="18"/>
              </w:rPr>
              <w:t>月，</w:t>
            </w:r>
            <w:r w:rsidRPr="00F614F9">
              <w:rPr>
                <w:rFonts w:ascii="Times New Roman" w:eastAsia="宋体" w:hAnsi="Times New Roman" w:cs="宋体"/>
                <w:sz w:val="18"/>
                <w:szCs w:val="18"/>
              </w:rPr>
              <w:t>10-12</w:t>
            </w:r>
            <w:r w:rsidRPr="00F614F9">
              <w:rPr>
                <w:rFonts w:ascii="Times New Roman" w:eastAsia="宋体" w:hAnsi="Times New Roman" w:cs="宋体"/>
                <w:sz w:val="18"/>
                <w:szCs w:val="18"/>
              </w:rPr>
              <w:t>月</w:t>
            </w:r>
          </w:p>
        </w:tc>
        <w:tc>
          <w:tcPr>
            <w:tcW w:w="1606" w:type="dxa"/>
            <w:tcBorders>
              <w:top w:val="single" w:sz="2" w:space="0" w:color="auto"/>
              <w:left w:val="single" w:sz="2" w:space="0" w:color="auto"/>
              <w:bottom w:val="single" w:sz="2" w:space="0" w:color="auto"/>
              <w:right w:val="single" w:sz="2" w:space="0" w:color="auto"/>
            </w:tcBorders>
            <w:vAlign w:val="center"/>
          </w:tcPr>
          <w:p w14:paraId="734716B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7.10%</w:t>
            </w:r>
          </w:p>
        </w:tc>
        <w:tc>
          <w:tcPr>
            <w:tcW w:w="1606" w:type="dxa"/>
            <w:tcBorders>
              <w:top w:val="single" w:sz="2" w:space="0" w:color="auto"/>
              <w:left w:val="single" w:sz="2" w:space="0" w:color="auto"/>
              <w:bottom w:val="single" w:sz="2" w:space="0" w:color="auto"/>
              <w:right w:val="single" w:sz="2" w:space="0" w:color="auto"/>
            </w:tcBorders>
            <w:vAlign w:val="center"/>
          </w:tcPr>
          <w:p w14:paraId="09404447"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27C6ADC2"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CB795A2"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9F43FBF" w14:textId="77777777" w:rsidR="001D26E7" w:rsidRPr="00F614F9" w:rsidRDefault="001D26E7">
            <w:pPr>
              <w:rPr>
                <w:rFonts w:ascii="Times New Roman" w:hAnsi="Times New Roman"/>
              </w:rPr>
            </w:pPr>
          </w:p>
        </w:tc>
        <w:tc>
          <w:tcPr>
            <w:tcW w:w="1606" w:type="dxa"/>
            <w:tcBorders>
              <w:top w:val="single" w:sz="2" w:space="0" w:color="auto"/>
              <w:left w:val="single" w:sz="2" w:space="0" w:color="auto"/>
              <w:bottom w:val="single" w:sz="2" w:space="0" w:color="auto"/>
              <w:right w:val="single" w:sz="2" w:space="0" w:color="auto"/>
            </w:tcBorders>
            <w:vAlign w:val="center"/>
          </w:tcPr>
          <w:p w14:paraId="7A3E43C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862,340,000.00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1BBD8E7" w14:textId="77777777" w:rsidR="001D26E7" w:rsidRPr="00F614F9" w:rsidRDefault="001D26E7">
            <w:pPr>
              <w:rPr>
                <w:rFonts w:ascii="Times New Roman" w:hAnsi="Times New Roman"/>
              </w:rPr>
            </w:pPr>
          </w:p>
        </w:tc>
        <w:tc>
          <w:tcPr>
            <w:tcW w:w="1606" w:type="dxa"/>
            <w:tcBorders>
              <w:top w:val="single" w:sz="2" w:space="0" w:color="auto"/>
              <w:left w:val="single" w:sz="2" w:space="0" w:color="auto"/>
              <w:bottom w:val="single" w:sz="2" w:space="0" w:color="auto"/>
              <w:right w:val="single" w:sz="2" w:space="0" w:color="auto"/>
            </w:tcBorders>
            <w:vAlign w:val="center"/>
          </w:tcPr>
          <w:p w14:paraId="5E7CF00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74.65%</w:t>
            </w:r>
          </w:p>
        </w:tc>
        <w:tc>
          <w:tcPr>
            <w:tcW w:w="1606" w:type="dxa"/>
            <w:tcBorders>
              <w:top w:val="single" w:sz="2" w:space="0" w:color="auto"/>
              <w:left w:val="single" w:sz="2" w:space="0" w:color="auto"/>
              <w:bottom w:val="single" w:sz="2" w:space="0" w:color="auto"/>
              <w:right w:val="single" w:sz="2" w:space="0" w:color="auto"/>
            </w:tcBorders>
            <w:vAlign w:val="center"/>
          </w:tcPr>
          <w:p w14:paraId="7A1236A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559,810,000.00</w:t>
            </w:r>
          </w:p>
        </w:tc>
      </w:tr>
    </w:tbl>
    <w:p w14:paraId="0C04BB47" w14:textId="77777777" w:rsidR="001D26E7" w:rsidRPr="00F614F9" w:rsidRDefault="001D26E7">
      <w:pPr>
        <w:spacing w:before="100" w:after="100" w:line="0" w:lineRule="atLeast"/>
        <w:rPr>
          <w:rFonts w:ascii="Times New Roman" w:hAnsi="Times New Roman"/>
        </w:rPr>
      </w:pPr>
    </w:p>
    <w:p w14:paraId="2C91576E" w14:textId="77777777" w:rsidR="001D26E7" w:rsidRPr="00F614F9" w:rsidRDefault="00000000">
      <w:pPr>
        <w:keepNext/>
        <w:keepLines/>
        <w:spacing w:before="300" w:after="300" w:line="280" w:lineRule="exact"/>
        <w:outlineLvl w:val="4"/>
        <w:rPr>
          <w:rFonts w:ascii="Times New Roman" w:eastAsia="宋体" w:hAnsi="Times New Roman" w:cs="宋体"/>
          <w:b/>
          <w:bCs/>
          <w:sz w:val="18"/>
          <w:szCs w:val="18"/>
        </w:rPr>
      </w:pPr>
      <w:bookmarkStart w:id="662" w:name="_Toc989500"/>
      <w:r w:rsidRPr="00F614F9">
        <w:rPr>
          <w:rFonts w:ascii="Times New Roman" w:eastAsia="宋体" w:hAnsi="Times New Roman" w:cs="宋体"/>
          <w:b/>
          <w:bCs/>
          <w:sz w:val="18"/>
          <w:szCs w:val="18"/>
        </w:rPr>
        <w:t>7</w:t>
      </w:r>
      <w:r w:rsidRPr="00F614F9">
        <w:rPr>
          <w:rFonts w:ascii="Times New Roman" w:eastAsia="宋体" w:hAnsi="Times New Roman" w:cs="宋体"/>
          <w:b/>
          <w:bCs/>
          <w:sz w:val="18"/>
          <w:szCs w:val="18"/>
        </w:rPr>
        <w:t>）</w:t>
      </w:r>
      <w:r w:rsidRPr="00F614F9">
        <w:rPr>
          <w:rFonts w:ascii="Times New Roman" w:eastAsia="宋体" w:hAnsi="Times New Roman" w:cs="宋体"/>
          <w:b/>
          <w:bCs/>
          <w:sz w:val="18"/>
          <w:szCs w:val="18"/>
        </w:rPr>
        <w:t xml:space="preserve"> </w:t>
      </w:r>
      <w:r w:rsidRPr="00F614F9">
        <w:rPr>
          <w:rFonts w:ascii="Times New Roman" w:eastAsia="宋体" w:hAnsi="Times New Roman" w:cs="宋体"/>
          <w:b/>
          <w:bCs/>
          <w:sz w:val="18"/>
          <w:szCs w:val="18"/>
        </w:rPr>
        <w:t>因资金集中管理而列报于其他应收款</w:t>
      </w:r>
      <w:bookmarkEnd w:id="662"/>
    </w:p>
    <w:p w14:paraId="5ED3D91F" w14:textId="77777777" w:rsidR="00872599" w:rsidRPr="00F614F9" w:rsidRDefault="00000000">
      <w:pPr>
        <w:pStyle w:val="a3"/>
        <w:divId w:val="1560902529"/>
        <w:rPr>
          <w:rFonts w:ascii="Times New Roman" w:hAnsi="Times New Roman"/>
          <w:sz w:val="18"/>
          <w:szCs w:val="18"/>
        </w:rPr>
      </w:pPr>
      <w:r w:rsidRPr="00F614F9">
        <w:rPr>
          <w:rFonts w:ascii="Times New Roman" w:hAnsi="Times New Roman" w:hint="eastAsia"/>
          <w:sz w:val="18"/>
          <w:szCs w:val="18"/>
        </w:rPr>
        <w:t>无</w:t>
      </w:r>
    </w:p>
    <w:p w14:paraId="003D6304" w14:textId="77777777" w:rsidR="001D26E7" w:rsidRPr="00F614F9" w:rsidRDefault="00000000">
      <w:pPr>
        <w:pStyle w:val="3"/>
        <w:spacing w:line="280" w:lineRule="exact"/>
        <w:jc w:val="left"/>
        <w:rPr>
          <w:rFonts w:ascii="Times New Roman" w:hAnsi="Times New Roman" w:cs="宋体"/>
          <w:b/>
          <w:bCs/>
        </w:rPr>
      </w:pPr>
      <w:bookmarkStart w:id="663" w:name="_Toc989501"/>
      <w:r w:rsidRPr="00F614F9">
        <w:rPr>
          <w:rFonts w:ascii="Times New Roman" w:hAnsi="Times New Roman" w:cs="宋体"/>
          <w:b/>
          <w:bCs/>
        </w:rPr>
        <w:lastRenderedPageBreak/>
        <w:t>3</w:t>
      </w:r>
      <w:r w:rsidRPr="00F614F9">
        <w:rPr>
          <w:rFonts w:ascii="Times New Roman" w:hAnsi="Times New Roman" w:cs="宋体"/>
          <w:b/>
          <w:bCs/>
        </w:rPr>
        <w:t>、长期股权投资</w:t>
      </w:r>
      <w:bookmarkEnd w:id="663"/>
    </w:p>
    <w:p w14:paraId="4E0C4161"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1D26E7" w:rsidRPr="00F614F9" w14:paraId="5FDF5676"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735178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5AD496D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8ABBF8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w:t>
            </w:r>
          </w:p>
        </w:tc>
      </w:tr>
      <w:tr w:rsidR="001D26E7" w:rsidRPr="00F614F9" w14:paraId="63C1CFED"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604E475" w14:textId="77777777" w:rsidR="001D26E7" w:rsidRPr="00F614F9" w:rsidRDefault="001D26E7">
            <w:pPr>
              <w:rPr>
                <w:rFonts w:ascii="Times New Roman" w:hAnsi="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4BD0C1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385689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009E5A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6BB590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C53784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93AE72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账面价值</w:t>
            </w:r>
          </w:p>
        </w:tc>
      </w:tr>
      <w:tr w:rsidR="001D26E7" w:rsidRPr="00F614F9" w14:paraId="5085AFDF"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D52A98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对子公司投资</w:t>
            </w:r>
          </w:p>
        </w:tc>
        <w:tc>
          <w:tcPr>
            <w:tcW w:w="1377" w:type="dxa"/>
            <w:tcBorders>
              <w:top w:val="single" w:sz="2" w:space="0" w:color="auto"/>
              <w:left w:val="single" w:sz="2" w:space="0" w:color="auto"/>
              <w:bottom w:val="single" w:sz="2" w:space="0" w:color="auto"/>
              <w:right w:val="single" w:sz="2" w:space="0" w:color="auto"/>
            </w:tcBorders>
            <w:vAlign w:val="center"/>
          </w:tcPr>
          <w:p w14:paraId="073DEE7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2,688,499,735.97</w:t>
            </w:r>
          </w:p>
        </w:tc>
        <w:tc>
          <w:tcPr>
            <w:tcW w:w="1377" w:type="dxa"/>
            <w:tcBorders>
              <w:top w:val="single" w:sz="2" w:space="0" w:color="auto"/>
              <w:left w:val="single" w:sz="2" w:space="0" w:color="auto"/>
              <w:bottom w:val="single" w:sz="2" w:space="0" w:color="auto"/>
              <w:right w:val="single" w:sz="2" w:space="0" w:color="auto"/>
            </w:tcBorders>
            <w:vAlign w:val="center"/>
          </w:tcPr>
          <w:p w14:paraId="6DF1357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114,417,913.10</w:t>
            </w:r>
          </w:p>
        </w:tc>
        <w:tc>
          <w:tcPr>
            <w:tcW w:w="1377" w:type="dxa"/>
            <w:tcBorders>
              <w:top w:val="single" w:sz="2" w:space="0" w:color="auto"/>
              <w:left w:val="single" w:sz="2" w:space="0" w:color="auto"/>
              <w:bottom w:val="single" w:sz="2" w:space="0" w:color="auto"/>
              <w:right w:val="single" w:sz="2" w:space="0" w:color="auto"/>
            </w:tcBorders>
            <w:vAlign w:val="center"/>
          </w:tcPr>
          <w:p w14:paraId="599C52C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2,574,081,822.87</w:t>
            </w:r>
          </w:p>
        </w:tc>
        <w:tc>
          <w:tcPr>
            <w:tcW w:w="1377" w:type="dxa"/>
            <w:tcBorders>
              <w:top w:val="single" w:sz="2" w:space="0" w:color="auto"/>
              <w:left w:val="single" w:sz="2" w:space="0" w:color="auto"/>
              <w:bottom w:val="single" w:sz="2" w:space="0" w:color="auto"/>
              <w:right w:val="single" w:sz="2" w:space="0" w:color="auto"/>
            </w:tcBorders>
            <w:vAlign w:val="center"/>
          </w:tcPr>
          <w:p w14:paraId="5D2123A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2,537,899,735.97</w:t>
            </w:r>
          </w:p>
        </w:tc>
        <w:tc>
          <w:tcPr>
            <w:tcW w:w="1377" w:type="dxa"/>
            <w:tcBorders>
              <w:top w:val="single" w:sz="2" w:space="0" w:color="auto"/>
              <w:left w:val="single" w:sz="2" w:space="0" w:color="auto"/>
              <w:bottom w:val="single" w:sz="2" w:space="0" w:color="auto"/>
              <w:right w:val="single" w:sz="2" w:space="0" w:color="auto"/>
            </w:tcBorders>
            <w:vAlign w:val="center"/>
          </w:tcPr>
          <w:p w14:paraId="5B621C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103,200,046.82</w:t>
            </w:r>
          </w:p>
        </w:tc>
        <w:tc>
          <w:tcPr>
            <w:tcW w:w="1377" w:type="dxa"/>
            <w:tcBorders>
              <w:top w:val="single" w:sz="2" w:space="0" w:color="auto"/>
              <w:left w:val="single" w:sz="2" w:space="0" w:color="auto"/>
              <w:bottom w:val="single" w:sz="2" w:space="0" w:color="auto"/>
              <w:right w:val="single" w:sz="2" w:space="0" w:color="auto"/>
            </w:tcBorders>
            <w:vAlign w:val="center"/>
          </w:tcPr>
          <w:p w14:paraId="5DEC625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2,434,699,689.15</w:t>
            </w:r>
          </w:p>
        </w:tc>
      </w:tr>
      <w:tr w:rsidR="001D26E7" w:rsidRPr="00F614F9" w14:paraId="2AB6B6C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3B8D90D"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556B95C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2,688,499,735.97</w:t>
            </w:r>
          </w:p>
        </w:tc>
        <w:tc>
          <w:tcPr>
            <w:tcW w:w="1377" w:type="dxa"/>
            <w:tcBorders>
              <w:top w:val="single" w:sz="2" w:space="0" w:color="auto"/>
              <w:left w:val="single" w:sz="2" w:space="0" w:color="auto"/>
              <w:bottom w:val="single" w:sz="2" w:space="0" w:color="auto"/>
              <w:right w:val="single" w:sz="2" w:space="0" w:color="auto"/>
            </w:tcBorders>
            <w:vAlign w:val="center"/>
          </w:tcPr>
          <w:p w14:paraId="1B5E974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114,417,913.10</w:t>
            </w:r>
          </w:p>
        </w:tc>
        <w:tc>
          <w:tcPr>
            <w:tcW w:w="1377" w:type="dxa"/>
            <w:tcBorders>
              <w:top w:val="single" w:sz="2" w:space="0" w:color="auto"/>
              <w:left w:val="single" w:sz="2" w:space="0" w:color="auto"/>
              <w:bottom w:val="single" w:sz="2" w:space="0" w:color="auto"/>
              <w:right w:val="single" w:sz="2" w:space="0" w:color="auto"/>
            </w:tcBorders>
            <w:vAlign w:val="center"/>
          </w:tcPr>
          <w:p w14:paraId="16DEC61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2,574,081,822.87</w:t>
            </w:r>
          </w:p>
        </w:tc>
        <w:tc>
          <w:tcPr>
            <w:tcW w:w="1377" w:type="dxa"/>
            <w:tcBorders>
              <w:top w:val="single" w:sz="2" w:space="0" w:color="auto"/>
              <w:left w:val="single" w:sz="2" w:space="0" w:color="auto"/>
              <w:bottom w:val="single" w:sz="2" w:space="0" w:color="auto"/>
              <w:right w:val="single" w:sz="2" w:space="0" w:color="auto"/>
            </w:tcBorders>
            <w:vAlign w:val="center"/>
          </w:tcPr>
          <w:p w14:paraId="7B62B3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2,537,899,735.97</w:t>
            </w:r>
          </w:p>
        </w:tc>
        <w:tc>
          <w:tcPr>
            <w:tcW w:w="1377" w:type="dxa"/>
            <w:tcBorders>
              <w:top w:val="single" w:sz="2" w:space="0" w:color="auto"/>
              <w:left w:val="single" w:sz="2" w:space="0" w:color="auto"/>
              <w:bottom w:val="single" w:sz="2" w:space="0" w:color="auto"/>
              <w:right w:val="single" w:sz="2" w:space="0" w:color="auto"/>
            </w:tcBorders>
            <w:vAlign w:val="center"/>
          </w:tcPr>
          <w:p w14:paraId="1490105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103,200,046.82</w:t>
            </w:r>
          </w:p>
        </w:tc>
        <w:tc>
          <w:tcPr>
            <w:tcW w:w="1377" w:type="dxa"/>
            <w:tcBorders>
              <w:top w:val="single" w:sz="2" w:space="0" w:color="auto"/>
              <w:left w:val="single" w:sz="2" w:space="0" w:color="auto"/>
              <w:bottom w:val="single" w:sz="2" w:space="0" w:color="auto"/>
              <w:right w:val="single" w:sz="2" w:space="0" w:color="auto"/>
            </w:tcBorders>
            <w:vAlign w:val="center"/>
          </w:tcPr>
          <w:p w14:paraId="75CF3F2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2,434,699,689.15</w:t>
            </w:r>
          </w:p>
        </w:tc>
      </w:tr>
    </w:tbl>
    <w:p w14:paraId="3E8FA539"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664" w:name="_Toc989502"/>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对子公司投资</w:t>
      </w:r>
      <w:bookmarkEnd w:id="664"/>
    </w:p>
    <w:p w14:paraId="27C251E0"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1D26E7" w:rsidRPr="00F614F9" w14:paraId="6C939CDC"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4CBD3D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被投资单位</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A8BCF2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期初余额（账面价值）</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096ED6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减值准备期初余额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91E40FE"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本期增减变动</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8B00912"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期末余额（账面价值）</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458C53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减值准备期末余额</w:t>
            </w:r>
          </w:p>
        </w:tc>
      </w:tr>
      <w:tr w:rsidR="001D26E7" w:rsidRPr="00F614F9" w14:paraId="1480C666"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5F58CBE" w14:textId="77777777" w:rsidR="001D26E7" w:rsidRPr="00F614F9" w:rsidRDefault="001D26E7">
            <w:pPr>
              <w:rPr>
                <w:rFonts w:ascii="Times New Roman" w:hAnsi="Times New Roman"/>
              </w:rPr>
            </w:pP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82559B8" w14:textId="77777777" w:rsidR="001D26E7" w:rsidRPr="00F614F9" w:rsidRDefault="001D26E7">
            <w:pPr>
              <w:rPr>
                <w:rFonts w:ascii="Times New Roman" w:hAnsi="Times New Roman"/>
              </w:rPr>
            </w:pPr>
          </w:p>
        </w:tc>
        <w:tc>
          <w:tcPr>
            <w:tcW w:w="1071" w:type="dxa"/>
            <w:vMerge/>
            <w:tcBorders>
              <w:top w:val="single" w:sz="2" w:space="0" w:color="auto"/>
              <w:left w:val="single" w:sz="2" w:space="0" w:color="auto"/>
              <w:bottom w:val="single" w:sz="2" w:space="0" w:color="auto"/>
              <w:right w:val="single" w:sz="2" w:space="0" w:color="auto"/>
            </w:tcBorders>
            <w:vAlign w:val="center"/>
          </w:tcPr>
          <w:p w14:paraId="7BEFDC0E" w14:textId="77777777" w:rsidR="001D26E7" w:rsidRPr="00F614F9" w:rsidRDefault="001D26E7">
            <w:pPr>
              <w:rPr>
                <w:rFonts w:ascii="Times New Roman" w:hAnsi="Times New Roman"/>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BD9FAB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追加投资</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4746BF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减少投资</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15DC32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计提减值准备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513CD3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其他</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3B56790" w14:textId="77777777" w:rsidR="001D26E7" w:rsidRPr="00F614F9" w:rsidRDefault="001D26E7">
            <w:pPr>
              <w:rPr>
                <w:rFonts w:ascii="Times New Roman" w:hAnsi="Times New Roman"/>
              </w:rPr>
            </w:pP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152E74F" w14:textId="77777777" w:rsidR="001D26E7" w:rsidRPr="00F614F9" w:rsidRDefault="001D26E7">
            <w:pPr>
              <w:rPr>
                <w:rFonts w:ascii="Times New Roman" w:hAnsi="Times New Roman"/>
              </w:rPr>
            </w:pPr>
          </w:p>
        </w:tc>
      </w:tr>
      <w:tr w:rsidR="001D26E7" w:rsidRPr="00F614F9" w14:paraId="138DC06E"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B4804E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河南龙大牧原肉食品有限公司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04F1078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90,000,000.00</w:t>
            </w:r>
          </w:p>
        </w:tc>
        <w:tc>
          <w:tcPr>
            <w:tcW w:w="1071" w:type="dxa"/>
            <w:tcBorders>
              <w:top w:val="single" w:sz="2" w:space="0" w:color="auto"/>
              <w:left w:val="single" w:sz="2" w:space="0" w:color="auto"/>
              <w:bottom w:val="single" w:sz="2" w:space="0" w:color="auto"/>
              <w:right w:val="single" w:sz="2" w:space="0" w:color="auto"/>
            </w:tcBorders>
            <w:vAlign w:val="center"/>
          </w:tcPr>
          <w:p w14:paraId="2DBBB32C"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4D557A2"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78FA19D"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C37F3FB"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997A5E5"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9C4277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90,000,000.00</w:t>
            </w:r>
          </w:p>
        </w:tc>
        <w:tc>
          <w:tcPr>
            <w:tcW w:w="1071" w:type="dxa"/>
            <w:tcBorders>
              <w:top w:val="single" w:sz="2" w:space="0" w:color="auto"/>
              <w:left w:val="single" w:sz="2" w:space="0" w:color="auto"/>
              <w:bottom w:val="single" w:sz="2" w:space="0" w:color="auto"/>
              <w:right w:val="single" w:sz="2" w:space="0" w:color="auto"/>
            </w:tcBorders>
            <w:vAlign w:val="center"/>
          </w:tcPr>
          <w:p w14:paraId="552BFCC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9E104F5"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01BF6C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聊城龙大肉食品有限公司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0BD720B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50,344,000.00</w:t>
            </w:r>
          </w:p>
        </w:tc>
        <w:tc>
          <w:tcPr>
            <w:tcW w:w="1071" w:type="dxa"/>
            <w:tcBorders>
              <w:top w:val="single" w:sz="2" w:space="0" w:color="auto"/>
              <w:left w:val="single" w:sz="2" w:space="0" w:color="auto"/>
              <w:bottom w:val="single" w:sz="2" w:space="0" w:color="auto"/>
              <w:right w:val="single" w:sz="2" w:space="0" w:color="auto"/>
            </w:tcBorders>
            <w:vAlign w:val="center"/>
          </w:tcPr>
          <w:p w14:paraId="570DC518"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64F1CA9"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40B4B4C"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0547C87"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439F951"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F1E94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50,344,000.00</w:t>
            </w:r>
          </w:p>
        </w:tc>
        <w:tc>
          <w:tcPr>
            <w:tcW w:w="1071" w:type="dxa"/>
            <w:tcBorders>
              <w:top w:val="single" w:sz="2" w:space="0" w:color="auto"/>
              <w:left w:val="single" w:sz="2" w:space="0" w:color="auto"/>
              <w:bottom w:val="single" w:sz="2" w:space="0" w:color="auto"/>
              <w:right w:val="single" w:sz="2" w:space="0" w:color="auto"/>
            </w:tcBorders>
            <w:vAlign w:val="center"/>
          </w:tcPr>
          <w:p w14:paraId="7322D20C"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6E9FCDBC"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887E260"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莒</w:t>
            </w:r>
            <w:proofErr w:type="gramEnd"/>
            <w:r w:rsidRPr="00F614F9">
              <w:rPr>
                <w:rFonts w:ascii="Times New Roman" w:eastAsia="宋体" w:hAnsi="Times New Roman" w:cs="宋体"/>
                <w:sz w:val="18"/>
                <w:szCs w:val="18"/>
              </w:rPr>
              <w:t>南龙大肉食品有限公司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40045FA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02D58CC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20,000,000.00</w:t>
            </w:r>
          </w:p>
        </w:tc>
        <w:tc>
          <w:tcPr>
            <w:tcW w:w="1071" w:type="dxa"/>
            <w:tcBorders>
              <w:top w:val="single" w:sz="2" w:space="0" w:color="auto"/>
              <w:left w:val="single" w:sz="2" w:space="0" w:color="auto"/>
              <w:bottom w:val="single" w:sz="2" w:space="0" w:color="auto"/>
              <w:right w:val="single" w:sz="2" w:space="0" w:color="auto"/>
            </w:tcBorders>
            <w:vAlign w:val="center"/>
          </w:tcPr>
          <w:p w14:paraId="5585F68C"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F502D4F"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1E6EF04"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36C3296"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8DD7EE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745B538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20,000,000.00</w:t>
            </w:r>
          </w:p>
        </w:tc>
      </w:tr>
      <w:tr w:rsidR="001D26E7" w:rsidRPr="00F614F9" w14:paraId="14C2FBC8"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3A49CF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烟台龙大养殖有限公司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5D263FF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487,592,475.50</w:t>
            </w:r>
          </w:p>
        </w:tc>
        <w:tc>
          <w:tcPr>
            <w:tcW w:w="1071" w:type="dxa"/>
            <w:tcBorders>
              <w:top w:val="single" w:sz="2" w:space="0" w:color="auto"/>
              <w:left w:val="single" w:sz="2" w:space="0" w:color="auto"/>
              <w:bottom w:val="single" w:sz="2" w:space="0" w:color="auto"/>
              <w:right w:val="single" w:sz="2" w:space="0" w:color="auto"/>
            </w:tcBorders>
            <w:vAlign w:val="center"/>
          </w:tcPr>
          <w:p w14:paraId="1F71B6B6"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87B29E0"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8025455"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C6A3889"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207E30B"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39DFFD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487,592,475.50</w:t>
            </w:r>
          </w:p>
        </w:tc>
        <w:tc>
          <w:tcPr>
            <w:tcW w:w="1071" w:type="dxa"/>
            <w:tcBorders>
              <w:top w:val="single" w:sz="2" w:space="0" w:color="auto"/>
              <w:left w:val="single" w:sz="2" w:space="0" w:color="auto"/>
              <w:bottom w:val="single" w:sz="2" w:space="0" w:color="auto"/>
              <w:right w:val="single" w:sz="2" w:space="0" w:color="auto"/>
            </w:tcBorders>
            <w:vAlign w:val="center"/>
          </w:tcPr>
          <w:p w14:paraId="1F6C31E6"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9B446B6"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1741D61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蓬莱富龙肉食品有限公司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53BFE1B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8,000,000.00</w:t>
            </w:r>
          </w:p>
        </w:tc>
        <w:tc>
          <w:tcPr>
            <w:tcW w:w="1071" w:type="dxa"/>
            <w:tcBorders>
              <w:top w:val="single" w:sz="2" w:space="0" w:color="auto"/>
              <w:left w:val="single" w:sz="2" w:space="0" w:color="auto"/>
              <w:bottom w:val="single" w:sz="2" w:space="0" w:color="auto"/>
              <w:right w:val="single" w:sz="2" w:space="0" w:color="auto"/>
            </w:tcBorders>
            <w:vAlign w:val="center"/>
          </w:tcPr>
          <w:p w14:paraId="0341FDE6"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5B615AF"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56A85BD"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2995FC0"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0FB3C84"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14D5FC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8,000,000.00</w:t>
            </w:r>
          </w:p>
        </w:tc>
        <w:tc>
          <w:tcPr>
            <w:tcW w:w="1071" w:type="dxa"/>
            <w:tcBorders>
              <w:top w:val="single" w:sz="2" w:space="0" w:color="auto"/>
              <w:left w:val="single" w:sz="2" w:space="0" w:color="auto"/>
              <w:bottom w:val="single" w:sz="2" w:space="0" w:color="auto"/>
              <w:right w:val="single" w:sz="2" w:space="0" w:color="auto"/>
            </w:tcBorders>
            <w:vAlign w:val="center"/>
          </w:tcPr>
          <w:p w14:paraId="00604E9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8312580"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40962A6"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潍坊振</w:t>
            </w:r>
            <w:proofErr w:type="gramStart"/>
            <w:r w:rsidRPr="00F614F9">
              <w:rPr>
                <w:rFonts w:ascii="Times New Roman" w:eastAsia="宋体" w:hAnsi="Times New Roman" w:cs="宋体"/>
                <w:sz w:val="18"/>
                <w:szCs w:val="18"/>
              </w:rPr>
              <w:t>祥</w:t>
            </w:r>
            <w:proofErr w:type="gramEnd"/>
            <w:r w:rsidRPr="00F614F9">
              <w:rPr>
                <w:rFonts w:ascii="Times New Roman" w:eastAsia="宋体" w:hAnsi="Times New Roman" w:cs="宋体"/>
                <w:sz w:val="18"/>
                <w:szCs w:val="18"/>
              </w:rPr>
              <w:t>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571A5AC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121,690,300.00</w:t>
            </w:r>
          </w:p>
        </w:tc>
        <w:tc>
          <w:tcPr>
            <w:tcW w:w="1071" w:type="dxa"/>
            <w:tcBorders>
              <w:top w:val="single" w:sz="2" w:space="0" w:color="auto"/>
              <w:left w:val="single" w:sz="2" w:space="0" w:color="auto"/>
              <w:bottom w:val="single" w:sz="2" w:space="0" w:color="auto"/>
              <w:right w:val="single" w:sz="2" w:space="0" w:color="auto"/>
            </w:tcBorders>
            <w:vAlign w:val="center"/>
          </w:tcPr>
          <w:p w14:paraId="291A5998"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2EBDE01"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DB0B8A2"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FA80AD2"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CB410AD"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2F0966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121,690,300.00</w:t>
            </w:r>
          </w:p>
        </w:tc>
        <w:tc>
          <w:tcPr>
            <w:tcW w:w="1071" w:type="dxa"/>
            <w:tcBorders>
              <w:top w:val="single" w:sz="2" w:space="0" w:color="auto"/>
              <w:left w:val="single" w:sz="2" w:space="0" w:color="auto"/>
              <w:bottom w:val="single" w:sz="2" w:space="0" w:color="auto"/>
              <w:right w:val="single" w:sz="2" w:space="0" w:color="auto"/>
            </w:tcBorders>
            <w:vAlign w:val="center"/>
          </w:tcPr>
          <w:p w14:paraId="52C63020"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4B974F5"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30786C3A"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莱阳龙瑞食品有限公司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16DCC6E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20,000,000.00</w:t>
            </w:r>
          </w:p>
        </w:tc>
        <w:tc>
          <w:tcPr>
            <w:tcW w:w="1071" w:type="dxa"/>
            <w:tcBorders>
              <w:top w:val="single" w:sz="2" w:space="0" w:color="auto"/>
              <w:left w:val="single" w:sz="2" w:space="0" w:color="auto"/>
              <w:bottom w:val="single" w:sz="2" w:space="0" w:color="auto"/>
              <w:right w:val="single" w:sz="2" w:space="0" w:color="auto"/>
            </w:tcBorders>
            <w:vAlign w:val="center"/>
          </w:tcPr>
          <w:p w14:paraId="2EC7AA51"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CDDBED1"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1EE2627"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83A71EC"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53136B7"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C0CC50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20,000,000.00</w:t>
            </w:r>
          </w:p>
        </w:tc>
        <w:tc>
          <w:tcPr>
            <w:tcW w:w="1071" w:type="dxa"/>
            <w:tcBorders>
              <w:top w:val="single" w:sz="2" w:space="0" w:color="auto"/>
              <w:left w:val="single" w:sz="2" w:space="0" w:color="auto"/>
              <w:bottom w:val="single" w:sz="2" w:space="0" w:color="auto"/>
              <w:right w:val="single" w:sz="2" w:space="0" w:color="auto"/>
            </w:tcBorders>
            <w:vAlign w:val="center"/>
          </w:tcPr>
          <w:p w14:paraId="20EE6585"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360768A"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9C8CC7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青岛中和盛杰食品有限公司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77580B8D"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7C00DC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10,200,000.00</w:t>
            </w:r>
          </w:p>
        </w:tc>
        <w:tc>
          <w:tcPr>
            <w:tcW w:w="1071" w:type="dxa"/>
            <w:tcBorders>
              <w:top w:val="single" w:sz="2" w:space="0" w:color="auto"/>
              <w:left w:val="single" w:sz="2" w:space="0" w:color="auto"/>
              <w:bottom w:val="single" w:sz="2" w:space="0" w:color="auto"/>
              <w:right w:val="single" w:sz="2" w:space="0" w:color="auto"/>
            </w:tcBorders>
            <w:vAlign w:val="center"/>
          </w:tcPr>
          <w:p w14:paraId="6DDD079E"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37A3C6C"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36CD72D"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18787F4"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77774B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1CC602A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10,200,000.00</w:t>
            </w:r>
          </w:p>
        </w:tc>
      </w:tr>
      <w:tr w:rsidR="001D26E7" w:rsidRPr="00F614F9" w14:paraId="40DB4902"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56B07CF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烟台杰科检测服务有限公司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4BB74B9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6,263,038.91</w:t>
            </w:r>
          </w:p>
        </w:tc>
        <w:tc>
          <w:tcPr>
            <w:tcW w:w="1071" w:type="dxa"/>
            <w:tcBorders>
              <w:top w:val="single" w:sz="2" w:space="0" w:color="auto"/>
              <w:left w:val="single" w:sz="2" w:space="0" w:color="auto"/>
              <w:bottom w:val="single" w:sz="2" w:space="0" w:color="auto"/>
              <w:right w:val="single" w:sz="2" w:space="0" w:color="auto"/>
            </w:tcBorders>
            <w:vAlign w:val="center"/>
          </w:tcPr>
          <w:p w14:paraId="51DB2E8D"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095C37E"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C79A4AB"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1AF238B"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6F342DF"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D5921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6,263,038.91</w:t>
            </w:r>
          </w:p>
        </w:tc>
        <w:tc>
          <w:tcPr>
            <w:tcW w:w="1071" w:type="dxa"/>
            <w:tcBorders>
              <w:top w:val="single" w:sz="2" w:space="0" w:color="auto"/>
              <w:left w:val="single" w:sz="2" w:space="0" w:color="auto"/>
              <w:bottom w:val="single" w:sz="2" w:space="0" w:color="auto"/>
              <w:right w:val="single" w:sz="2" w:space="0" w:color="auto"/>
            </w:tcBorders>
            <w:vAlign w:val="center"/>
          </w:tcPr>
          <w:p w14:paraId="1F6355B2"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2D5B040"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378CA62C"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山东龙大生猪产品工程技术研究有限公司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29CFB4A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15,000,000.00</w:t>
            </w:r>
          </w:p>
        </w:tc>
        <w:tc>
          <w:tcPr>
            <w:tcW w:w="1071" w:type="dxa"/>
            <w:tcBorders>
              <w:top w:val="single" w:sz="2" w:space="0" w:color="auto"/>
              <w:left w:val="single" w:sz="2" w:space="0" w:color="auto"/>
              <w:bottom w:val="single" w:sz="2" w:space="0" w:color="auto"/>
              <w:right w:val="single" w:sz="2" w:space="0" w:color="auto"/>
            </w:tcBorders>
            <w:vAlign w:val="center"/>
          </w:tcPr>
          <w:p w14:paraId="20528699"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9024ED6"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8972483"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96074FB"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4748E48"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6835CD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15,000,000.00</w:t>
            </w:r>
          </w:p>
        </w:tc>
        <w:tc>
          <w:tcPr>
            <w:tcW w:w="1071" w:type="dxa"/>
            <w:tcBorders>
              <w:top w:val="single" w:sz="2" w:space="0" w:color="auto"/>
              <w:left w:val="single" w:sz="2" w:space="0" w:color="auto"/>
              <w:bottom w:val="single" w:sz="2" w:space="0" w:color="auto"/>
              <w:right w:val="single" w:sz="2" w:space="0" w:color="auto"/>
            </w:tcBorders>
            <w:vAlign w:val="center"/>
          </w:tcPr>
          <w:p w14:paraId="688D612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651E37E"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AD743D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北京快厨帮科技有限公司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1F53737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5,203,992.12</w:t>
            </w:r>
          </w:p>
        </w:tc>
        <w:tc>
          <w:tcPr>
            <w:tcW w:w="1071" w:type="dxa"/>
            <w:tcBorders>
              <w:top w:val="single" w:sz="2" w:space="0" w:color="auto"/>
              <w:left w:val="single" w:sz="2" w:space="0" w:color="auto"/>
              <w:bottom w:val="single" w:sz="2" w:space="0" w:color="auto"/>
              <w:right w:val="single" w:sz="2" w:space="0" w:color="auto"/>
            </w:tcBorders>
            <w:vAlign w:val="center"/>
          </w:tcPr>
          <w:p w14:paraId="5F81719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7,796,007.88</w:t>
            </w:r>
          </w:p>
        </w:tc>
        <w:tc>
          <w:tcPr>
            <w:tcW w:w="1071" w:type="dxa"/>
            <w:tcBorders>
              <w:top w:val="single" w:sz="2" w:space="0" w:color="auto"/>
              <w:left w:val="single" w:sz="2" w:space="0" w:color="auto"/>
              <w:bottom w:val="single" w:sz="2" w:space="0" w:color="auto"/>
              <w:right w:val="single" w:sz="2" w:space="0" w:color="auto"/>
            </w:tcBorders>
            <w:vAlign w:val="center"/>
          </w:tcPr>
          <w:p w14:paraId="03EEE9F9"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F92B990"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AE5CDC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2,535,981.16</w:t>
            </w:r>
          </w:p>
        </w:tc>
        <w:tc>
          <w:tcPr>
            <w:tcW w:w="1071" w:type="dxa"/>
            <w:tcBorders>
              <w:top w:val="single" w:sz="2" w:space="0" w:color="auto"/>
              <w:left w:val="single" w:sz="2" w:space="0" w:color="auto"/>
              <w:bottom w:val="single" w:sz="2" w:space="0" w:color="auto"/>
              <w:right w:val="single" w:sz="2" w:space="0" w:color="auto"/>
            </w:tcBorders>
            <w:vAlign w:val="center"/>
          </w:tcPr>
          <w:p w14:paraId="1D147741"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52FCD4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2,668,010.96</w:t>
            </w:r>
          </w:p>
        </w:tc>
        <w:tc>
          <w:tcPr>
            <w:tcW w:w="1071" w:type="dxa"/>
            <w:tcBorders>
              <w:top w:val="single" w:sz="2" w:space="0" w:color="auto"/>
              <w:left w:val="single" w:sz="2" w:space="0" w:color="auto"/>
              <w:bottom w:val="single" w:sz="2" w:space="0" w:color="auto"/>
              <w:right w:val="single" w:sz="2" w:space="0" w:color="auto"/>
            </w:tcBorders>
            <w:vAlign w:val="center"/>
          </w:tcPr>
          <w:p w14:paraId="05E326B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10,331,989.04</w:t>
            </w:r>
          </w:p>
        </w:tc>
      </w:tr>
      <w:tr w:rsidR="001D26E7" w:rsidRPr="00F614F9" w14:paraId="06D3B241"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3E9159E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云南福照食品有限公司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6931BF0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6,971,071.16</w:t>
            </w:r>
          </w:p>
        </w:tc>
        <w:tc>
          <w:tcPr>
            <w:tcW w:w="1071" w:type="dxa"/>
            <w:tcBorders>
              <w:top w:val="single" w:sz="2" w:space="0" w:color="auto"/>
              <w:left w:val="single" w:sz="2" w:space="0" w:color="auto"/>
              <w:bottom w:val="single" w:sz="2" w:space="0" w:color="auto"/>
              <w:right w:val="single" w:sz="2" w:space="0" w:color="auto"/>
            </w:tcBorders>
            <w:vAlign w:val="center"/>
          </w:tcPr>
          <w:p w14:paraId="3479D1B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3,228,928.84</w:t>
            </w:r>
          </w:p>
        </w:tc>
        <w:tc>
          <w:tcPr>
            <w:tcW w:w="1071" w:type="dxa"/>
            <w:tcBorders>
              <w:top w:val="single" w:sz="2" w:space="0" w:color="auto"/>
              <w:left w:val="single" w:sz="2" w:space="0" w:color="auto"/>
              <w:bottom w:val="single" w:sz="2" w:space="0" w:color="auto"/>
              <w:right w:val="single" w:sz="2" w:space="0" w:color="auto"/>
            </w:tcBorders>
            <w:vAlign w:val="center"/>
          </w:tcPr>
          <w:p w14:paraId="406F74CF"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EE0F16F"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69AE6B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6,971,071.16</w:t>
            </w:r>
          </w:p>
        </w:tc>
        <w:tc>
          <w:tcPr>
            <w:tcW w:w="1071" w:type="dxa"/>
            <w:tcBorders>
              <w:top w:val="single" w:sz="2" w:space="0" w:color="auto"/>
              <w:left w:val="single" w:sz="2" w:space="0" w:color="auto"/>
              <w:bottom w:val="single" w:sz="2" w:space="0" w:color="auto"/>
              <w:right w:val="single" w:sz="2" w:space="0" w:color="auto"/>
            </w:tcBorders>
            <w:vAlign w:val="center"/>
          </w:tcPr>
          <w:p w14:paraId="5F911D6B"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D227B2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0EDB1C2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10,200,000.00</w:t>
            </w:r>
          </w:p>
        </w:tc>
      </w:tr>
      <w:tr w:rsidR="001D26E7" w:rsidRPr="00F614F9" w14:paraId="3134A37D"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26A0FEE"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lastRenderedPageBreak/>
              <w:t>烟台龙大饲料有限公司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39F1C64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6,000,000.00</w:t>
            </w:r>
          </w:p>
        </w:tc>
        <w:tc>
          <w:tcPr>
            <w:tcW w:w="1071" w:type="dxa"/>
            <w:tcBorders>
              <w:top w:val="single" w:sz="2" w:space="0" w:color="auto"/>
              <w:left w:val="single" w:sz="2" w:space="0" w:color="auto"/>
              <w:bottom w:val="single" w:sz="2" w:space="0" w:color="auto"/>
              <w:right w:val="single" w:sz="2" w:space="0" w:color="auto"/>
            </w:tcBorders>
            <w:vAlign w:val="center"/>
          </w:tcPr>
          <w:p w14:paraId="0B512B3B"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3F423D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50,000,000.00</w:t>
            </w:r>
          </w:p>
        </w:tc>
        <w:tc>
          <w:tcPr>
            <w:tcW w:w="1071" w:type="dxa"/>
            <w:tcBorders>
              <w:top w:val="single" w:sz="2" w:space="0" w:color="auto"/>
              <w:left w:val="single" w:sz="2" w:space="0" w:color="auto"/>
              <w:bottom w:val="single" w:sz="2" w:space="0" w:color="auto"/>
              <w:right w:val="single" w:sz="2" w:space="0" w:color="auto"/>
            </w:tcBorders>
            <w:vAlign w:val="center"/>
          </w:tcPr>
          <w:p w14:paraId="080FCBCC"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109F8AB"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695B4BA"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843200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56,000,000.00</w:t>
            </w:r>
          </w:p>
        </w:tc>
        <w:tc>
          <w:tcPr>
            <w:tcW w:w="1071" w:type="dxa"/>
            <w:tcBorders>
              <w:top w:val="single" w:sz="2" w:space="0" w:color="auto"/>
              <w:left w:val="single" w:sz="2" w:space="0" w:color="auto"/>
              <w:bottom w:val="single" w:sz="2" w:space="0" w:color="auto"/>
              <w:right w:val="single" w:sz="2" w:space="0" w:color="auto"/>
            </w:tcBorders>
            <w:vAlign w:val="center"/>
          </w:tcPr>
          <w:p w14:paraId="5230B24A"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1640970"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B70CDBF" w14:textId="77777777" w:rsidR="001D26E7" w:rsidRPr="00F614F9" w:rsidRDefault="00000000">
            <w:pPr>
              <w:spacing w:line="240" w:lineRule="exact"/>
              <w:rPr>
                <w:rFonts w:ascii="Times New Roman" w:eastAsia="宋体" w:hAnsi="Times New Roman" w:cs="宋体"/>
                <w:sz w:val="18"/>
                <w:szCs w:val="18"/>
              </w:rPr>
            </w:pPr>
            <w:proofErr w:type="gramStart"/>
            <w:r w:rsidRPr="00F614F9">
              <w:rPr>
                <w:rFonts w:ascii="Times New Roman" w:eastAsia="宋体" w:hAnsi="Times New Roman" w:cs="宋体"/>
                <w:sz w:val="18"/>
                <w:szCs w:val="18"/>
              </w:rPr>
              <w:t>通辽金泉食品</w:t>
            </w:r>
            <w:proofErr w:type="gramEnd"/>
            <w:r w:rsidRPr="00F614F9">
              <w:rPr>
                <w:rFonts w:ascii="Times New Roman" w:eastAsia="宋体" w:hAnsi="Times New Roman" w:cs="宋体"/>
                <w:sz w:val="18"/>
                <w:szCs w:val="18"/>
              </w:rPr>
              <w:t>有限责任公司</w:t>
            </w:r>
          </w:p>
        </w:tc>
        <w:tc>
          <w:tcPr>
            <w:tcW w:w="1071" w:type="dxa"/>
            <w:tcBorders>
              <w:top w:val="single" w:sz="2" w:space="0" w:color="auto"/>
              <w:left w:val="single" w:sz="2" w:space="0" w:color="auto"/>
              <w:bottom w:val="single" w:sz="2" w:space="0" w:color="auto"/>
              <w:right w:val="single" w:sz="2" w:space="0" w:color="auto"/>
            </w:tcBorders>
            <w:vAlign w:val="center"/>
          </w:tcPr>
          <w:p w14:paraId="4192025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1,710,813.96</w:t>
            </w:r>
          </w:p>
        </w:tc>
        <w:tc>
          <w:tcPr>
            <w:tcW w:w="1071" w:type="dxa"/>
            <w:tcBorders>
              <w:top w:val="single" w:sz="2" w:space="0" w:color="auto"/>
              <w:left w:val="single" w:sz="2" w:space="0" w:color="auto"/>
              <w:bottom w:val="single" w:sz="2" w:space="0" w:color="auto"/>
              <w:right w:val="single" w:sz="2" w:space="0" w:color="auto"/>
            </w:tcBorders>
            <w:vAlign w:val="center"/>
          </w:tcPr>
          <w:p w14:paraId="197070F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33,289,886.04</w:t>
            </w:r>
          </w:p>
        </w:tc>
        <w:tc>
          <w:tcPr>
            <w:tcW w:w="1071" w:type="dxa"/>
            <w:tcBorders>
              <w:top w:val="single" w:sz="2" w:space="0" w:color="auto"/>
              <w:left w:val="single" w:sz="2" w:space="0" w:color="auto"/>
              <w:bottom w:val="single" w:sz="2" w:space="0" w:color="auto"/>
              <w:right w:val="single" w:sz="2" w:space="0" w:color="auto"/>
            </w:tcBorders>
            <w:vAlign w:val="center"/>
          </w:tcPr>
          <w:p w14:paraId="09A97CE9"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629A254"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645466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1,710,813.96</w:t>
            </w:r>
          </w:p>
        </w:tc>
        <w:tc>
          <w:tcPr>
            <w:tcW w:w="1071" w:type="dxa"/>
            <w:tcBorders>
              <w:top w:val="single" w:sz="2" w:space="0" w:color="auto"/>
              <w:left w:val="single" w:sz="2" w:space="0" w:color="auto"/>
              <w:bottom w:val="single" w:sz="2" w:space="0" w:color="auto"/>
              <w:right w:val="single" w:sz="2" w:space="0" w:color="auto"/>
            </w:tcBorders>
            <w:vAlign w:val="center"/>
          </w:tcPr>
          <w:p w14:paraId="6AA9FD95"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672311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35D32CA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35,000,700.00</w:t>
            </w:r>
          </w:p>
        </w:tc>
      </w:tr>
      <w:tr w:rsidR="001D26E7" w:rsidRPr="00F614F9" w14:paraId="2A8A51F3"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75CAC535"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黑龙江龙大养殖有限公司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7EFC72F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1,074,609,221.56</w:t>
            </w:r>
          </w:p>
        </w:tc>
        <w:tc>
          <w:tcPr>
            <w:tcW w:w="1071" w:type="dxa"/>
            <w:tcBorders>
              <w:top w:val="single" w:sz="2" w:space="0" w:color="auto"/>
              <w:left w:val="single" w:sz="2" w:space="0" w:color="auto"/>
              <w:bottom w:val="single" w:sz="2" w:space="0" w:color="auto"/>
              <w:right w:val="single" w:sz="2" w:space="0" w:color="auto"/>
            </w:tcBorders>
            <w:vAlign w:val="center"/>
          </w:tcPr>
          <w:p w14:paraId="35D29A7C"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B7D6887"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51FE8F2"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43866F3"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2D26CB8"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DA18CC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1,074,609,221.56</w:t>
            </w:r>
          </w:p>
        </w:tc>
        <w:tc>
          <w:tcPr>
            <w:tcW w:w="1071" w:type="dxa"/>
            <w:tcBorders>
              <w:top w:val="single" w:sz="2" w:space="0" w:color="auto"/>
              <w:left w:val="single" w:sz="2" w:space="0" w:color="auto"/>
              <w:bottom w:val="single" w:sz="2" w:space="0" w:color="auto"/>
              <w:right w:val="single" w:sz="2" w:space="0" w:color="auto"/>
            </w:tcBorders>
            <w:vAlign w:val="center"/>
          </w:tcPr>
          <w:p w14:paraId="49A3C35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5C5BFC03"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1776B39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江苏龙大沁侬食品有限公司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3FD4794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102,000,000.00</w:t>
            </w:r>
          </w:p>
        </w:tc>
        <w:tc>
          <w:tcPr>
            <w:tcW w:w="1071" w:type="dxa"/>
            <w:tcBorders>
              <w:top w:val="single" w:sz="2" w:space="0" w:color="auto"/>
              <w:left w:val="single" w:sz="2" w:space="0" w:color="auto"/>
              <w:bottom w:val="single" w:sz="2" w:space="0" w:color="auto"/>
              <w:right w:val="single" w:sz="2" w:space="0" w:color="auto"/>
            </w:tcBorders>
            <w:vAlign w:val="center"/>
          </w:tcPr>
          <w:p w14:paraId="553E69D2"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66E77E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68,600,000.00</w:t>
            </w:r>
          </w:p>
        </w:tc>
        <w:tc>
          <w:tcPr>
            <w:tcW w:w="1071" w:type="dxa"/>
            <w:tcBorders>
              <w:top w:val="single" w:sz="2" w:space="0" w:color="auto"/>
              <w:left w:val="single" w:sz="2" w:space="0" w:color="auto"/>
              <w:bottom w:val="single" w:sz="2" w:space="0" w:color="auto"/>
              <w:right w:val="single" w:sz="2" w:space="0" w:color="auto"/>
            </w:tcBorders>
            <w:vAlign w:val="center"/>
          </w:tcPr>
          <w:p w14:paraId="66F9BD5D"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5E295B2"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0957946"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15A415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170,600,000.00</w:t>
            </w:r>
          </w:p>
        </w:tc>
        <w:tc>
          <w:tcPr>
            <w:tcW w:w="1071" w:type="dxa"/>
            <w:tcBorders>
              <w:top w:val="single" w:sz="2" w:space="0" w:color="auto"/>
              <w:left w:val="single" w:sz="2" w:space="0" w:color="auto"/>
              <w:bottom w:val="single" w:sz="2" w:space="0" w:color="auto"/>
              <w:right w:val="single" w:sz="2" w:space="0" w:color="auto"/>
            </w:tcBorders>
            <w:vAlign w:val="center"/>
          </w:tcPr>
          <w:p w14:paraId="2E89179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24A96F9"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FDFE358"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山东龙大美食贸易有限公司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5B21822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11,314,775.94</w:t>
            </w:r>
          </w:p>
        </w:tc>
        <w:tc>
          <w:tcPr>
            <w:tcW w:w="1071" w:type="dxa"/>
            <w:tcBorders>
              <w:top w:val="single" w:sz="2" w:space="0" w:color="auto"/>
              <w:left w:val="single" w:sz="2" w:space="0" w:color="auto"/>
              <w:bottom w:val="single" w:sz="2" w:space="0" w:color="auto"/>
              <w:right w:val="single" w:sz="2" w:space="0" w:color="auto"/>
            </w:tcBorders>
            <w:vAlign w:val="center"/>
          </w:tcPr>
          <w:p w14:paraId="2F8B148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8,685,224.06</w:t>
            </w:r>
          </w:p>
        </w:tc>
        <w:tc>
          <w:tcPr>
            <w:tcW w:w="1071" w:type="dxa"/>
            <w:tcBorders>
              <w:top w:val="single" w:sz="2" w:space="0" w:color="auto"/>
              <w:left w:val="single" w:sz="2" w:space="0" w:color="auto"/>
              <w:bottom w:val="single" w:sz="2" w:space="0" w:color="auto"/>
              <w:right w:val="single" w:sz="2" w:space="0" w:color="auto"/>
            </w:tcBorders>
            <w:vAlign w:val="center"/>
          </w:tcPr>
          <w:p w14:paraId="059FF470"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4711B4A"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230E556"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8DAECF6"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1C14F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11,314,775.94</w:t>
            </w:r>
          </w:p>
        </w:tc>
        <w:tc>
          <w:tcPr>
            <w:tcW w:w="1071" w:type="dxa"/>
            <w:tcBorders>
              <w:top w:val="single" w:sz="2" w:space="0" w:color="auto"/>
              <w:left w:val="single" w:sz="2" w:space="0" w:color="auto"/>
              <w:bottom w:val="single" w:sz="2" w:space="0" w:color="auto"/>
              <w:right w:val="single" w:sz="2" w:space="0" w:color="auto"/>
            </w:tcBorders>
            <w:vAlign w:val="center"/>
          </w:tcPr>
          <w:p w14:paraId="0009C80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8,685,224.06</w:t>
            </w:r>
          </w:p>
        </w:tc>
      </w:tr>
      <w:tr w:rsidR="001D26E7" w:rsidRPr="00F614F9" w14:paraId="330E19EB"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528E824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青岛龙大管理咨询服务有限公司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4029EC8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071" w:type="dxa"/>
            <w:tcBorders>
              <w:top w:val="single" w:sz="2" w:space="0" w:color="auto"/>
              <w:left w:val="single" w:sz="2" w:space="0" w:color="auto"/>
              <w:bottom w:val="single" w:sz="2" w:space="0" w:color="auto"/>
              <w:right w:val="single" w:sz="2" w:space="0" w:color="auto"/>
            </w:tcBorders>
            <w:vAlign w:val="center"/>
          </w:tcPr>
          <w:p w14:paraId="2362F665"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69338E4"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8FA3F24"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35550C0"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B079536"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CF4330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071" w:type="dxa"/>
            <w:tcBorders>
              <w:top w:val="single" w:sz="2" w:space="0" w:color="auto"/>
              <w:left w:val="single" w:sz="2" w:space="0" w:color="auto"/>
              <w:bottom w:val="single" w:sz="2" w:space="0" w:color="auto"/>
              <w:right w:val="single" w:sz="2" w:space="0" w:color="auto"/>
            </w:tcBorders>
            <w:vAlign w:val="center"/>
          </w:tcPr>
          <w:p w14:paraId="5F574C11"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0A7D371"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3F051BDF"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湖北龙大肉食品有限公司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420B092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3C6A565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20,000,000.00</w:t>
            </w:r>
          </w:p>
        </w:tc>
        <w:tc>
          <w:tcPr>
            <w:tcW w:w="1071" w:type="dxa"/>
            <w:tcBorders>
              <w:top w:val="single" w:sz="2" w:space="0" w:color="auto"/>
              <w:left w:val="single" w:sz="2" w:space="0" w:color="auto"/>
              <w:bottom w:val="single" w:sz="2" w:space="0" w:color="auto"/>
              <w:right w:val="single" w:sz="2" w:space="0" w:color="auto"/>
            </w:tcBorders>
            <w:vAlign w:val="center"/>
          </w:tcPr>
          <w:p w14:paraId="567FEEAC"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4F421DE"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4C3EBE9"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B3E0E35"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6B3C27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19377C4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20,000,000.00</w:t>
            </w:r>
          </w:p>
        </w:tc>
      </w:tr>
      <w:tr w:rsidR="001D26E7" w:rsidRPr="00F614F9" w14:paraId="2A3ED39F"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1673E23"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成都龙大肉食品有限公司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30C7A56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8,000,000.00</w:t>
            </w:r>
          </w:p>
        </w:tc>
        <w:tc>
          <w:tcPr>
            <w:tcW w:w="1071" w:type="dxa"/>
            <w:tcBorders>
              <w:top w:val="single" w:sz="2" w:space="0" w:color="auto"/>
              <w:left w:val="single" w:sz="2" w:space="0" w:color="auto"/>
              <w:bottom w:val="single" w:sz="2" w:space="0" w:color="auto"/>
              <w:right w:val="single" w:sz="2" w:space="0" w:color="auto"/>
            </w:tcBorders>
            <w:vAlign w:val="center"/>
          </w:tcPr>
          <w:p w14:paraId="76201EF3"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95050A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32,000,000.00</w:t>
            </w:r>
          </w:p>
        </w:tc>
        <w:tc>
          <w:tcPr>
            <w:tcW w:w="1071" w:type="dxa"/>
            <w:tcBorders>
              <w:top w:val="single" w:sz="2" w:space="0" w:color="auto"/>
              <w:left w:val="single" w:sz="2" w:space="0" w:color="auto"/>
              <w:bottom w:val="single" w:sz="2" w:space="0" w:color="auto"/>
              <w:right w:val="single" w:sz="2" w:space="0" w:color="auto"/>
            </w:tcBorders>
            <w:vAlign w:val="center"/>
          </w:tcPr>
          <w:p w14:paraId="2932102C"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0A3401B"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1DEF04D"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0B57F0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40,000,000.00</w:t>
            </w:r>
          </w:p>
        </w:tc>
        <w:tc>
          <w:tcPr>
            <w:tcW w:w="1071" w:type="dxa"/>
            <w:tcBorders>
              <w:top w:val="single" w:sz="2" w:space="0" w:color="auto"/>
              <w:left w:val="single" w:sz="2" w:space="0" w:color="auto"/>
              <w:bottom w:val="single" w:sz="2" w:space="0" w:color="auto"/>
              <w:right w:val="single" w:sz="2" w:space="0" w:color="auto"/>
            </w:tcBorders>
            <w:vAlign w:val="center"/>
          </w:tcPr>
          <w:p w14:paraId="3DD8338F"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7E36F53"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74954AD"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黑龙江龙大肉食品有限公司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6342497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100,000,000.00</w:t>
            </w:r>
          </w:p>
        </w:tc>
        <w:tc>
          <w:tcPr>
            <w:tcW w:w="1071" w:type="dxa"/>
            <w:tcBorders>
              <w:top w:val="single" w:sz="2" w:space="0" w:color="auto"/>
              <w:left w:val="single" w:sz="2" w:space="0" w:color="auto"/>
              <w:bottom w:val="single" w:sz="2" w:space="0" w:color="auto"/>
              <w:right w:val="single" w:sz="2" w:space="0" w:color="auto"/>
            </w:tcBorders>
            <w:vAlign w:val="center"/>
          </w:tcPr>
          <w:p w14:paraId="010A15AF"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AEE82CF"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B1D2DCC"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972AE06"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F8AD785"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C7B041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100,000,000.00</w:t>
            </w:r>
          </w:p>
        </w:tc>
        <w:tc>
          <w:tcPr>
            <w:tcW w:w="1071" w:type="dxa"/>
            <w:tcBorders>
              <w:top w:val="single" w:sz="2" w:space="0" w:color="auto"/>
              <w:left w:val="single" w:sz="2" w:space="0" w:color="auto"/>
              <w:bottom w:val="single" w:sz="2" w:space="0" w:color="auto"/>
              <w:right w:val="single" w:sz="2" w:space="0" w:color="auto"/>
            </w:tcBorders>
            <w:vAlign w:val="center"/>
          </w:tcPr>
          <w:p w14:paraId="465A0E4D"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18FC044B"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3B328457"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巴中龙大肉食品有限公司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1C0BD87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100,000,000.00</w:t>
            </w:r>
          </w:p>
        </w:tc>
        <w:tc>
          <w:tcPr>
            <w:tcW w:w="1071" w:type="dxa"/>
            <w:tcBorders>
              <w:top w:val="single" w:sz="2" w:space="0" w:color="auto"/>
              <w:left w:val="single" w:sz="2" w:space="0" w:color="auto"/>
              <w:bottom w:val="single" w:sz="2" w:space="0" w:color="auto"/>
              <w:right w:val="single" w:sz="2" w:space="0" w:color="auto"/>
            </w:tcBorders>
            <w:vAlign w:val="center"/>
          </w:tcPr>
          <w:p w14:paraId="0D7D4047"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917A9DB"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BDBE3AA"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DB9D7EE"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D9DCA3B"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964348B"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100,000,000.00</w:t>
            </w:r>
          </w:p>
        </w:tc>
        <w:tc>
          <w:tcPr>
            <w:tcW w:w="1071" w:type="dxa"/>
            <w:tcBorders>
              <w:top w:val="single" w:sz="2" w:space="0" w:color="auto"/>
              <w:left w:val="single" w:sz="2" w:space="0" w:color="auto"/>
              <w:bottom w:val="single" w:sz="2" w:space="0" w:color="auto"/>
              <w:right w:val="single" w:sz="2" w:space="0" w:color="auto"/>
            </w:tcBorders>
            <w:vAlign w:val="center"/>
          </w:tcPr>
          <w:p w14:paraId="64407CA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349831FF"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173D6600"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海南龙大美食有限责任公司</w:t>
            </w:r>
          </w:p>
        </w:tc>
        <w:tc>
          <w:tcPr>
            <w:tcW w:w="1071" w:type="dxa"/>
            <w:tcBorders>
              <w:top w:val="single" w:sz="2" w:space="0" w:color="auto"/>
              <w:left w:val="single" w:sz="2" w:space="0" w:color="auto"/>
              <w:bottom w:val="single" w:sz="2" w:space="0" w:color="auto"/>
              <w:right w:val="single" w:sz="2" w:space="0" w:color="auto"/>
            </w:tcBorders>
            <w:vAlign w:val="center"/>
          </w:tcPr>
          <w:p w14:paraId="297EBCA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100,000,000.00</w:t>
            </w:r>
          </w:p>
        </w:tc>
        <w:tc>
          <w:tcPr>
            <w:tcW w:w="1071" w:type="dxa"/>
            <w:tcBorders>
              <w:top w:val="single" w:sz="2" w:space="0" w:color="auto"/>
              <w:left w:val="single" w:sz="2" w:space="0" w:color="auto"/>
              <w:bottom w:val="single" w:sz="2" w:space="0" w:color="auto"/>
              <w:right w:val="single" w:sz="2" w:space="0" w:color="auto"/>
            </w:tcBorders>
            <w:vAlign w:val="center"/>
          </w:tcPr>
          <w:p w14:paraId="7E193F44"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99D0EAA"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9484616"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4B5618E"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D6C5AD4"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0E5537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100,000,000.00</w:t>
            </w:r>
          </w:p>
        </w:tc>
        <w:tc>
          <w:tcPr>
            <w:tcW w:w="1071" w:type="dxa"/>
            <w:tcBorders>
              <w:top w:val="single" w:sz="2" w:space="0" w:color="auto"/>
              <w:left w:val="single" w:sz="2" w:space="0" w:color="auto"/>
              <w:bottom w:val="single" w:sz="2" w:space="0" w:color="auto"/>
              <w:right w:val="single" w:sz="2" w:space="0" w:color="auto"/>
            </w:tcBorders>
            <w:vAlign w:val="center"/>
          </w:tcPr>
          <w:p w14:paraId="68C04EB4"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70AEE2C1"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DC2DEF9" w14:textId="77777777" w:rsidR="001D26E7" w:rsidRPr="00F614F9" w:rsidRDefault="00000000">
            <w:pPr>
              <w:spacing w:line="240" w:lineRule="exact"/>
              <w:rPr>
                <w:rFonts w:ascii="Times New Roman" w:eastAsia="宋体" w:hAnsi="Times New Roman" w:cs="宋体"/>
                <w:sz w:val="18"/>
                <w:szCs w:val="18"/>
              </w:rPr>
            </w:pPr>
            <w:r w:rsidRPr="00F614F9">
              <w:rPr>
                <w:rFonts w:ascii="Times New Roman" w:eastAsia="宋体" w:hAnsi="Times New Roman" w:cs="宋体"/>
                <w:sz w:val="18"/>
                <w:szCs w:val="18"/>
              </w:rPr>
              <w:t>山东</w:t>
            </w:r>
            <w:proofErr w:type="gramStart"/>
            <w:r w:rsidRPr="00F614F9">
              <w:rPr>
                <w:rFonts w:ascii="Times New Roman" w:eastAsia="宋体" w:hAnsi="Times New Roman" w:cs="宋体"/>
                <w:sz w:val="18"/>
                <w:szCs w:val="18"/>
              </w:rPr>
              <w:t>龙鲜生供应</w:t>
            </w:r>
            <w:proofErr w:type="gramEnd"/>
            <w:r w:rsidRPr="00F614F9">
              <w:rPr>
                <w:rFonts w:ascii="Times New Roman" w:eastAsia="宋体" w:hAnsi="Times New Roman" w:cs="宋体"/>
                <w:sz w:val="18"/>
                <w:szCs w:val="18"/>
              </w:rPr>
              <w:t>链管理有限公司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47F0E0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071" w:type="dxa"/>
            <w:tcBorders>
              <w:top w:val="single" w:sz="2" w:space="0" w:color="auto"/>
              <w:left w:val="single" w:sz="2" w:space="0" w:color="auto"/>
              <w:bottom w:val="single" w:sz="2" w:space="0" w:color="auto"/>
              <w:right w:val="single" w:sz="2" w:space="0" w:color="auto"/>
            </w:tcBorders>
            <w:vAlign w:val="center"/>
          </w:tcPr>
          <w:p w14:paraId="7EDDC979"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D87230A"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45808AD"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051D115"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DCECC3F"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17E80E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w:t>
            </w:r>
          </w:p>
        </w:tc>
        <w:tc>
          <w:tcPr>
            <w:tcW w:w="1071" w:type="dxa"/>
            <w:tcBorders>
              <w:top w:val="single" w:sz="2" w:space="0" w:color="auto"/>
              <w:left w:val="single" w:sz="2" w:space="0" w:color="auto"/>
              <w:bottom w:val="single" w:sz="2" w:space="0" w:color="auto"/>
              <w:right w:val="single" w:sz="2" w:space="0" w:color="auto"/>
            </w:tcBorders>
            <w:vAlign w:val="center"/>
          </w:tcPr>
          <w:p w14:paraId="6D22F21B"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1990570"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03DEF8B" w14:textId="77777777" w:rsidR="001D26E7" w:rsidRPr="00F614F9" w:rsidRDefault="0080040E">
            <w:pPr>
              <w:spacing w:line="240" w:lineRule="exact"/>
              <w:rPr>
                <w:rFonts w:ascii="Times New Roman" w:eastAsia="宋体" w:hAnsi="Times New Roman" w:cs="宋体"/>
                <w:sz w:val="18"/>
                <w:szCs w:val="18"/>
              </w:rPr>
            </w:pPr>
            <w:r w:rsidRPr="0080040E">
              <w:rPr>
                <w:rFonts w:ascii="Times New Roman" w:eastAsia="宋体" w:hAnsi="Times New Roman" w:cs="宋体" w:hint="eastAsia"/>
                <w:sz w:val="18"/>
                <w:szCs w:val="18"/>
              </w:rPr>
              <w:t>成都龙大科技有限公司（原：</w:t>
            </w:r>
            <w:r w:rsidRPr="00F614F9">
              <w:rPr>
                <w:rFonts w:ascii="Times New Roman" w:eastAsia="宋体" w:hAnsi="Times New Roman" w:cs="宋体"/>
                <w:sz w:val="18"/>
                <w:szCs w:val="18"/>
              </w:rPr>
              <w:t>成都</w:t>
            </w:r>
            <w:proofErr w:type="gramStart"/>
            <w:r w:rsidRPr="00F614F9">
              <w:rPr>
                <w:rFonts w:ascii="Times New Roman" w:eastAsia="宋体" w:hAnsi="Times New Roman" w:cs="宋体"/>
                <w:sz w:val="18"/>
                <w:szCs w:val="18"/>
              </w:rPr>
              <w:t>逸享潮代供应</w:t>
            </w:r>
            <w:proofErr w:type="gramEnd"/>
            <w:r w:rsidRPr="00F614F9">
              <w:rPr>
                <w:rFonts w:ascii="Times New Roman" w:eastAsia="宋体" w:hAnsi="Times New Roman" w:cs="宋体"/>
                <w:sz w:val="18"/>
                <w:szCs w:val="18"/>
              </w:rPr>
              <w:t>链管理有限公司</w:t>
            </w:r>
            <w:r>
              <w:rPr>
                <w:rFonts w:ascii="Times New Roman" w:eastAsia="宋体" w:hAnsi="Times New Roman" w:cs="宋体" w:hint="eastAsia"/>
                <w:sz w:val="18"/>
                <w:szCs w:val="18"/>
              </w:rPr>
              <w:t>）</w:t>
            </w:r>
          </w:p>
        </w:tc>
        <w:tc>
          <w:tcPr>
            <w:tcW w:w="1071" w:type="dxa"/>
            <w:tcBorders>
              <w:top w:val="single" w:sz="2" w:space="0" w:color="auto"/>
              <w:left w:val="single" w:sz="2" w:space="0" w:color="auto"/>
              <w:bottom w:val="single" w:sz="2" w:space="0" w:color="auto"/>
              <w:right w:val="single" w:sz="2" w:space="0" w:color="auto"/>
            </w:tcBorders>
            <w:vAlign w:val="center"/>
          </w:tcPr>
          <w:p w14:paraId="631B4A7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100,000,000.00</w:t>
            </w:r>
          </w:p>
        </w:tc>
        <w:tc>
          <w:tcPr>
            <w:tcW w:w="1071" w:type="dxa"/>
            <w:tcBorders>
              <w:top w:val="single" w:sz="2" w:space="0" w:color="auto"/>
              <w:left w:val="single" w:sz="2" w:space="0" w:color="auto"/>
              <w:bottom w:val="single" w:sz="2" w:space="0" w:color="auto"/>
              <w:right w:val="single" w:sz="2" w:space="0" w:color="auto"/>
            </w:tcBorders>
            <w:vAlign w:val="center"/>
          </w:tcPr>
          <w:p w14:paraId="29057095"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0BCDDD1"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8968505"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17A18D0"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416B11E"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5957F4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100,000,000.00</w:t>
            </w:r>
          </w:p>
        </w:tc>
        <w:tc>
          <w:tcPr>
            <w:tcW w:w="1071" w:type="dxa"/>
            <w:tcBorders>
              <w:top w:val="single" w:sz="2" w:space="0" w:color="auto"/>
              <w:left w:val="single" w:sz="2" w:space="0" w:color="auto"/>
              <w:bottom w:val="single" w:sz="2" w:space="0" w:color="auto"/>
              <w:right w:val="single" w:sz="2" w:space="0" w:color="auto"/>
            </w:tcBorders>
            <w:vAlign w:val="center"/>
          </w:tcPr>
          <w:p w14:paraId="034177AE" w14:textId="77777777" w:rsidR="001D26E7" w:rsidRPr="00F614F9" w:rsidRDefault="001D26E7">
            <w:pPr>
              <w:spacing w:line="240" w:lineRule="exact"/>
              <w:jc w:val="right"/>
              <w:rPr>
                <w:rFonts w:ascii="Times New Roman" w:eastAsia="宋体" w:hAnsi="Times New Roman" w:cs="宋体"/>
                <w:sz w:val="18"/>
                <w:szCs w:val="18"/>
              </w:rPr>
            </w:pPr>
          </w:p>
        </w:tc>
      </w:tr>
      <w:tr w:rsidR="001D26E7" w:rsidRPr="00F614F9" w14:paraId="0CF6EA3F"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6724825"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14:paraId="4946959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2,434,699,689.15</w:t>
            </w:r>
          </w:p>
        </w:tc>
        <w:tc>
          <w:tcPr>
            <w:tcW w:w="1071" w:type="dxa"/>
            <w:tcBorders>
              <w:top w:val="single" w:sz="2" w:space="0" w:color="auto"/>
              <w:left w:val="single" w:sz="2" w:space="0" w:color="auto"/>
              <w:bottom w:val="single" w:sz="2" w:space="0" w:color="auto"/>
              <w:right w:val="single" w:sz="2" w:space="0" w:color="auto"/>
            </w:tcBorders>
            <w:vAlign w:val="center"/>
          </w:tcPr>
          <w:p w14:paraId="33E5AD01"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103,200,046.82</w:t>
            </w:r>
          </w:p>
        </w:tc>
        <w:tc>
          <w:tcPr>
            <w:tcW w:w="1071" w:type="dxa"/>
            <w:tcBorders>
              <w:top w:val="single" w:sz="2" w:space="0" w:color="auto"/>
              <w:left w:val="single" w:sz="2" w:space="0" w:color="auto"/>
              <w:bottom w:val="single" w:sz="2" w:space="0" w:color="auto"/>
              <w:right w:val="single" w:sz="2" w:space="0" w:color="auto"/>
            </w:tcBorders>
            <w:vAlign w:val="center"/>
          </w:tcPr>
          <w:p w14:paraId="0D2ACF7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150,600,000.00</w:t>
            </w:r>
          </w:p>
        </w:tc>
        <w:tc>
          <w:tcPr>
            <w:tcW w:w="1071" w:type="dxa"/>
            <w:tcBorders>
              <w:top w:val="single" w:sz="2" w:space="0" w:color="auto"/>
              <w:left w:val="single" w:sz="2" w:space="0" w:color="auto"/>
              <w:bottom w:val="single" w:sz="2" w:space="0" w:color="auto"/>
              <w:right w:val="single" w:sz="2" w:space="0" w:color="auto"/>
            </w:tcBorders>
            <w:vAlign w:val="center"/>
          </w:tcPr>
          <w:p w14:paraId="3E65C260"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0DEB4E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11,217,866.28</w:t>
            </w:r>
          </w:p>
        </w:tc>
        <w:tc>
          <w:tcPr>
            <w:tcW w:w="1071" w:type="dxa"/>
            <w:tcBorders>
              <w:top w:val="single" w:sz="2" w:space="0" w:color="auto"/>
              <w:left w:val="single" w:sz="2" w:space="0" w:color="auto"/>
              <w:bottom w:val="single" w:sz="2" w:space="0" w:color="auto"/>
              <w:right w:val="single" w:sz="2" w:space="0" w:color="auto"/>
            </w:tcBorders>
            <w:vAlign w:val="center"/>
          </w:tcPr>
          <w:p w14:paraId="5ACF5F41" w14:textId="77777777" w:rsidR="001D26E7" w:rsidRPr="00F614F9" w:rsidRDefault="001D26E7">
            <w:pPr>
              <w:spacing w:line="240" w:lineRule="exact"/>
              <w:jc w:val="right"/>
              <w:rPr>
                <w:rFonts w:ascii="Times New Roman" w:eastAsia="宋体" w:hAnsi="Times New Roman"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086302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2,574,081,822.87</w:t>
            </w:r>
          </w:p>
        </w:tc>
        <w:tc>
          <w:tcPr>
            <w:tcW w:w="1071" w:type="dxa"/>
            <w:tcBorders>
              <w:top w:val="single" w:sz="2" w:space="0" w:color="auto"/>
              <w:left w:val="single" w:sz="2" w:space="0" w:color="auto"/>
              <w:bottom w:val="single" w:sz="2" w:space="0" w:color="auto"/>
              <w:right w:val="single" w:sz="2" w:space="0" w:color="auto"/>
            </w:tcBorders>
            <w:vAlign w:val="center"/>
          </w:tcPr>
          <w:p w14:paraId="16F3405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114,417,913.10</w:t>
            </w:r>
          </w:p>
        </w:tc>
      </w:tr>
    </w:tbl>
    <w:p w14:paraId="77853AAA"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665" w:name="_Toc989503"/>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对联营、合营企业投资</w:t>
      </w:r>
      <w:bookmarkEnd w:id="665"/>
    </w:p>
    <w:p w14:paraId="4D288C69" w14:textId="77777777" w:rsidR="00872599" w:rsidRPr="00F614F9" w:rsidRDefault="00000000">
      <w:pPr>
        <w:pStyle w:val="a3"/>
        <w:divId w:val="2021201986"/>
        <w:rPr>
          <w:rFonts w:ascii="Times New Roman" w:hAnsi="Times New Roman"/>
          <w:sz w:val="18"/>
          <w:szCs w:val="18"/>
        </w:rPr>
      </w:pPr>
      <w:r w:rsidRPr="00F614F9">
        <w:rPr>
          <w:rFonts w:ascii="Times New Roman" w:hAnsi="Times New Roman" w:hint="eastAsia"/>
          <w:sz w:val="18"/>
          <w:szCs w:val="18"/>
        </w:rPr>
        <w:t>无</w:t>
      </w:r>
    </w:p>
    <w:p w14:paraId="279F6D57"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666" w:name="_Toc989504"/>
      <w:r w:rsidRPr="00F614F9">
        <w:rPr>
          <w:rFonts w:ascii="Times New Roman" w:eastAsia="宋体" w:hAnsi="Times New Roman" w:cs="宋体"/>
          <w:b/>
          <w:bCs/>
          <w:szCs w:val="21"/>
        </w:rPr>
        <w:t>（</w:t>
      </w:r>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其他说明</w:t>
      </w:r>
      <w:bookmarkEnd w:id="666"/>
    </w:p>
    <w:p w14:paraId="2A326A3D" w14:textId="77777777" w:rsidR="00872599" w:rsidRPr="00F614F9" w:rsidRDefault="00000000">
      <w:pPr>
        <w:pStyle w:val="a3"/>
        <w:divId w:val="903639337"/>
        <w:rPr>
          <w:rFonts w:ascii="Times New Roman" w:hAnsi="Times New Roman"/>
          <w:sz w:val="18"/>
          <w:szCs w:val="18"/>
        </w:rPr>
      </w:pPr>
      <w:r w:rsidRPr="00F614F9">
        <w:rPr>
          <w:rFonts w:ascii="Times New Roman" w:hAnsi="Times New Roman" w:hint="eastAsia"/>
          <w:sz w:val="18"/>
          <w:szCs w:val="18"/>
        </w:rPr>
        <w:t>无</w:t>
      </w:r>
    </w:p>
    <w:p w14:paraId="6B227283" w14:textId="77777777" w:rsidR="001D26E7" w:rsidRPr="00F614F9" w:rsidRDefault="00000000">
      <w:pPr>
        <w:pStyle w:val="3"/>
        <w:spacing w:line="280" w:lineRule="exact"/>
        <w:jc w:val="left"/>
        <w:rPr>
          <w:rFonts w:ascii="Times New Roman" w:hAnsi="Times New Roman" w:cs="宋体"/>
          <w:b/>
          <w:bCs/>
        </w:rPr>
      </w:pPr>
      <w:bookmarkStart w:id="667" w:name="_Toc989505"/>
      <w:r w:rsidRPr="00F614F9">
        <w:rPr>
          <w:rFonts w:ascii="Times New Roman" w:hAnsi="Times New Roman" w:cs="宋体"/>
          <w:b/>
          <w:bCs/>
        </w:rPr>
        <w:lastRenderedPageBreak/>
        <w:t>4</w:t>
      </w:r>
      <w:r w:rsidRPr="00F614F9">
        <w:rPr>
          <w:rFonts w:ascii="Times New Roman" w:hAnsi="Times New Roman" w:cs="宋体"/>
          <w:b/>
          <w:bCs/>
        </w:rPr>
        <w:t>、营业收入和营业成本</w:t>
      </w:r>
      <w:bookmarkEnd w:id="667"/>
    </w:p>
    <w:p w14:paraId="238FE8F4"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1D26E7" w:rsidRPr="00F614F9" w14:paraId="00FE0A41"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2E898B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03716D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C74341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19256663"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CDC1B2F" w14:textId="77777777" w:rsidR="001D26E7" w:rsidRPr="00F614F9" w:rsidRDefault="001D26E7">
            <w:pPr>
              <w:rPr>
                <w:rFonts w:ascii="Times New Roman" w:hAnsi="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30B9D1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F953CA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B43A51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D217F81"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成本</w:t>
            </w:r>
          </w:p>
        </w:tc>
      </w:tr>
      <w:tr w:rsidR="001D26E7" w:rsidRPr="00F614F9" w14:paraId="07BD6D7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AD5945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14:paraId="7EA9C105"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5,173,004,418.08</w:t>
            </w:r>
          </w:p>
        </w:tc>
        <w:tc>
          <w:tcPr>
            <w:tcW w:w="1928" w:type="dxa"/>
            <w:tcBorders>
              <w:top w:val="single" w:sz="2" w:space="0" w:color="auto"/>
              <w:left w:val="single" w:sz="2" w:space="0" w:color="auto"/>
              <w:bottom w:val="single" w:sz="2" w:space="0" w:color="auto"/>
              <w:right w:val="single" w:sz="2" w:space="0" w:color="auto"/>
            </w:tcBorders>
            <w:vAlign w:val="center"/>
          </w:tcPr>
          <w:p w14:paraId="515EEC1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5,023,690,132.27</w:t>
            </w:r>
          </w:p>
        </w:tc>
        <w:tc>
          <w:tcPr>
            <w:tcW w:w="1928" w:type="dxa"/>
            <w:tcBorders>
              <w:top w:val="single" w:sz="2" w:space="0" w:color="auto"/>
              <w:left w:val="single" w:sz="2" w:space="0" w:color="auto"/>
              <w:bottom w:val="single" w:sz="2" w:space="0" w:color="auto"/>
              <w:right w:val="single" w:sz="2" w:space="0" w:color="auto"/>
            </w:tcBorders>
            <w:vAlign w:val="center"/>
          </w:tcPr>
          <w:p w14:paraId="4193A07E"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5,418,002,808.91</w:t>
            </w:r>
          </w:p>
        </w:tc>
        <w:tc>
          <w:tcPr>
            <w:tcW w:w="1928" w:type="dxa"/>
            <w:tcBorders>
              <w:top w:val="single" w:sz="2" w:space="0" w:color="auto"/>
              <w:left w:val="single" w:sz="2" w:space="0" w:color="auto"/>
              <w:bottom w:val="single" w:sz="2" w:space="0" w:color="auto"/>
              <w:right w:val="single" w:sz="2" w:space="0" w:color="auto"/>
            </w:tcBorders>
            <w:vAlign w:val="center"/>
          </w:tcPr>
          <w:p w14:paraId="5780EAD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5,233,205,484.72</w:t>
            </w:r>
          </w:p>
        </w:tc>
      </w:tr>
      <w:tr w:rsidR="001D26E7" w:rsidRPr="00F614F9" w14:paraId="4435C3A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91CDBF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14:paraId="332EC6D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47,775,320.90</w:t>
            </w:r>
          </w:p>
        </w:tc>
        <w:tc>
          <w:tcPr>
            <w:tcW w:w="1928" w:type="dxa"/>
            <w:tcBorders>
              <w:top w:val="single" w:sz="2" w:space="0" w:color="auto"/>
              <w:left w:val="single" w:sz="2" w:space="0" w:color="auto"/>
              <w:bottom w:val="single" w:sz="2" w:space="0" w:color="auto"/>
              <w:right w:val="single" w:sz="2" w:space="0" w:color="auto"/>
            </w:tcBorders>
            <w:vAlign w:val="center"/>
          </w:tcPr>
          <w:p w14:paraId="248E8CC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6,454,068.98</w:t>
            </w:r>
          </w:p>
        </w:tc>
        <w:tc>
          <w:tcPr>
            <w:tcW w:w="1928" w:type="dxa"/>
            <w:tcBorders>
              <w:top w:val="single" w:sz="2" w:space="0" w:color="auto"/>
              <w:left w:val="single" w:sz="2" w:space="0" w:color="auto"/>
              <w:bottom w:val="single" w:sz="2" w:space="0" w:color="auto"/>
              <w:right w:val="single" w:sz="2" w:space="0" w:color="auto"/>
            </w:tcBorders>
            <w:vAlign w:val="center"/>
          </w:tcPr>
          <w:p w14:paraId="0BBB9F5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56,670,926.76</w:t>
            </w:r>
          </w:p>
        </w:tc>
        <w:tc>
          <w:tcPr>
            <w:tcW w:w="1928" w:type="dxa"/>
            <w:tcBorders>
              <w:top w:val="single" w:sz="2" w:space="0" w:color="auto"/>
              <w:left w:val="single" w:sz="2" w:space="0" w:color="auto"/>
              <w:bottom w:val="single" w:sz="2" w:space="0" w:color="auto"/>
              <w:right w:val="single" w:sz="2" w:space="0" w:color="auto"/>
            </w:tcBorders>
            <w:vAlign w:val="center"/>
          </w:tcPr>
          <w:p w14:paraId="37DD69EF"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5,656,968.29</w:t>
            </w:r>
          </w:p>
        </w:tc>
      </w:tr>
      <w:tr w:rsidR="001D26E7" w:rsidRPr="00F614F9" w14:paraId="7C28572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DA0931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7438ECD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5,220,779,738.98</w:t>
            </w:r>
          </w:p>
        </w:tc>
        <w:tc>
          <w:tcPr>
            <w:tcW w:w="1928" w:type="dxa"/>
            <w:tcBorders>
              <w:top w:val="single" w:sz="2" w:space="0" w:color="auto"/>
              <w:left w:val="single" w:sz="2" w:space="0" w:color="auto"/>
              <w:bottom w:val="single" w:sz="2" w:space="0" w:color="auto"/>
              <w:right w:val="single" w:sz="2" w:space="0" w:color="auto"/>
            </w:tcBorders>
            <w:vAlign w:val="center"/>
          </w:tcPr>
          <w:p w14:paraId="46E2F97A"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5,030,144,201.25</w:t>
            </w:r>
          </w:p>
        </w:tc>
        <w:tc>
          <w:tcPr>
            <w:tcW w:w="1928" w:type="dxa"/>
            <w:tcBorders>
              <w:top w:val="single" w:sz="2" w:space="0" w:color="auto"/>
              <w:left w:val="single" w:sz="2" w:space="0" w:color="auto"/>
              <w:bottom w:val="single" w:sz="2" w:space="0" w:color="auto"/>
              <w:right w:val="single" w:sz="2" w:space="0" w:color="auto"/>
            </w:tcBorders>
            <w:vAlign w:val="center"/>
          </w:tcPr>
          <w:p w14:paraId="0C89A37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5,474,673,735.67</w:t>
            </w:r>
          </w:p>
        </w:tc>
        <w:tc>
          <w:tcPr>
            <w:tcW w:w="1928" w:type="dxa"/>
            <w:tcBorders>
              <w:top w:val="single" w:sz="2" w:space="0" w:color="auto"/>
              <w:left w:val="single" w:sz="2" w:space="0" w:color="auto"/>
              <w:bottom w:val="single" w:sz="2" w:space="0" w:color="auto"/>
              <w:right w:val="single" w:sz="2" w:space="0" w:color="auto"/>
            </w:tcBorders>
            <w:vAlign w:val="center"/>
          </w:tcPr>
          <w:p w14:paraId="17503C5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5,238,862,453.01</w:t>
            </w:r>
          </w:p>
        </w:tc>
      </w:tr>
    </w:tbl>
    <w:p w14:paraId="32A398A8" w14:textId="77777777" w:rsidR="001D26E7" w:rsidRPr="00F614F9" w:rsidRDefault="00000000">
      <w:pPr>
        <w:pStyle w:val="3"/>
        <w:spacing w:line="280" w:lineRule="exact"/>
        <w:jc w:val="left"/>
        <w:rPr>
          <w:rFonts w:ascii="Times New Roman" w:hAnsi="Times New Roman" w:cs="宋体"/>
          <w:b/>
          <w:bCs/>
        </w:rPr>
      </w:pPr>
      <w:bookmarkStart w:id="668" w:name="_Toc989506"/>
      <w:r w:rsidRPr="00F614F9">
        <w:rPr>
          <w:rFonts w:ascii="Times New Roman" w:hAnsi="Times New Roman" w:cs="宋体"/>
          <w:b/>
          <w:bCs/>
        </w:rPr>
        <w:t>5</w:t>
      </w:r>
      <w:r w:rsidRPr="00F614F9">
        <w:rPr>
          <w:rFonts w:ascii="Times New Roman" w:hAnsi="Times New Roman" w:cs="宋体"/>
          <w:b/>
          <w:bCs/>
        </w:rPr>
        <w:t>、投资收益</w:t>
      </w:r>
      <w:bookmarkEnd w:id="668"/>
    </w:p>
    <w:p w14:paraId="49242EAF" w14:textId="77777777" w:rsidR="001D26E7" w:rsidRPr="00F614F9" w:rsidRDefault="00000000">
      <w:pPr>
        <w:spacing w:before="40" w:after="4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07E1A40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1FDE9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AC3495"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6A022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上期发生额</w:t>
            </w:r>
          </w:p>
        </w:tc>
      </w:tr>
      <w:tr w:rsidR="001D26E7" w:rsidRPr="00F614F9" w14:paraId="510A72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5F79A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47CB3AA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2,240,000.00</w:t>
            </w:r>
          </w:p>
        </w:tc>
        <w:tc>
          <w:tcPr>
            <w:tcW w:w="3213" w:type="dxa"/>
            <w:tcBorders>
              <w:top w:val="single" w:sz="2" w:space="0" w:color="auto"/>
              <w:left w:val="single" w:sz="2" w:space="0" w:color="auto"/>
              <w:bottom w:val="single" w:sz="2" w:space="0" w:color="auto"/>
              <w:right w:val="single" w:sz="2" w:space="0" w:color="auto"/>
            </w:tcBorders>
            <w:vAlign w:val="center"/>
          </w:tcPr>
          <w:p w14:paraId="5A963F62"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560,000.00</w:t>
            </w:r>
          </w:p>
        </w:tc>
      </w:tr>
      <w:tr w:rsidR="001D26E7" w:rsidRPr="00F614F9" w14:paraId="5879157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CC52C4"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718FF82D" w14:textId="77777777" w:rsidR="001D26E7" w:rsidRPr="00F614F9" w:rsidRDefault="001D26E7">
            <w:pPr>
              <w:spacing w:line="240" w:lineRule="exact"/>
              <w:jc w:val="right"/>
              <w:rPr>
                <w:rFonts w:ascii="Times New Roman" w:eastAsia="宋体" w:hAnsi="Times New Roman"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B30C16C"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966,929.31</w:t>
            </w:r>
          </w:p>
        </w:tc>
      </w:tr>
      <w:tr w:rsidR="001D26E7" w:rsidRPr="00F614F9" w14:paraId="6DF345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385549"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42CA510"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2,240,000.00</w:t>
            </w:r>
          </w:p>
        </w:tc>
        <w:tc>
          <w:tcPr>
            <w:tcW w:w="3213" w:type="dxa"/>
            <w:tcBorders>
              <w:top w:val="single" w:sz="2" w:space="0" w:color="auto"/>
              <w:left w:val="single" w:sz="2" w:space="0" w:color="auto"/>
              <w:bottom w:val="single" w:sz="2" w:space="0" w:color="auto"/>
              <w:right w:val="single" w:sz="2" w:space="0" w:color="auto"/>
            </w:tcBorders>
            <w:vAlign w:val="center"/>
          </w:tcPr>
          <w:p w14:paraId="1FC544F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1,526,929.31</w:t>
            </w:r>
          </w:p>
        </w:tc>
      </w:tr>
    </w:tbl>
    <w:p w14:paraId="28B6235E" w14:textId="77777777" w:rsidR="001D26E7" w:rsidRPr="00F614F9" w:rsidRDefault="00000000">
      <w:pPr>
        <w:pStyle w:val="3"/>
        <w:spacing w:line="280" w:lineRule="exact"/>
        <w:jc w:val="left"/>
        <w:rPr>
          <w:rFonts w:ascii="Times New Roman" w:hAnsi="Times New Roman" w:cs="宋体"/>
          <w:b/>
          <w:bCs/>
        </w:rPr>
      </w:pPr>
      <w:bookmarkStart w:id="669" w:name="_Toc989507"/>
      <w:r w:rsidRPr="00F614F9">
        <w:rPr>
          <w:rFonts w:ascii="Times New Roman" w:hAnsi="Times New Roman" w:cs="宋体"/>
          <w:b/>
          <w:bCs/>
        </w:rPr>
        <w:t>6</w:t>
      </w:r>
      <w:r w:rsidRPr="00F614F9">
        <w:rPr>
          <w:rFonts w:ascii="Times New Roman" w:hAnsi="Times New Roman" w:cs="宋体"/>
          <w:b/>
          <w:bCs/>
        </w:rPr>
        <w:t>、其他</w:t>
      </w:r>
      <w:bookmarkEnd w:id="669"/>
    </w:p>
    <w:p w14:paraId="6E778DCF" w14:textId="77777777" w:rsidR="00872599" w:rsidRPr="00F614F9" w:rsidRDefault="00000000">
      <w:pPr>
        <w:pStyle w:val="a3"/>
        <w:divId w:val="1481967858"/>
        <w:rPr>
          <w:rFonts w:ascii="Times New Roman" w:hAnsi="Times New Roman"/>
          <w:sz w:val="18"/>
          <w:szCs w:val="18"/>
        </w:rPr>
      </w:pPr>
      <w:r w:rsidRPr="00F614F9">
        <w:rPr>
          <w:rFonts w:ascii="Times New Roman" w:hAnsi="Times New Roman" w:hint="eastAsia"/>
          <w:sz w:val="18"/>
          <w:szCs w:val="18"/>
        </w:rPr>
        <w:t>无</w:t>
      </w:r>
    </w:p>
    <w:p w14:paraId="7B883508" w14:textId="77777777" w:rsidR="001D26E7" w:rsidRPr="00F614F9" w:rsidRDefault="00000000">
      <w:pPr>
        <w:pStyle w:val="2"/>
        <w:spacing w:before="300" w:after="300" w:line="320" w:lineRule="exact"/>
        <w:rPr>
          <w:rFonts w:ascii="Times New Roman" w:eastAsia="宋体" w:hAnsi="Times New Roman" w:cs="宋体"/>
          <w:b/>
          <w:bCs/>
          <w:sz w:val="24"/>
          <w:szCs w:val="24"/>
        </w:rPr>
      </w:pPr>
      <w:bookmarkStart w:id="670" w:name="_Toc989508"/>
      <w:bookmarkStart w:id="671" w:name="_Toc164024841"/>
      <w:r w:rsidRPr="00F614F9">
        <w:rPr>
          <w:rFonts w:ascii="Times New Roman" w:eastAsia="宋体" w:hAnsi="Times New Roman" w:cs="宋体"/>
          <w:b/>
          <w:bCs/>
          <w:sz w:val="24"/>
          <w:szCs w:val="24"/>
        </w:rPr>
        <w:t>二十、补充资料</w:t>
      </w:r>
      <w:bookmarkEnd w:id="670"/>
      <w:bookmarkEnd w:id="671"/>
    </w:p>
    <w:p w14:paraId="33677768" w14:textId="77777777" w:rsidR="001D26E7" w:rsidRPr="00F614F9" w:rsidRDefault="00000000">
      <w:pPr>
        <w:pStyle w:val="3"/>
        <w:spacing w:line="280" w:lineRule="exact"/>
        <w:jc w:val="left"/>
        <w:rPr>
          <w:rFonts w:ascii="Times New Roman" w:hAnsi="Times New Roman" w:cs="宋体"/>
          <w:b/>
          <w:bCs/>
        </w:rPr>
      </w:pPr>
      <w:bookmarkStart w:id="672" w:name="_Toc989509"/>
      <w:r w:rsidRPr="00F614F9">
        <w:rPr>
          <w:rFonts w:ascii="Times New Roman" w:hAnsi="Times New Roman" w:cs="宋体"/>
          <w:b/>
          <w:bCs/>
        </w:rPr>
        <w:t>1</w:t>
      </w:r>
      <w:r w:rsidRPr="00F614F9">
        <w:rPr>
          <w:rFonts w:ascii="Times New Roman" w:hAnsi="Times New Roman" w:cs="宋体"/>
          <w:b/>
          <w:bCs/>
        </w:rPr>
        <w:t>、当期非经常性损益明细表</w:t>
      </w:r>
      <w:bookmarkEnd w:id="672"/>
    </w:p>
    <w:p w14:paraId="235CA23B"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0E5E5F">
        <w:rPr>
          <w:rFonts w:ascii="Times New Roman" w:eastAsia="宋体" w:hAnsi="Times New Roman" w:cs="宋体"/>
          <w:sz w:val="18"/>
          <w:szCs w:val="18"/>
        </w:rPr>
        <w:t>□</w:t>
      </w:r>
      <w:r w:rsidRPr="00F614F9">
        <w:rPr>
          <w:rFonts w:ascii="Times New Roman" w:eastAsia="宋体" w:hAnsi="Times New Roman" w:cs="宋体"/>
          <w:sz w:val="18"/>
          <w:szCs w:val="18"/>
        </w:rPr>
        <w:t>不适用</w:t>
      </w:r>
    </w:p>
    <w:p w14:paraId="33C875EB" w14:textId="77777777" w:rsidR="001D26E7" w:rsidRPr="00F614F9" w:rsidRDefault="00000000">
      <w:pPr>
        <w:spacing w:before="120" w:after="120"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1D26E7" w:rsidRPr="00F614F9" w14:paraId="51C768A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6092F6"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F2B200"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A35A2D"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说明</w:t>
            </w:r>
          </w:p>
        </w:tc>
      </w:tr>
      <w:tr w:rsidR="001D26E7" w:rsidRPr="00F614F9" w14:paraId="0130377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07D09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非流动性资产处置损益</w:t>
            </w:r>
          </w:p>
        </w:tc>
        <w:tc>
          <w:tcPr>
            <w:tcW w:w="3213" w:type="dxa"/>
            <w:tcBorders>
              <w:top w:val="single" w:sz="2" w:space="0" w:color="auto"/>
              <w:left w:val="single" w:sz="2" w:space="0" w:color="auto"/>
              <w:bottom w:val="single" w:sz="2" w:space="0" w:color="auto"/>
              <w:right w:val="single" w:sz="2" w:space="0" w:color="auto"/>
            </w:tcBorders>
            <w:vAlign w:val="center"/>
          </w:tcPr>
          <w:p w14:paraId="48DB55C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-175,646,622.60</w:t>
            </w:r>
          </w:p>
        </w:tc>
        <w:tc>
          <w:tcPr>
            <w:tcW w:w="3213" w:type="dxa"/>
            <w:tcBorders>
              <w:top w:val="single" w:sz="2" w:space="0" w:color="auto"/>
              <w:left w:val="single" w:sz="2" w:space="0" w:color="auto"/>
              <w:bottom w:val="single" w:sz="2" w:space="0" w:color="auto"/>
              <w:right w:val="single" w:sz="2" w:space="0" w:color="auto"/>
            </w:tcBorders>
            <w:vAlign w:val="center"/>
          </w:tcPr>
          <w:p w14:paraId="217784D9"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7132DA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CCF11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14:paraId="1E4A4B9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23,531,182.30</w:t>
            </w:r>
          </w:p>
        </w:tc>
        <w:tc>
          <w:tcPr>
            <w:tcW w:w="3213" w:type="dxa"/>
            <w:tcBorders>
              <w:top w:val="single" w:sz="2" w:space="0" w:color="auto"/>
              <w:left w:val="single" w:sz="2" w:space="0" w:color="auto"/>
              <w:bottom w:val="single" w:sz="2" w:space="0" w:color="auto"/>
              <w:right w:val="single" w:sz="2" w:space="0" w:color="auto"/>
            </w:tcBorders>
            <w:vAlign w:val="center"/>
          </w:tcPr>
          <w:p w14:paraId="23438ADC"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07FCC6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EE6D6B"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14:paraId="43E87A3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-28,669,462.62</w:t>
            </w:r>
          </w:p>
        </w:tc>
        <w:tc>
          <w:tcPr>
            <w:tcW w:w="3213" w:type="dxa"/>
            <w:tcBorders>
              <w:top w:val="single" w:sz="2" w:space="0" w:color="auto"/>
              <w:left w:val="single" w:sz="2" w:space="0" w:color="auto"/>
              <w:bottom w:val="single" w:sz="2" w:space="0" w:color="auto"/>
              <w:right w:val="single" w:sz="2" w:space="0" w:color="auto"/>
            </w:tcBorders>
            <w:vAlign w:val="center"/>
          </w:tcPr>
          <w:p w14:paraId="48A54960"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61F9FA1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69921A"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减：所得税影响额</w:t>
            </w:r>
          </w:p>
        </w:tc>
        <w:tc>
          <w:tcPr>
            <w:tcW w:w="3213" w:type="dxa"/>
            <w:tcBorders>
              <w:top w:val="single" w:sz="2" w:space="0" w:color="auto"/>
              <w:left w:val="single" w:sz="2" w:space="0" w:color="auto"/>
              <w:bottom w:val="single" w:sz="2" w:space="0" w:color="auto"/>
              <w:right w:val="single" w:sz="2" w:space="0" w:color="auto"/>
            </w:tcBorders>
            <w:vAlign w:val="center"/>
          </w:tcPr>
          <w:p w14:paraId="7816B4E7"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356,482.57</w:t>
            </w:r>
          </w:p>
        </w:tc>
        <w:tc>
          <w:tcPr>
            <w:tcW w:w="3213" w:type="dxa"/>
            <w:tcBorders>
              <w:top w:val="single" w:sz="2" w:space="0" w:color="auto"/>
              <w:left w:val="single" w:sz="2" w:space="0" w:color="auto"/>
              <w:bottom w:val="single" w:sz="2" w:space="0" w:color="auto"/>
              <w:right w:val="single" w:sz="2" w:space="0" w:color="auto"/>
            </w:tcBorders>
            <w:vAlign w:val="center"/>
          </w:tcPr>
          <w:p w14:paraId="1A26EA5F"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6FBA851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FBBA9D" w14:textId="77777777" w:rsidR="001D26E7" w:rsidRPr="00F614F9" w:rsidRDefault="00000000">
            <w:pPr>
              <w:spacing w:before="40" w:after="40" w:line="240" w:lineRule="exact"/>
              <w:ind w:firstLineChars="200" w:firstLine="360"/>
              <w:rPr>
                <w:rFonts w:ascii="Times New Roman" w:eastAsia="宋体" w:hAnsi="Times New Roman" w:cs="宋体"/>
                <w:sz w:val="18"/>
                <w:szCs w:val="18"/>
              </w:rPr>
            </w:pPr>
            <w:r w:rsidRPr="00F614F9">
              <w:rPr>
                <w:rFonts w:ascii="Times New Roman" w:eastAsia="宋体" w:hAnsi="Times New Roman" w:cs="宋体"/>
                <w:sz w:val="18"/>
                <w:szCs w:val="18"/>
              </w:rPr>
              <w:t>少数股东权益影响额（税后）</w:t>
            </w:r>
          </w:p>
        </w:tc>
        <w:tc>
          <w:tcPr>
            <w:tcW w:w="3213" w:type="dxa"/>
            <w:tcBorders>
              <w:top w:val="single" w:sz="2" w:space="0" w:color="auto"/>
              <w:left w:val="single" w:sz="2" w:space="0" w:color="auto"/>
              <w:bottom w:val="single" w:sz="2" w:space="0" w:color="auto"/>
              <w:right w:val="single" w:sz="2" w:space="0" w:color="auto"/>
            </w:tcBorders>
            <w:vAlign w:val="center"/>
          </w:tcPr>
          <w:p w14:paraId="4D3301B6"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-6,445,994.10</w:t>
            </w:r>
          </w:p>
        </w:tc>
        <w:tc>
          <w:tcPr>
            <w:tcW w:w="3213" w:type="dxa"/>
            <w:tcBorders>
              <w:top w:val="single" w:sz="2" w:space="0" w:color="auto"/>
              <w:left w:val="single" w:sz="2" w:space="0" w:color="auto"/>
              <w:bottom w:val="single" w:sz="2" w:space="0" w:color="auto"/>
              <w:right w:val="single" w:sz="2" w:space="0" w:color="auto"/>
            </w:tcBorders>
            <w:vAlign w:val="center"/>
          </w:tcPr>
          <w:p w14:paraId="38D57371" w14:textId="77777777" w:rsidR="001D26E7" w:rsidRPr="00F614F9" w:rsidRDefault="001D26E7">
            <w:pPr>
              <w:spacing w:line="240" w:lineRule="exact"/>
              <w:rPr>
                <w:rFonts w:ascii="Times New Roman" w:eastAsia="宋体" w:hAnsi="Times New Roman" w:cs="宋体"/>
                <w:sz w:val="18"/>
                <w:szCs w:val="18"/>
              </w:rPr>
            </w:pPr>
          </w:p>
        </w:tc>
      </w:tr>
      <w:tr w:rsidR="001D26E7" w:rsidRPr="00F614F9" w14:paraId="581C32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91021F"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30B4AC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-174,695,391.39</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40CD99"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w:t>
            </w:r>
          </w:p>
        </w:tc>
      </w:tr>
    </w:tbl>
    <w:p w14:paraId="4CC998F6"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其他符合非经常性损益定义的损益项目的具体情况：</w:t>
      </w:r>
    </w:p>
    <w:p w14:paraId="6CFDEE01"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64A097FE"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公司不存在其他符合非经常性损益定义的损益项目的具体情况。</w:t>
      </w:r>
    </w:p>
    <w:p w14:paraId="7FF3E062" w14:textId="77777777" w:rsidR="001D26E7" w:rsidRPr="00F614F9" w:rsidRDefault="00000000">
      <w:pPr>
        <w:spacing w:before="100" w:after="100" w:line="240" w:lineRule="exact"/>
        <w:rPr>
          <w:rFonts w:ascii="Times New Roman" w:eastAsia="宋体" w:hAnsi="Times New Roman" w:cs="宋体"/>
          <w:sz w:val="18"/>
          <w:szCs w:val="18"/>
        </w:rPr>
      </w:pPr>
      <w:r w:rsidRPr="00F614F9">
        <w:rPr>
          <w:rFonts w:ascii="Times New Roman" w:eastAsia="宋体" w:hAnsi="Times New Roman" w:cs="宋体"/>
          <w:sz w:val="18"/>
          <w:szCs w:val="18"/>
        </w:rPr>
        <w:t>将《公开发行证券的公司信息披露解释性公告第</w:t>
      </w:r>
      <w:r w:rsidRPr="00F614F9">
        <w:rPr>
          <w:rFonts w:ascii="Times New Roman" w:eastAsia="宋体" w:hAnsi="Times New Roman" w:cs="宋体"/>
          <w:sz w:val="18"/>
          <w:szCs w:val="18"/>
        </w:rPr>
        <w:t>1</w:t>
      </w:r>
      <w:r w:rsidRPr="00F614F9">
        <w:rPr>
          <w:rFonts w:ascii="Times New Roman" w:eastAsia="宋体" w:hAnsi="Times New Roman" w:cs="宋体"/>
          <w:sz w:val="18"/>
          <w:szCs w:val="18"/>
        </w:rPr>
        <w:t>号</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非经常性损益》中列举的非经常性损益项目界定为经常性损益项目的情况说明</w:t>
      </w:r>
    </w:p>
    <w:p w14:paraId="49F40C22"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328249FF" w14:textId="77777777" w:rsidR="001D26E7" w:rsidRPr="00F614F9" w:rsidRDefault="00000000">
      <w:pPr>
        <w:pStyle w:val="3"/>
        <w:spacing w:line="280" w:lineRule="exact"/>
        <w:jc w:val="left"/>
        <w:rPr>
          <w:rFonts w:ascii="Times New Roman" w:hAnsi="Times New Roman" w:cs="宋体"/>
          <w:b/>
          <w:bCs/>
        </w:rPr>
      </w:pPr>
      <w:bookmarkStart w:id="673" w:name="_Toc989510"/>
      <w:r w:rsidRPr="00F614F9">
        <w:rPr>
          <w:rFonts w:ascii="Times New Roman" w:hAnsi="Times New Roman" w:cs="宋体"/>
          <w:b/>
          <w:bCs/>
        </w:rPr>
        <w:lastRenderedPageBreak/>
        <w:t>2</w:t>
      </w:r>
      <w:r w:rsidRPr="00F614F9">
        <w:rPr>
          <w:rFonts w:ascii="Times New Roman" w:hAnsi="Times New Roman" w:cs="宋体"/>
          <w:b/>
          <w:bCs/>
        </w:rPr>
        <w:t>、净资产收益率及每股收益</w:t>
      </w:r>
      <w:bookmarkEnd w:id="673"/>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1D26E7" w:rsidRPr="00F614F9" w14:paraId="4D9CBF0A" w14:textId="7777777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B5D86B7"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报告期利润</w:t>
            </w:r>
          </w:p>
        </w:tc>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E05F478"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加权平均净资产收益率</w:t>
            </w:r>
          </w:p>
        </w:tc>
        <w:tc>
          <w:tcPr>
            <w:tcW w:w="48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5807F34"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每股收益</w:t>
            </w:r>
          </w:p>
        </w:tc>
      </w:tr>
      <w:tr w:rsidR="001D26E7" w:rsidRPr="00F614F9" w14:paraId="47F1DFFA" w14:textId="7777777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159B19C" w14:textId="77777777" w:rsidR="001D26E7" w:rsidRPr="00F614F9" w:rsidRDefault="001D26E7">
            <w:pPr>
              <w:rPr>
                <w:rFonts w:ascii="Times New Roman" w:hAnsi="Times New Roman"/>
              </w:rPr>
            </w:pPr>
          </w:p>
        </w:tc>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8FF7262" w14:textId="77777777" w:rsidR="001D26E7" w:rsidRPr="00F614F9" w:rsidRDefault="001D26E7">
            <w:pPr>
              <w:rPr>
                <w:rFonts w:ascii="Times New Roman" w:hAnsi="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AD3E2BB"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基本每股收益（元</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DAE048F" w14:textId="77777777" w:rsidR="001D26E7" w:rsidRPr="00F614F9" w:rsidRDefault="00000000">
            <w:pPr>
              <w:spacing w:before="40" w:after="40" w:line="240" w:lineRule="exact"/>
              <w:jc w:val="center"/>
              <w:rPr>
                <w:rFonts w:ascii="Times New Roman" w:eastAsia="宋体" w:hAnsi="Times New Roman" w:cs="宋体"/>
                <w:sz w:val="18"/>
                <w:szCs w:val="18"/>
              </w:rPr>
            </w:pPr>
            <w:r w:rsidRPr="00F614F9">
              <w:rPr>
                <w:rFonts w:ascii="Times New Roman" w:eastAsia="宋体" w:hAnsi="Times New Roman" w:cs="宋体"/>
                <w:sz w:val="18"/>
                <w:szCs w:val="18"/>
              </w:rPr>
              <w:t>稀释每股收益（元</w:t>
            </w:r>
            <w:r w:rsidRPr="00F614F9">
              <w:rPr>
                <w:rFonts w:ascii="Times New Roman" w:eastAsia="宋体" w:hAnsi="Times New Roman" w:cs="宋体"/>
                <w:sz w:val="18"/>
                <w:szCs w:val="18"/>
              </w:rPr>
              <w:t>/</w:t>
            </w:r>
            <w:r w:rsidRPr="00F614F9">
              <w:rPr>
                <w:rFonts w:ascii="Times New Roman" w:eastAsia="宋体" w:hAnsi="Times New Roman" w:cs="宋体"/>
                <w:sz w:val="18"/>
                <w:szCs w:val="18"/>
              </w:rPr>
              <w:t>股）</w:t>
            </w:r>
          </w:p>
        </w:tc>
      </w:tr>
      <w:tr w:rsidR="001D26E7" w:rsidRPr="00F614F9" w14:paraId="118D1191"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52A67BE"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14:paraId="66DAA968"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-67.</w:t>
            </w:r>
            <w:r w:rsidR="00EE433A">
              <w:rPr>
                <w:rFonts w:ascii="Times New Roman" w:eastAsia="宋体" w:hAnsi="Times New Roman" w:cs="宋体" w:hint="eastAsia"/>
                <w:sz w:val="18"/>
                <w:szCs w:val="18"/>
              </w:rPr>
              <w:t>2</w:t>
            </w:r>
            <w:r w:rsidRPr="00F614F9">
              <w:rPr>
                <w:rFonts w:ascii="Times New Roman" w:eastAsia="宋体" w:hAnsi="Times New Roman" w:cs="宋体"/>
                <w:sz w:val="18"/>
                <w:szCs w:val="18"/>
              </w:rPr>
              <w:t>3%</w:t>
            </w:r>
          </w:p>
        </w:tc>
        <w:tc>
          <w:tcPr>
            <w:tcW w:w="2410" w:type="dxa"/>
            <w:tcBorders>
              <w:top w:val="single" w:sz="2" w:space="0" w:color="auto"/>
              <w:left w:val="single" w:sz="2" w:space="0" w:color="auto"/>
              <w:bottom w:val="single" w:sz="2" w:space="0" w:color="auto"/>
              <w:right w:val="single" w:sz="2" w:space="0" w:color="auto"/>
            </w:tcBorders>
            <w:vAlign w:val="center"/>
          </w:tcPr>
          <w:p w14:paraId="6DA1DC4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-1.43</w:t>
            </w:r>
          </w:p>
        </w:tc>
        <w:tc>
          <w:tcPr>
            <w:tcW w:w="2410" w:type="dxa"/>
            <w:tcBorders>
              <w:top w:val="single" w:sz="2" w:space="0" w:color="auto"/>
              <w:left w:val="single" w:sz="2" w:space="0" w:color="auto"/>
              <w:bottom w:val="single" w:sz="2" w:space="0" w:color="auto"/>
              <w:right w:val="single" w:sz="2" w:space="0" w:color="auto"/>
            </w:tcBorders>
            <w:vAlign w:val="center"/>
          </w:tcPr>
          <w:p w14:paraId="758BDC3D"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-1.28</w:t>
            </w:r>
          </w:p>
        </w:tc>
      </w:tr>
      <w:tr w:rsidR="001D26E7" w:rsidRPr="00F614F9" w14:paraId="5AC040C1"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BE78F76" w14:textId="77777777" w:rsidR="001D26E7" w:rsidRPr="00F614F9" w:rsidRDefault="00000000">
            <w:pPr>
              <w:spacing w:before="40" w:after="40" w:line="240" w:lineRule="exact"/>
              <w:rPr>
                <w:rFonts w:ascii="Times New Roman" w:eastAsia="宋体" w:hAnsi="Times New Roman" w:cs="宋体"/>
                <w:sz w:val="18"/>
                <w:szCs w:val="18"/>
              </w:rPr>
            </w:pPr>
            <w:r w:rsidRPr="00F614F9">
              <w:rPr>
                <w:rFonts w:ascii="Times New Roman" w:eastAsia="宋体" w:hAnsi="Times New Roman" w:cs="宋体"/>
                <w:sz w:val="18"/>
                <w:szCs w:val="18"/>
              </w:rPr>
              <w:t>扣除非经常性损益后归属于公司普通股股东的净利润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14:paraId="2D778D04"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-59.</w:t>
            </w:r>
            <w:r w:rsidR="00EE433A">
              <w:rPr>
                <w:rFonts w:ascii="Times New Roman" w:eastAsia="宋体" w:hAnsi="Times New Roman" w:cs="宋体" w:hint="eastAsia"/>
                <w:sz w:val="18"/>
                <w:szCs w:val="18"/>
              </w:rPr>
              <w:t>60</w:t>
            </w:r>
            <w:r w:rsidRPr="00F614F9">
              <w:rPr>
                <w:rFonts w:ascii="Times New Roman" w:eastAsia="宋体" w:hAnsi="Times New Roman" w:cs="宋体"/>
                <w:sz w:val="18"/>
                <w:szCs w:val="18"/>
              </w:rPr>
              <w:t>%</w:t>
            </w:r>
          </w:p>
        </w:tc>
        <w:tc>
          <w:tcPr>
            <w:tcW w:w="2410" w:type="dxa"/>
            <w:tcBorders>
              <w:top w:val="single" w:sz="2" w:space="0" w:color="auto"/>
              <w:left w:val="single" w:sz="2" w:space="0" w:color="auto"/>
              <w:bottom w:val="single" w:sz="2" w:space="0" w:color="auto"/>
              <w:right w:val="single" w:sz="2" w:space="0" w:color="auto"/>
            </w:tcBorders>
            <w:vAlign w:val="center"/>
          </w:tcPr>
          <w:p w14:paraId="5E69A2B3"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-1.26</w:t>
            </w:r>
          </w:p>
        </w:tc>
        <w:tc>
          <w:tcPr>
            <w:tcW w:w="2410" w:type="dxa"/>
            <w:tcBorders>
              <w:top w:val="single" w:sz="2" w:space="0" w:color="auto"/>
              <w:left w:val="single" w:sz="2" w:space="0" w:color="auto"/>
              <w:bottom w:val="single" w:sz="2" w:space="0" w:color="auto"/>
              <w:right w:val="single" w:sz="2" w:space="0" w:color="auto"/>
            </w:tcBorders>
            <w:vAlign w:val="center"/>
          </w:tcPr>
          <w:p w14:paraId="15939B79" w14:textId="77777777" w:rsidR="001D26E7" w:rsidRPr="00F614F9" w:rsidRDefault="00000000">
            <w:pPr>
              <w:spacing w:line="240" w:lineRule="exact"/>
              <w:jc w:val="right"/>
              <w:rPr>
                <w:rFonts w:ascii="Times New Roman" w:eastAsia="宋体" w:hAnsi="Times New Roman" w:cs="宋体"/>
                <w:sz w:val="18"/>
                <w:szCs w:val="18"/>
              </w:rPr>
            </w:pPr>
            <w:r w:rsidRPr="00F614F9">
              <w:rPr>
                <w:rFonts w:ascii="Times New Roman" w:eastAsia="宋体" w:hAnsi="Times New Roman" w:cs="宋体"/>
                <w:sz w:val="18"/>
                <w:szCs w:val="18"/>
              </w:rPr>
              <w:t>-1.1</w:t>
            </w:r>
            <w:r w:rsidR="00EE433A">
              <w:rPr>
                <w:rFonts w:ascii="Times New Roman" w:eastAsia="宋体" w:hAnsi="Times New Roman" w:cs="宋体" w:hint="eastAsia"/>
                <w:sz w:val="18"/>
                <w:szCs w:val="18"/>
              </w:rPr>
              <w:t>3</w:t>
            </w:r>
          </w:p>
        </w:tc>
      </w:tr>
    </w:tbl>
    <w:p w14:paraId="1C81171D" w14:textId="77777777" w:rsidR="001D26E7" w:rsidRPr="00F614F9" w:rsidRDefault="00000000">
      <w:pPr>
        <w:pStyle w:val="3"/>
        <w:spacing w:line="280" w:lineRule="exact"/>
        <w:jc w:val="left"/>
        <w:rPr>
          <w:rFonts w:ascii="Times New Roman" w:hAnsi="Times New Roman" w:cs="宋体"/>
          <w:b/>
          <w:bCs/>
        </w:rPr>
      </w:pPr>
      <w:bookmarkStart w:id="674" w:name="_Toc989511"/>
      <w:r w:rsidRPr="00F614F9">
        <w:rPr>
          <w:rFonts w:ascii="Times New Roman" w:hAnsi="Times New Roman" w:cs="宋体"/>
          <w:b/>
          <w:bCs/>
        </w:rPr>
        <w:t>3</w:t>
      </w:r>
      <w:r w:rsidRPr="00F614F9">
        <w:rPr>
          <w:rFonts w:ascii="Times New Roman" w:hAnsi="Times New Roman" w:cs="宋体"/>
          <w:b/>
          <w:bCs/>
        </w:rPr>
        <w:t>、境内外会计准则下会计数据差异</w:t>
      </w:r>
      <w:bookmarkEnd w:id="674"/>
    </w:p>
    <w:p w14:paraId="1F6075B3"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675" w:name="_Toc989512"/>
      <w:r w:rsidRPr="00F614F9">
        <w:rPr>
          <w:rFonts w:ascii="Times New Roman" w:eastAsia="宋体" w:hAnsi="Times New Roman" w:cs="宋体"/>
          <w:b/>
          <w:bCs/>
          <w:szCs w:val="21"/>
        </w:rPr>
        <w:t>（</w:t>
      </w:r>
      <w:r w:rsidRPr="00F614F9">
        <w:rPr>
          <w:rFonts w:ascii="Times New Roman" w:eastAsia="宋体" w:hAnsi="Times New Roman" w:cs="宋体"/>
          <w:b/>
          <w:bCs/>
          <w:szCs w:val="21"/>
        </w:rPr>
        <w:t>1</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同时按照国际会计准则与按中国会计准则披露的财务</w:t>
      </w:r>
      <w:proofErr w:type="gramStart"/>
      <w:r w:rsidRPr="00F614F9">
        <w:rPr>
          <w:rFonts w:ascii="Times New Roman" w:eastAsia="宋体" w:hAnsi="Times New Roman" w:cs="宋体"/>
          <w:b/>
          <w:bCs/>
          <w:szCs w:val="21"/>
        </w:rPr>
        <w:t>报告中净利润</w:t>
      </w:r>
      <w:proofErr w:type="gramEnd"/>
      <w:r w:rsidRPr="00F614F9">
        <w:rPr>
          <w:rFonts w:ascii="Times New Roman" w:eastAsia="宋体" w:hAnsi="Times New Roman" w:cs="宋体"/>
          <w:b/>
          <w:bCs/>
          <w:szCs w:val="21"/>
        </w:rPr>
        <w:t>和净资产差异情况</w:t>
      </w:r>
      <w:bookmarkEnd w:id="675"/>
    </w:p>
    <w:p w14:paraId="5290166A" w14:textId="77777777" w:rsidR="001D26E7" w:rsidRPr="00F614F9" w:rsidRDefault="00000000">
      <w:pPr>
        <w:spacing w:before="100" w:after="100"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7CB8B7CC"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676" w:name="_Toc989513"/>
      <w:r w:rsidRPr="00F614F9">
        <w:rPr>
          <w:rFonts w:ascii="Times New Roman" w:eastAsia="宋体" w:hAnsi="Times New Roman" w:cs="宋体"/>
          <w:b/>
          <w:bCs/>
          <w:szCs w:val="21"/>
        </w:rPr>
        <w:t>（</w:t>
      </w:r>
      <w:r w:rsidRPr="00F614F9">
        <w:rPr>
          <w:rFonts w:ascii="Times New Roman" w:eastAsia="宋体" w:hAnsi="Times New Roman" w:cs="宋体"/>
          <w:b/>
          <w:bCs/>
          <w:szCs w:val="21"/>
        </w:rPr>
        <w:t>2</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同时按照境外会计准则与按中国会计准则披露的财务</w:t>
      </w:r>
      <w:proofErr w:type="gramStart"/>
      <w:r w:rsidRPr="00F614F9">
        <w:rPr>
          <w:rFonts w:ascii="Times New Roman" w:eastAsia="宋体" w:hAnsi="Times New Roman" w:cs="宋体"/>
          <w:b/>
          <w:bCs/>
          <w:szCs w:val="21"/>
        </w:rPr>
        <w:t>报告中净利润</w:t>
      </w:r>
      <w:proofErr w:type="gramEnd"/>
      <w:r w:rsidRPr="00F614F9">
        <w:rPr>
          <w:rFonts w:ascii="Times New Roman" w:eastAsia="宋体" w:hAnsi="Times New Roman" w:cs="宋体"/>
          <w:b/>
          <w:bCs/>
          <w:szCs w:val="21"/>
        </w:rPr>
        <w:t>和净资产差异情况</w:t>
      </w:r>
      <w:bookmarkEnd w:id="676"/>
    </w:p>
    <w:p w14:paraId="556FFE66" w14:textId="77777777" w:rsidR="001D26E7" w:rsidRPr="00F614F9" w:rsidRDefault="00000000">
      <w:pPr>
        <w:spacing w:line="240" w:lineRule="exact"/>
        <w:rPr>
          <w:rFonts w:ascii="Times New Roman" w:eastAsia="宋体" w:hAnsi="Times New Roman" w:cs="宋体"/>
          <w:sz w:val="18"/>
          <w:szCs w:val="18"/>
        </w:rPr>
      </w:pPr>
      <w:r w:rsidRPr="000E5E5F">
        <w:rPr>
          <w:rFonts w:ascii="Times New Roman" w:eastAsia="宋体" w:hAnsi="Times New Roman" w:cs="宋体"/>
          <w:sz w:val="18"/>
          <w:szCs w:val="18"/>
        </w:rPr>
        <w:t>□</w:t>
      </w:r>
      <w:r w:rsidRPr="00F614F9">
        <w:rPr>
          <w:rFonts w:ascii="Times New Roman" w:eastAsia="宋体" w:hAnsi="Times New Roman" w:cs="宋体"/>
          <w:sz w:val="18"/>
          <w:szCs w:val="18"/>
        </w:rPr>
        <w:t>适用</w:t>
      </w:r>
      <w:r w:rsidRPr="00F614F9">
        <w:rPr>
          <w:rFonts w:ascii="Times New Roman" w:eastAsia="宋体" w:hAnsi="Times New Roman" w:cs="宋体"/>
          <w:sz w:val="18"/>
          <w:szCs w:val="18"/>
        </w:rPr>
        <w:t xml:space="preserve"> </w:t>
      </w:r>
      <w:r w:rsidRPr="00F614F9">
        <w:rPr>
          <w:rFonts w:ascii="Times New Roman" w:eastAsia="宋体" w:hAnsi="Times New Roman" w:cs="宋体"/>
          <w:sz w:val="18"/>
          <w:szCs w:val="18"/>
        </w:rPr>
        <w:sym w:font="Wingdings 2" w:char="F052"/>
      </w:r>
      <w:r w:rsidRPr="00F614F9">
        <w:rPr>
          <w:rFonts w:ascii="Times New Roman" w:eastAsia="宋体" w:hAnsi="Times New Roman" w:cs="宋体"/>
          <w:sz w:val="18"/>
          <w:szCs w:val="18"/>
        </w:rPr>
        <w:t>不适用</w:t>
      </w:r>
    </w:p>
    <w:p w14:paraId="447F8178" w14:textId="77777777" w:rsidR="001D26E7" w:rsidRPr="00F614F9" w:rsidRDefault="00000000">
      <w:pPr>
        <w:keepNext/>
        <w:keepLines/>
        <w:spacing w:before="300" w:after="300" w:line="280" w:lineRule="exact"/>
        <w:outlineLvl w:val="3"/>
        <w:rPr>
          <w:rFonts w:ascii="Times New Roman" w:eastAsia="宋体" w:hAnsi="Times New Roman" w:cs="宋体"/>
          <w:b/>
          <w:bCs/>
          <w:szCs w:val="21"/>
        </w:rPr>
      </w:pPr>
      <w:bookmarkStart w:id="677" w:name="_Toc989514"/>
      <w:r w:rsidRPr="00F614F9">
        <w:rPr>
          <w:rFonts w:ascii="Times New Roman" w:eastAsia="宋体" w:hAnsi="Times New Roman" w:cs="宋体"/>
          <w:b/>
          <w:bCs/>
          <w:szCs w:val="21"/>
        </w:rPr>
        <w:t>（</w:t>
      </w:r>
      <w:r w:rsidRPr="00F614F9">
        <w:rPr>
          <w:rFonts w:ascii="Times New Roman" w:eastAsia="宋体" w:hAnsi="Times New Roman" w:cs="宋体"/>
          <w:b/>
          <w:bCs/>
          <w:szCs w:val="21"/>
        </w:rPr>
        <w:t>3</w:t>
      </w:r>
      <w:r w:rsidRPr="00F614F9">
        <w:rPr>
          <w:rFonts w:ascii="Times New Roman" w:eastAsia="宋体" w:hAnsi="Times New Roman" w:cs="宋体"/>
          <w:b/>
          <w:bCs/>
          <w:szCs w:val="21"/>
        </w:rPr>
        <w:t>）</w:t>
      </w:r>
      <w:r w:rsidRPr="00F614F9">
        <w:rPr>
          <w:rFonts w:ascii="Times New Roman" w:eastAsia="宋体" w:hAnsi="Times New Roman" w:cs="宋体"/>
          <w:b/>
          <w:bCs/>
          <w:szCs w:val="21"/>
        </w:rPr>
        <w:t xml:space="preserve"> </w:t>
      </w:r>
      <w:r w:rsidRPr="00F614F9">
        <w:rPr>
          <w:rFonts w:ascii="Times New Roman" w:eastAsia="宋体" w:hAnsi="Times New Roman" w:cs="宋体"/>
          <w:b/>
          <w:bCs/>
          <w:szCs w:val="21"/>
        </w:rPr>
        <w:t>境内外会计准则下会计数据差异原因说明，对已经境外审计机构审计的数据进行差异调节的，应注明该境外机构的名称</w:t>
      </w:r>
      <w:bookmarkEnd w:id="677"/>
    </w:p>
    <w:p w14:paraId="6A96C071" w14:textId="77777777" w:rsidR="001D26E7" w:rsidRPr="00F614F9" w:rsidRDefault="00000000">
      <w:pPr>
        <w:pStyle w:val="3"/>
        <w:spacing w:line="280" w:lineRule="exact"/>
        <w:jc w:val="left"/>
        <w:rPr>
          <w:rFonts w:ascii="Times New Roman" w:hAnsi="Times New Roman" w:cs="宋体"/>
          <w:b/>
          <w:bCs/>
        </w:rPr>
      </w:pPr>
      <w:bookmarkStart w:id="678" w:name="_Toc989515"/>
      <w:r w:rsidRPr="00F614F9">
        <w:rPr>
          <w:rFonts w:ascii="Times New Roman" w:hAnsi="Times New Roman" w:cs="宋体"/>
          <w:b/>
          <w:bCs/>
        </w:rPr>
        <w:t>4</w:t>
      </w:r>
      <w:r w:rsidRPr="00F614F9">
        <w:rPr>
          <w:rFonts w:ascii="Times New Roman" w:hAnsi="Times New Roman" w:cs="宋体"/>
          <w:b/>
          <w:bCs/>
        </w:rPr>
        <w:t>、其他</w:t>
      </w:r>
      <w:bookmarkEnd w:id="678"/>
    </w:p>
    <w:p w14:paraId="3461A5D0" w14:textId="77777777" w:rsidR="001D26E7" w:rsidRPr="00F614F9" w:rsidRDefault="001D26E7">
      <w:pPr>
        <w:rPr>
          <w:rFonts w:ascii="Times New Roman" w:hAnsi="Times New Roman"/>
        </w:rPr>
      </w:pPr>
    </w:p>
    <w:p w14:paraId="2122F295" w14:textId="77777777" w:rsidR="001D26E7" w:rsidRPr="00F614F9" w:rsidRDefault="001D26E7">
      <w:pPr>
        <w:spacing w:before="100" w:after="100" w:line="0" w:lineRule="atLeast"/>
        <w:rPr>
          <w:rFonts w:ascii="Times New Roman" w:hAnsi="Times New Roman"/>
        </w:rPr>
      </w:pPr>
    </w:p>
    <w:sectPr w:rsidR="001D26E7" w:rsidRPr="00F614F9">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AB890" w14:textId="77777777" w:rsidR="00732DE1" w:rsidRDefault="00732DE1">
      <w:r>
        <w:separator/>
      </w:r>
    </w:p>
  </w:endnote>
  <w:endnote w:type="continuationSeparator" w:id="0">
    <w:p w14:paraId="1AC0AC39" w14:textId="77777777" w:rsidR="00732DE1" w:rsidRDefault="00732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A50EC" w14:textId="77777777" w:rsidR="001D26E7" w:rsidRDefault="00000000">
    <w:pPr>
      <w:pStyle w:val="fotter1"/>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ABB9F" w14:textId="77777777" w:rsidR="00732DE1" w:rsidRDefault="00732DE1">
      <w:r>
        <w:separator/>
      </w:r>
    </w:p>
  </w:footnote>
  <w:footnote w:type="continuationSeparator" w:id="0">
    <w:p w14:paraId="0050BD22" w14:textId="77777777" w:rsidR="00732DE1" w:rsidRDefault="00732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CB2D4" w14:textId="77777777" w:rsidR="001D26E7" w:rsidRDefault="00000000">
    <w:pPr>
      <w:pStyle w:val="Header1"/>
      <w:pBdr>
        <w:bottom w:val="single" w:sz="6" w:space="1" w:color="auto"/>
      </w:pBdr>
    </w:pPr>
    <w:r>
      <w:t>山东龙大美食股份有限公司2023年年度报告全文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E7"/>
    <w:rsid w:val="0001660E"/>
    <w:rsid w:val="000441DC"/>
    <w:rsid w:val="00084E30"/>
    <w:rsid w:val="000C52A2"/>
    <w:rsid w:val="000E4C8D"/>
    <w:rsid w:val="000E5E5F"/>
    <w:rsid w:val="001407A3"/>
    <w:rsid w:val="00161775"/>
    <w:rsid w:val="00175E0D"/>
    <w:rsid w:val="001A55EB"/>
    <w:rsid w:val="001B61B9"/>
    <w:rsid w:val="001D26E7"/>
    <w:rsid w:val="002437F4"/>
    <w:rsid w:val="00254FAD"/>
    <w:rsid w:val="00295573"/>
    <w:rsid w:val="002A34D2"/>
    <w:rsid w:val="002B3EAC"/>
    <w:rsid w:val="002B7559"/>
    <w:rsid w:val="002E4EA5"/>
    <w:rsid w:val="00346031"/>
    <w:rsid w:val="003D1157"/>
    <w:rsid w:val="003D1C40"/>
    <w:rsid w:val="003D5963"/>
    <w:rsid w:val="00407C41"/>
    <w:rsid w:val="004164F4"/>
    <w:rsid w:val="004475B5"/>
    <w:rsid w:val="00455489"/>
    <w:rsid w:val="0046402E"/>
    <w:rsid w:val="004E24AA"/>
    <w:rsid w:val="005A6648"/>
    <w:rsid w:val="005E5194"/>
    <w:rsid w:val="00624FD8"/>
    <w:rsid w:val="00640067"/>
    <w:rsid w:val="00643505"/>
    <w:rsid w:val="006631BB"/>
    <w:rsid w:val="006C7FCA"/>
    <w:rsid w:val="00704A2A"/>
    <w:rsid w:val="00732DE1"/>
    <w:rsid w:val="0075038C"/>
    <w:rsid w:val="00751404"/>
    <w:rsid w:val="007562DC"/>
    <w:rsid w:val="0076572E"/>
    <w:rsid w:val="007A5DFB"/>
    <w:rsid w:val="007C0164"/>
    <w:rsid w:val="007E1BEF"/>
    <w:rsid w:val="0080040E"/>
    <w:rsid w:val="0080112C"/>
    <w:rsid w:val="0084625D"/>
    <w:rsid w:val="00872599"/>
    <w:rsid w:val="0087500A"/>
    <w:rsid w:val="00884603"/>
    <w:rsid w:val="00886EFE"/>
    <w:rsid w:val="0089355B"/>
    <w:rsid w:val="008B38D1"/>
    <w:rsid w:val="008C770F"/>
    <w:rsid w:val="008F3C95"/>
    <w:rsid w:val="00920727"/>
    <w:rsid w:val="00930C47"/>
    <w:rsid w:val="00977E90"/>
    <w:rsid w:val="0098145A"/>
    <w:rsid w:val="009D128E"/>
    <w:rsid w:val="009E2AA2"/>
    <w:rsid w:val="009F47EB"/>
    <w:rsid w:val="00A3396D"/>
    <w:rsid w:val="00AD32B3"/>
    <w:rsid w:val="00B0630F"/>
    <w:rsid w:val="00B11EA0"/>
    <w:rsid w:val="00B21A26"/>
    <w:rsid w:val="00B37120"/>
    <w:rsid w:val="00B77F5F"/>
    <w:rsid w:val="00BE4446"/>
    <w:rsid w:val="00C00C4E"/>
    <w:rsid w:val="00C90873"/>
    <w:rsid w:val="00C9135A"/>
    <w:rsid w:val="00CE4352"/>
    <w:rsid w:val="00D020FC"/>
    <w:rsid w:val="00DC51DE"/>
    <w:rsid w:val="00E03F6D"/>
    <w:rsid w:val="00E20024"/>
    <w:rsid w:val="00E84C0C"/>
    <w:rsid w:val="00E90415"/>
    <w:rsid w:val="00E94890"/>
    <w:rsid w:val="00EC352F"/>
    <w:rsid w:val="00EE433A"/>
    <w:rsid w:val="00F22177"/>
    <w:rsid w:val="00F614F9"/>
    <w:rsid w:val="00F7290B"/>
    <w:rsid w:val="00F7689A"/>
    <w:rsid w:val="00FD2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7BBDE"/>
  <w15:docId w15:val="{C53B7E9C-5168-4CA3-B541-BC06651E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
    <w:unhideWhenUsed/>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TOC1">
    <w:name w:val="toc 1"/>
    <w:basedOn w:val="a"/>
    <w:next w:val="a"/>
    <w:autoRedefine/>
    <w:uiPriority w:val="39"/>
    <w:rsid w:val="005E5194"/>
    <w:pPr>
      <w:tabs>
        <w:tab w:val="right" w:leader="dot" w:pos="9627"/>
      </w:tabs>
      <w:spacing w:line="480" w:lineRule="auto"/>
    </w:pPr>
  </w:style>
  <w:style w:type="paragraph" w:styleId="TOC2">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14:ligatures w14:val="none"/>
    </w:rPr>
  </w:style>
  <w:style w:type="character" w:styleId="a4">
    <w:name w:val="Strong"/>
    <w:basedOn w:val="a0"/>
    <w:uiPriority w:val="22"/>
    <w:qFormat/>
    <w:rPr>
      <w:b/>
      <w:bCs/>
    </w:rPr>
  </w:style>
  <w:style w:type="character" w:styleId="a5">
    <w:name w:val="Emphasis"/>
    <w:basedOn w:val="a0"/>
    <w:uiPriority w:val="20"/>
    <w:qFormat/>
    <w:rPr>
      <w:i/>
      <w:iCs/>
    </w:rPr>
  </w:style>
  <w:style w:type="paragraph" w:customStyle="1" w:styleId="16">
    <w:name w:val="16"/>
    <w:basedOn w:val="a"/>
    <w:pPr>
      <w:widowControl/>
      <w:spacing w:before="100" w:beforeAutospacing="1" w:after="100" w:afterAutospacing="1"/>
    </w:pPr>
    <w:rPr>
      <w:rFonts w:ascii="宋体" w:eastAsia="宋体" w:hAnsi="宋体" w:cs="宋体"/>
      <w:kern w:val="0"/>
      <w:sz w:val="24"/>
      <w:szCs w:val="24"/>
      <w14:ligatures w14:val="none"/>
    </w:rPr>
  </w:style>
  <w:style w:type="paragraph" w:styleId="a6">
    <w:name w:val="header"/>
    <w:basedOn w:val="a"/>
    <w:link w:val="a7"/>
    <w:uiPriority w:val="99"/>
    <w:unhideWhenUsed/>
    <w:rsid w:val="00D020FC"/>
    <w:pPr>
      <w:tabs>
        <w:tab w:val="center" w:pos="4153"/>
        <w:tab w:val="right" w:pos="8306"/>
      </w:tabs>
      <w:snapToGrid w:val="0"/>
      <w:jc w:val="center"/>
    </w:pPr>
    <w:rPr>
      <w:sz w:val="18"/>
      <w:szCs w:val="18"/>
    </w:rPr>
  </w:style>
  <w:style w:type="character" w:customStyle="1" w:styleId="a7">
    <w:name w:val="页眉 字符"/>
    <w:basedOn w:val="a0"/>
    <w:link w:val="a6"/>
    <w:uiPriority w:val="99"/>
    <w:rsid w:val="00D020FC"/>
    <w:rPr>
      <w:sz w:val="18"/>
      <w:szCs w:val="18"/>
    </w:rPr>
  </w:style>
  <w:style w:type="paragraph" w:styleId="a8">
    <w:name w:val="footer"/>
    <w:basedOn w:val="a"/>
    <w:link w:val="a9"/>
    <w:uiPriority w:val="99"/>
    <w:unhideWhenUsed/>
    <w:rsid w:val="00D020FC"/>
    <w:pPr>
      <w:tabs>
        <w:tab w:val="center" w:pos="4153"/>
        <w:tab w:val="right" w:pos="8306"/>
      </w:tabs>
      <w:snapToGrid w:val="0"/>
    </w:pPr>
    <w:rPr>
      <w:sz w:val="18"/>
      <w:szCs w:val="18"/>
    </w:rPr>
  </w:style>
  <w:style w:type="character" w:customStyle="1" w:styleId="a9">
    <w:name w:val="页脚 字符"/>
    <w:basedOn w:val="a0"/>
    <w:link w:val="a8"/>
    <w:uiPriority w:val="99"/>
    <w:rsid w:val="00D020FC"/>
    <w:rPr>
      <w:sz w:val="18"/>
      <w:szCs w:val="18"/>
    </w:rPr>
  </w:style>
  <w:style w:type="paragraph" w:styleId="TOC3">
    <w:name w:val="toc 3"/>
    <w:basedOn w:val="a"/>
    <w:next w:val="a"/>
    <w:autoRedefine/>
    <w:uiPriority w:val="39"/>
    <w:unhideWhenUsed/>
    <w:rsid w:val="00F614F9"/>
    <w:pPr>
      <w:ind w:leftChars="400" w:left="840"/>
      <w:jc w:val="both"/>
    </w:pPr>
  </w:style>
  <w:style w:type="paragraph" w:styleId="TOC4">
    <w:name w:val="toc 4"/>
    <w:basedOn w:val="a"/>
    <w:next w:val="a"/>
    <w:autoRedefine/>
    <w:uiPriority w:val="39"/>
    <w:unhideWhenUsed/>
    <w:rsid w:val="00F614F9"/>
    <w:pPr>
      <w:ind w:leftChars="600" w:left="1260"/>
      <w:jc w:val="both"/>
    </w:pPr>
  </w:style>
  <w:style w:type="paragraph" w:styleId="TOC5">
    <w:name w:val="toc 5"/>
    <w:basedOn w:val="a"/>
    <w:next w:val="a"/>
    <w:autoRedefine/>
    <w:uiPriority w:val="39"/>
    <w:unhideWhenUsed/>
    <w:rsid w:val="00F614F9"/>
    <w:pPr>
      <w:ind w:leftChars="800" w:left="1680"/>
      <w:jc w:val="both"/>
    </w:pPr>
  </w:style>
  <w:style w:type="paragraph" w:styleId="TOC6">
    <w:name w:val="toc 6"/>
    <w:basedOn w:val="a"/>
    <w:next w:val="a"/>
    <w:autoRedefine/>
    <w:uiPriority w:val="39"/>
    <w:unhideWhenUsed/>
    <w:rsid w:val="00F614F9"/>
    <w:pPr>
      <w:ind w:leftChars="1000" w:left="2100"/>
      <w:jc w:val="both"/>
    </w:pPr>
  </w:style>
  <w:style w:type="paragraph" w:styleId="TOC7">
    <w:name w:val="toc 7"/>
    <w:basedOn w:val="a"/>
    <w:next w:val="a"/>
    <w:autoRedefine/>
    <w:uiPriority w:val="39"/>
    <w:unhideWhenUsed/>
    <w:rsid w:val="00F614F9"/>
    <w:pPr>
      <w:ind w:leftChars="1200" w:left="2520"/>
      <w:jc w:val="both"/>
    </w:pPr>
  </w:style>
  <w:style w:type="paragraph" w:styleId="TOC8">
    <w:name w:val="toc 8"/>
    <w:basedOn w:val="a"/>
    <w:next w:val="a"/>
    <w:autoRedefine/>
    <w:uiPriority w:val="39"/>
    <w:unhideWhenUsed/>
    <w:rsid w:val="00F614F9"/>
    <w:pPr>
      <w:ind w:leftChars="1400" w:left="2940"/>
      <w:jc w:val="both"/>
    </w:pPr>
  </w:style>
  <w:style w:type="paragraph" w:styleId="TOC9">
    <w:name w:val="toc 9"/>
    <w:basedOn w:val="a"/>
    <w:next w:val="a"/>
    <w:autoRedefine/>
    <w:uiPriority w:val="39"/>
    <w:unhideWhenUsed/>
    <w:rsid w:val="00F614F9"/>
    <w:pPr>
      <w:ind w:leftChars="1600" w:left="3360"/>
      <w:jc w:val="both"/>
    </w:pPr>
  </w:style>
  <w:style w:type="character" w:styleId="aa">
    <w:name w:val="Hyperlink"/>
    <w:basedOn w:val="a0"/>
    <w:uiPriority w:val="99"/>
    <w:unhideWhenUsed/>
    <w:rsid w:val="00F614F9"/>
    <w:rPr>
      <w:color w:val="0563C1" w:themeColor="hyperlink"/>
      <w:u w:val="single"/>
    </w:rPr>
  </w:style>
  <w:style w:type="character" w:styleId="ab">
    <w:name w:val="Unresolved Mention"/>
    <w:basedOn w:val="a0"/>
    <w:uiPriority w:val="99"/>
    <w:semiHidden/>
    <w:unhideWhenUsed/>
    <w:rsid w:val="00F61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1610">
      <w:bodyDiv w:val="1"/>
      <w:marLeft w:val="0"/>
      <w:marRight w:val="0"/>
      <w:marTop w:val="0"/>
      <w:marBottom w:val="0"/>
      <w:divBdr>
        <w:top w:val="none" w:sz="0" w:space="0" w:color="auto"/>
        <w:left w:val="none" w:sz="0" w:space="0" w:color="auto"/>
        <w:bottom w:val="none" w:sz="0" w:space="0" w:color="auto"/>
        <w:right w:val="none" w:sz="0" w:space="0" w:color="auto"/>
      </w:divBdr>
    </w:div>
    <w:div w:id="13042147">
      <w:bodyDiv w:val="1"/>
      <w:marLeft w:val="0"/>
      <w:marRight w:val="0"/>
      <w:marTop w:val="0"/>
      <w:marBottom w:val="0"/>
      <w:divBdr>
        <w:top w:val="none" w:sz="0" w:space="0" w:color="auto"/>
        <w:left w:val="none" w:sz="0" w:space="0" w:color="auto"/>
        <w:bottom w:val="none" w:sz="0" w:space="0" w:color="auto"/>
        <w:right w:val="none" w:sz="0" w:space="0" w:color="auto"/>
      </w:divBdr>
    </w:div>
    <w:div w:id="18045316">
      <w:bodyDiv w:val="1"/>
      <w:marLeft w:val="0"/>
      <w:marRight w:val="0"/>
      <w:marTop w:val="0"/>
      <w:marBottom w:val="0"/>
      <w:divBdr>
        <w:top w:val="none" w:sz="0" w:space="0" w:color="auto"/>
        <w:left w:val="none" w:sz="0" w:space="0" w:color="auto"/>
        <w:bottom w:val="none" w:sz="0" w:space="0" w:color="auto"/>
        <w:right w:val="none" w:sz="0" w:space="0" w:color="auto"/>
      </w:divBdr>
    </w:div>
    <w:div w:id="18745128">
      <w:bodyDiv w:val="1"/>
      <w:marLeft w:val="0"/>
      <w:marRight w:val="0"/>
      <w:marTop w:val="0"/>
      <w:marBottom w:val="0"/>
      <w:divBdr>
        <w:top w:val="none" w:sz="0" w:space="0" w:color="auto"/>
        <w:left w:val="none" w:sz="0" w:space="0" w:color="auto"/>
        <w:bottom w:val="none" w:sz="0" w:space="0" w:color="auto"/>
        <w:right w:val="none" w:sz="0" w:space="0" w:color="auto"/>
      </w:divBdr>
    </w:div>
    <w:div w:id="23212058">
      <w:bodyDiv w:val="1"/>
      <w:marLeft w:val="0"/>
      <w:marRight w:val="0"/>
      <w:marTop w:val="0"/>
      <w:marBottom w:val="0"/>
      <w:divBdr>
        <w:top w:val="none" w:sz="0" w:space="0" w:color="auto"/>
        <w:left w:val="none" w:sz="0" w:space="0" w:color="auto"/>
        <w:bottom w:val="none" w:sz="0" w:space="0" w:color="auto"/>
        <w:right w:val="none" w:sz="0" w:space="0" w:color="auto"/>
      </w:divBdr>
    </w:div>
    <w:div w:id="38819350">
      <w:bodyDiv w:val="1"/>
      <w:marLeft w:val="0"/>
      <w:marRight w:val="0"/>
      <w:marTop w:val="0"/>
      <w:marBottom w:val="0"/>
      <w:divBdr>
        <w:top w:val="none" w:sz="0" w:space="0" w:color="auto"/>
        <w:left w:val="none" w:sz="0" w:space="0" w:color="auto"/>
        <w:bottom w:val="none" w:sz="0" w:space="0" w:color="auto"/>
        <w:right w:val="none" w:sz="0" w:space="0" w:color="auto"/>
      </w:divBdr>
    </w:div>
    <w:div w:id="42172333">
      <w:bodyDiv w:val="1"/>
      <w:marLeft w:val="0"/>
      <w:marRight w:val="0"/>
      <w:marTop w:val="0"/>
      <w:marBottom w:val="0"/>
      <w:divBdr>
        <w:top w:val="none" w:sz="0" w:space="0" w:color="auto"/>
        <w:left w:val="none" w:sz="0" w:space="0" w:color="auto"/>
        <w:bottom w:val="none" w:sz="0" w:space="0" w:color="auto"/>
        <w:right w:val="none" w:sz="0" w:space="0" w:color="auto"/>
      </w:divBdr>
    </w:div>
    <w:div w:id="44255702">
      <w:bodyDiv w:val="1"/>
      <w:marLeft w:val="0"/>
      <w:marRight w:val="0"/>
      <w:marTop w:val="0"/>
      <w:marBottom w:val="0"/>
      <w:divBdr>
        <w:top w:val="none" w:sz="0" w:space="0" w:color="auto"/>
        <w:left w:val="none" w:sz="0" w:space="0" w:color="auto"/>
        <w:bottom w:val="none" w:sz="0" w:space="0" w:color="auto"/>
        <w:right w:val="none" w:sz="0" w:space="0" w:color="auto"/>
      </w:divBdr>
    </w:div>
    <w:div w:id="48772894">
      <w:bodyDiv w:val="1"/>
      <w:marLeft w:val="0"/>
      <w:marRight w:val="0"/>
      <w:marTop w:val="0"/>
      <w:marBottom w:val="0"/>
      <w:divBdr>
        <w:top w:val="none" w:sz="0" w:space="0" w:color="auto"/>
        <w:left w:val="none" w:sz="0" w:space="0" w:color="auto"/>
        <w:bottom w:val="none" w:sz="0" w:space="0" w:color="auto"/>
        <w:right w:val="none" w:sz="0" w:space="0" w:color="auto"/>
      </w:divBdr>
    </w:div>
    <w:div w:id="49350722">
      <w:bodyDiv w:val="1"/>
      <w:marLeft w:val="0"/>
      <w:marRight w:val="0"/>
      <w:marTop w:val="0"/>
      <w:marBottom w:val="0"/>
      <w:divBdr>
        <w:top w:val="none" w:sz="0" w:space="0" w:color="auto"/>
        <w:left w:val="none" w:sz="0" w:space="0" w:color="auto"/>
        <w:bottom w:val="none" w:sz="0" w:space="0" w:color="auto"/>
        <w:right w:val="none" w:sz="0" w:space="0" w:color="auto"/>
      </w:divBdr>
    </w:div>
    <w:div w:id="52510186">
      <w:bodyDiv w:val="1"/>
      <w:marLeft w:val="0"/>
      <w:marRight w:val="0"/>
      <w:marTop w:val="0"/>
      <w:marBottom w:val="0"/>
      <w:divBdr>
        <w:top w:val="none" w:sz="0" w:space="0" w:color="auto"/>
        <w:left w:val="none" w:sz="0" w:space="0" w:color="auto"/>
        <w:bottom w:val="none" w:sz="0" w:space="0" w:color="auto"/>
        <w:right w:val="none" w:sz="0" w:space="0" w:color="auto"/>
      </w:divBdr>
    </w:div>
    <w:div w:id="54210311">
      <w:bodyDiv w:val="1"/>
      <w:marLeft w:val="0"/>
      <w:marRight w:val="0"/>
      <w:marTop w:val="0"/>
      <w:marBottom w:val="0"/>
      <w:divBdr>
        <w:top w:val="none" w:sz="0" w:space="0" w:color="auto"/>
        <w:left w:val="none" w:sz="0" w:space="0" w:color="auto"/>
        <w:bottom w:val="none" w:sz="0" w:space="0" w:color="auto"/>
        <w:right w:val="none" w:sz="0" w:space="0" w:color="auto"/>
      </w:divBdr>
    </w:div>
    <w:div w:id="55980915">
      <w:bodyDiv w:val="1"/>
      <w:marLeft w:val="0"/>
      <w:marRight w:val="0"/>
      <w:marTop w:val="0"/>
      <w:marBottom w:val="0"/>
      <w:divBdr>
        <w:top w:val="none" w:sz="0" w:space="0" w:color="auto"/>
        <w:left w:val="none" w:sz="0" w:space="0" w:color="auto"/>
        <w:bottom w:val="none" w:sz="0" w:space="0" w:color="auto"/>
        <w:right w:val="none" w:sz="0" w:space="0" w:color="auto"/>
      </w:divBdr>
    </w:div>
    <w:div w:id="56589094">
      <w:bodyDiv w:val="1"/>
      <w:marLeft w:val="0"/>
      <w:marRight w:val="0"/>
      <w:marTop w:val="0"/>
      <w:marBottom w:val="0"/>
      <w:divBdr>
        <w:top w:val="none" w:sz="0" w:space="0" w:color="auto"/>
        <w:left w:val="none" w:sz="0" w:space="0" w:color="auto"/>
        <w:bottom w:val="none" w:sz="0" w:space="0" w:color="auto"/>
        <w:right w:val="none" w:sz="0" w:space="0" w:color="auto"/>
      </w:divBdr>
    </w:div>
    <w:div w:id="56755385">
      <w:bodyDiv w:val="1"/>
      <w:marLeft w:val="0"/>
      <w:marRight w:val="0"/>
      <w:marTop w:val="0"/>
      <w:marBottom w:val="0"/>
      <w:divBdr>
        <w:top w:val="none" w:sz="0" w:space="0" w:color="auto"/>
        <w:left w:val="none" w:sz="0" w:space="0" w:color="auto"/>
        <w:bottom w:val="none" w:sz="0" w:space="0" w:color="auto"/>
        <w:right w:val="none" w:sz="0" w:space="0" w:color="auto"/>
      </w:divBdr>
    </w:div>
    <w:div w:id="78331350">
      <w:bodyDiv w:val="1"/>
      <w:marLeft w:val="0"/>
      <w:marRight w:val="0"/>
      <w:marTop w:val="0"/>
      <w:marBottom w:val="0"/>
      <w:divBdr>
        <w:top w:val="none" w:sz="0" w:space="0" w:color="auto"/>
        <w:left w:val="none" w:sz="0" w:space="0" w:color="auto"/>
        <w:bottom w:val="none" w:sz="0" w:space="0" w:color="auto"/>
        <w:right w:val="none" w:sz="0" w:space="0" w:color="auto"/>
      </w:divBdr>
    </w:div>
    <w:div w:id="95945363">
      <w:bodyDiv w:val="1"/>
      <w:marLeft w:val="0"/>
      <w:marRight w:val="0"/>
      <w:marTop w:val="0"/>
      <w:marBottom w:val="0"/>
      <w:divBdr>
        <w:top w:val="none" w:sz="0" w:space="0" w:color="auto"/>
        <w:left w:val="none" w:sz="0" w:space="0" w:color="auto"/>
        <w:bottom w:val="none" w:sz="0" w:space="0" w:color="auto"/>
        <w:right w:val="none" w:sz="0" w:space="0" w:color="auto"/>
      </w:divBdr>
    </w:div>
    <w:div w:id="100029695">
      <w:bodyDiv w:val="1"/>
      <w:marLeft w:val="0"/>
      <w:marRight w:val="0"/>
      <w:marTop w:val="0"/>
      <w:marBottom w:val="0"/>
      <w:divBdr>
        <w:top w:val="none" w:sz="0" w:space="0" w:color="auto"/>
        <w:left w:val="none" w:sz="0" w:space="0" w:color="auto"/>
        <w:bottom w:val="none" w:sz="0" w:space="0" w:color="auto"/>
        <w:right w:val="none" w:sz="0" w:space="0" w:color="auto"/>
      </w:divBdr>
    </w:div>
    <w:div w:id="102963910">
      <w:bodyDiv w:val="1"/>
      <w:marLeft w:val="0"/>
      <w:marRight w:val="0"/>
      <w:marTop w:val="0"/>
      <w:marBottom w:val="0"/>
      <w:divBdr>
        <w:top w:val="none" w:sz="0" w:space="0" w:color="auto"/>
        <w:left w:val="none" w:sz="0" w:space="0" w:color="auto"/>
        <w:bottom w:val="none" w:sz="0" w:space="0" w:color="auto"/>
        <w:right w:val="none" w:sz="0" w:space="0" w:color="auto"/>
      </w:divBdr>
    </w:div>
    <w:div w:id="116142784">
      <w:bodyDiv w:val="1"/>
      <w:marLeft w:val="0"/>
      <w:marRight w:val="0"/>
      <w:marTop w:val="0"/>
      <w:marBottom w:val="0"/>
      <w:divBdr>
        <w:top w:val="none" w:sz="0" w:space="0" w:color="auto"/>
        <w:left w:val="none" w:sz="0" w:space="0" w:color="auto"/>
        <w:bottom w:val="none" w:sz="0" w:space="0" w:color="auto"/>
        <w:right w:val="none" w:sz="0" w:space="0" w:color="auto"/>
      </w:divBdr>
    </w:div>
    <w:div w:id="126364450">
      <w:bodyDiv w:val="1"/>
      <w:marLeft w:val="0"/>
      <w:marRight w:val="0"/>
      <w:marTop w:val="0"/>
      <w:marBottom w:val="0"/>
      <w:divBdr>
        <w:top w:val="none" w:sz="0" w:space="0" w:color="auto"/>
        <w:left w:val="none" w:sz="0" w:space="0" w:color="auto"/>
        <w:bottom w:val="none" w:sz="0" w:space="0" w:color="auto"/>
        <w:right w:val="none" w:sz="0" w:space="0" w:color="auto"/>
      </w:divBdr>
    </w:div>
    <w:div w:id="139272252">
      <w:bodyDiv w:val="1"/>
      <w:marLeft w:val="0"/>
      <w:marRight w:val="0"/>
      <w:marTop w:val="0"/>
      <w:marBottom w:val="0"/>
      <w:divBdr>
        <w:top w:val="none" w:sz="0" w:space="0" w:color="auto"/>
        <w:left w:val="none" w:sz="0" w:space="0" w:color="auto"/>
        <w:bottom w:val="none" w:sz="0" w:space="0" w:color="auto"/>
        <w:right w:val="none" w:sz="0" w:space="0" w:color="auto"/>
      </w:divBdr>
    </w:div>
    <w:div w:id="146017354">
      <w:bodyDiv w:val="1"/>
      <w:marLeft w:val="0"/>
      <w:marRight w:val="0"/>
      <w:marTop w:val="0"/>
      <w:marBottom w:val="0"/>
      <w:divBdr>
        <w:top w:val="none" w:sz="0" w:space="0" w:color="auto"/>
        <w:left w:val="none" w:sz="0" w:space="0" w:color="auto"/>
        <w:bottom w:val="none" w:sz="0" w:space="0" w:color="auto"/>
        <w:right w:val="none" w:sz="0" w:space="0" w:color="auto"/>
      </w:divBdr>
    </w:div>
    <w:div w:id="154076021">
      <w:bodyDiv w:val="1"/>
      <w:marLeft w:val="0"/>
      <w:marRight w:val="0"/>
      <w:marTop w:val="0"/>
      <w:marBottom w:val="0"/>
      <w:divBdr>
        <w:top w:val="none" w:sz="0" w:space="0" w:color="auto"/>
        <w:left w:val="none" w:sz="0" w:space="0" w:color="auto"/>
        <w:bottom w:val="none" w:sz="0" w:space="0" w:color="auto"/>
        <w:right w:val="none" w:sz="0" w:space="0" w:color="auto"/>
      </w:divBdr>
    </w:div>
    <w:div w:id="166135232">
      <w:bodyDiv w:val="1"/>
      <w:marLeft w:val="0"/>
      <w:marRight w:val="0"/>
      <w:marTop w:val="0"/>
      <w:marBottom w:val="0"/>
      <w:divBdr>
        <w:top w:val="none" w:sz="0" w:space="0" w:color="auto"/>
        <w:left w:val="none" w:sz="0" w:space="0" w:color="auto"/>
        <w:bottom w:val="none" w:sz="0" w:space="0" w:color="auto"/>
        <w:right w:val="none" w:sz="0" w:space="0" w:color="auto"/>
      </w:divBdr>
    </w:div>
    <w:div w:id="173811535">
      <w:bodyDiv w:val="1"/>
      <w:marLeft w:val="0"/>
      <w:marRight w:val="0"/>
      <w:marTop w:val="0"/>
      <w:marBottom w:val="0"/>
      <w:divBdr>
        <w:top w:val="none" w:sz="0" w:space="0" w:color="auto"/>
        <w:left w:val="none" w:sz="0" w:space="0" w:color="auto"/>
        <w:bottom w:val="none" w:sz="0" w:space="0" w:color="auto"/>
        <w:right w:val="none" w:sz="0" w:space="0" w:color="auto"/>
      </w:divBdr>
    </w:div>
    <w:div w:id="176389117">
      <w:bodyDiv w:val="1"/>
      <w:marLeft w:val="0"/>
      <w:marRight w:val="0"/>
      <w:marTop w:val="0"/>
      <w:marBottom w:val="0"/>
      <w:divBdr>
        <w:top w:val="none" w:sz="0" w:space="0" w:color="auto"/>
        <w:left w:val="none" w:sz="0" w:space="0" w:color="auto"/>
        <w:bottom w:val="none" w:sz="0" w:space="0" w:color="auto"/>
        <w:right w:val="none" w:sz="0" w:space="0" w:color="auto"/>
      </w:divBdr>
    </w:div>
    <w:div w:id="193882161">
      <w:bodyDiv w:val="1"/>
      <w:marLeft w:val="0"/>
      <w:marRight w:val="0"/>
      <w:marTop w:val="0"/>
      <w:marBottom w:val="0"/>
      <w:divBdr>
        <w:top w:val="none" w:sz="0" w:space="0" w:color="auto"/>
        <w:left w:val="none" w:sz="0" w:space="0" w:color="auto"/>
        <w:bottom w:val="none" w:sz="0" w:space="0" w:color="auto"/>
        <w:right w:val="none" w:sz="0" w:space="0" w:color="auto"/>
      </w:divBdr>
    </w:div>
    <w:div w:id="201748200">
      <w:bodyDiv w:val="1"/>
      <w:marLeft w:val="0"/>
      <w:marRight w:val="0"/>
      <w:marTop w:val="0"/>
      <w:marBottom w:val="0"/>
      <w:divBdr>
        <w:top w:val="none" w:sz="0" w:space="0" w:color="auto"/>
        <w:left w:val="none" w:sz="0" w:space="0" w:color="auto"/>
        <w:bottom w:val="none" w:sz="0" w:space="0" w:color="auto"/>
        <w:right w:val="none" w:sz="0" w:space="0" w:color="auto"/>
      </w:divBdr>
    </w:div>
    <w:div w:id="204490727">
      <w:bodyDiv w:val="1"/>
      <w:marLeft w:val="0"/>
      <w:marRight w:val="0"/>
      <w:marTop w:val="0"/>
      <w:marBottom w:val="0"/>
      <w:divBdr>
        <w:top w:val="none" w:sz="0" w:space="0" w:color="auto"/>
        <w:left w:val="none" w:sz="0" w:space="0" w:color="auto"/>
        <w:bottom w:val="none" w:sz="0" w:space="0" w:color="auto"/>
        <w:right w:val="none" w:sz="0" w:space="0" w:color="auto"/>
      </w:divBdr>
    </w:div>
    <w:div w:id="209727903">
      <w:bodyDiv w:val="1"/>
      <w:marLeft w:val="0"/>
      <w:marRight w:val="0"/>
      <w:marTop w:val="0"/>
      <w:marBottom w:val="0"/>
      <w:divBdr>
        <w:top w:val="none" w:sz="0" w:space="0" w:color="auto"/>
        <w:left w:val="none" w:sz="0" w:space="0" w:color="auto"/>
        <w:bottom w:val="none" w:sz="0" w:space="0" w:color="auto"/>
        <w:right w:val="none" w:sz="0" w:space="0" w:color="auto"/>
      </w:divBdr>
    </w:div>
    <w:div w:id="210312050">
      <w:bodyDiv w:val="1"/>
      <w:marLeft w:val="0"/>
      <w:marRight w:val="0"/>
      <w:marTop w:val="0"/>
      <w:marBottom w:val="0"/>
      <w:divBdr>
        <w:top w:val="none" w:sz="0" w:space="0" w:color="auto"/>
        <w:left w:val="none" w:sz="0" w:space="0" w:color="auto"/>
        <w:bottom w:val="none" w:sz="0" w:space="0" w:color="auto"/>
        <w:right w:val="none" w:sz="0" w:space="0" w:color="auto"/>
      </w:divBdr>
    </w:div>
    <w:div w:id="211771213">
      <w:bodyDiv w:val="1"/>
      <w:marLeft w:val="0"/>
      <w:marRight w:val="0"/>
      <w:marTop w:val="0"/>
      <w:marBottom w:val="0"/>
      <w:divBdr>
        <w:top w:val="none" w:sz="0" w:space="0" w:color="auto"/>
        <w:left w:val="none" w:sz="0" w:space="0" w:color="auto"/>
        <w:bottom w:val="none" w:sz="0" w:space="0" w:color="auto"/>
        <w:right w:val="none" w:sz="0" w:space="0" w:color="auto"/>
      </w:divBdr>
    </w:div>
    <w:div w:id="212927125">
      <w:bodyDiv w:val="1"/>
      <w:marLeft w:val="0"/>
      <w:marRight w:val="0"/>
      <w:marTop w:val="0"/>
      <w:marBottom w:val="0"/>
      <w:divBdr>
        <w:top w:val="none" w:sz="0" w:space="0" w:color="auto"/>
        <w:left w:val="none" w:sz="0" w:space="0" w:color="auto"/>
        <w:bottom w:val="none" w:sz="0" w:space="0" w:color="auto"/>
        <w:right w:val="none" w:sz="0" w:space="0" w:color="auto"/>
      </w:divBdr>
    </w:div>
    <w:div w:id="213933824">
      <w:bodyDiv w:val="1"/>
      <w:marLeft w:val="0"/>
      <w:marRight w:val="0"/>
      <w:marTop w:val="0"/>
      <w:marBottom w:val="0"/>
      <w:divBdr>
        <w:top w:val="none" w:sz="0" w:space="0" w:color="auto"/>
        <w:left w:val="none" w:sz="0" w:space="0" w:color="auto"/>
        <w:bottom w:val="none" w:sz="0" w:space="0" w:color="auto"/>
        <w:right w:val="none" w:sz="0" w:space="0" w:color="auto"/>
      </w:divBdr>
    </w:div>
    <w:div w:id="224099579">
      <w:bodyDiv w:val="1"/>
      <w:marLeft w:val="0"/>
      <w:marRight w:val="0"/>
      <w:marTop w:val="0"/>
      <w:marBottom w:val="0"/>
      <w:divBdr>
        <w:top w:val="none" w:sz="0" w:space="0" w:color="auto"/>
        <w:left w:val="none" w:sz="0" w:space="0" w:color="auto"/>
        <w:bottom w:val="none" w:sz="0" w:space="0" w:color="auto"/>
        <w:right w:val="none" w:sz="0" w:space="0" w:color="auto"/>
      </w:divBdr>
    </w:div>
    <w:div w:id="246579072">
      <w:bodyDiv w:val="1"/>
      <w:marLeft w:val="0"/>
      <w:marRight w:val="0"/>
      <w:marTop w:val="0"/>
      <w:marBottom w:val="0"/>
      <w:divBdr>
        <w:top w:val="none" w:sz="0" w:space="0" w:color="auto"/>
        <w:left w:val="none" w:sz="0" w:space="0" w:color="auto"/>
        <w:bottom w:val="none" w:sz="0" w:space="0" w:color="auto"/>
        <w:right w:val="none" w:sz="0" w:space="0" w:color="auto"/>
      </w:divBdr>
    </w:div>
    <w:div w:id="255209436">
      <w:bodyDiv w:val="1"/>
      <w:marLeft w:val="0"/>
      <w:marRight w:val="0"/>
      <w:marTop w:val="0"/>
      <w:marBottom w:val="0"/>
      <w:divBdr>
        <w:top w:val="none" w:sz="0" w:space="0" w:color="auto"/>
        <w:left w:val="none" w:sz="0" w:space="0" w:color="auto"/>
        <w:bottom w:val="none" w:sz="0" w:space="0" w:color="auto"/>
        <w:right w:val="none" w:sz="0" w:space="0" w:color="auto"/>
      </w:divBdr>
    </w:div>
    <w:div w:id="256521855">
      <w:bodyDiv w:val="1"/>
      <w:marLeft w:val="0"/>
      <w:marRight w:val="0"/>
      <w:marTop w:val="0"/>
      <w:marBottom w:val="0"/>
      <w:divBdr>
        <w:top w:val="none" w:sz="0" w:space="0" w:color="auto"/>
        <w:left w:val="none" w:sz="0" w:space="0" w:color="auto"/>
        <w:bottom w:val="none" w:sz="0" w:space="0" w:color="auto"/>
        <w:right w:val="none" w:sz="0" w:space="0" w:color="auto"/>
      </w:divBdr>
    </w:div>
    <w:div w:id="263802117">
      <w:bodyDiv w:val="1"/>
      <w:marLeft w:val="0"/>
      <w:marRight w:val="0"/>
      <w:marTop w:val="0"/>
      <w:marBottom w:val="0"/>
      <w:divBdr>
        <w:top w:val="none" w:sz="0" w:space="0" w:color="auto"/>
        <w:left w:val="none" w:sz="0" w:space="0" w:color="auto"/>
        <w:bottom w:val="none" w:sz="0" w:space="0" w:color="auto"/>
        <w:right w:val="none" w:sz="0" w:space="0" w:color="auto"/>
      </w:divBdr>
    </w:div>
    <w:div w:id="267854562">
      <w:bodyDiv w:val="1"/>
      <w:marLeft w:val="0"/>
      <w:marRight w:val="0"/>
      <w:marTop w:val="0"/>
      <w:marBottom w:val="0"/>
      <w:divBdr>
        <w:top w:val="none" w:sz="0" w:space="0" w:color="auto"/>
        <w:left w:val="none" w:sz="0" w:space="0" w:color="auto"/>
        <w:bottom w:val="none" w:sz="0" w:space="0" w:color="auto"/>
        <w:right w:val="none" w:sz="0" w:space="0" w:color="auto"/>
      </w:divBdr>
    </w:div>
    <w:div w:id="292946145">
      <w:bodyDiv w:val="1"/>
      <w:marLeft w:val="0"/>
      <w:marRight w:val="0"/>
      <w:marTop w:val="0"/>
      <w:marBottom w:val="0"/>
      <w:divBdr>
        <w:top w:val="none" w:sz="0" w:space="0" w:color="auto"/>
        <w:left w:val="none" w:sz="0" w:space="0" w:color="auto"/>
        <w:bottom w:val="none" w:sz="0" w:space="0" w:color="auto"/>
        <w:right w:val="none" w:sz="0" w:space="0" w:color="auto"/>
      </w:divBdr>
    </w:div>
    <w:div w:id="306133779">
      <w:bodyDiv w:val="1"/>
      <w:marLeft w:val="0"/>
      <w:marRight w:val="0"/>
      <w:marTop w:val="0"/>
      <w:marBottom w:val="0"/>
      <w:divBdr>
        <w:top w:val="none" w:sz="0" w:space="0" w:color="auto"/>
        <w:left w:val="none" w:sz="0" w:space="0" w:color="auto"/>
        <w:bottom w:val="none" w:sz="0" w:space="0" w:color="auto"/>
        <w:right w:val="none" w:sz="0" w:space="0" w:color="auto"/>
      </w:divBdr>
    </w:div>
    <w:div w:id="309942225">
      <w:bodyDiv w:val="1"/>
      <w:marLeft w:val="0"/>
      <w:marRight w:val="0"/>
      <w:marTop w:val="0"/>
      <w:marBottom w:val="0"/>
      <w:divBdr>
        <w:top w:val="none" w:sz="0" w:space="0" w:color="auto"/>
        <w:left w:val="none" w:sz="0" w:space="0" w:color="auto"/>
        <w:bottom w:val="none" w:sz="0" w:space="0" w:color="auto"/>
        <w:right w:val="none" w:sz="0" w:space="0" w:color="auto"/>
      </w:divBdr>
    </w:div>
    <w:div w:id="311369404">
      <w:bodyDiv w:val="1"/>
      <w:marLeft w:val="0"/>
      <w:marRight w:val="0"/>
      <w:marTop w:val="0"/>
      <w:marBottom w:val="0"/>
      <w:divBdr>
        <w:top w:val="none" w:sz="0" w:space="0" w:color="auto"/>
        <w:left w:val="none" w:sz="0" w:space="0" w:color="auto"/>
        <w:bottom w:val="none" w:sz="0" w:space="0" w:color="auto"/>
        <w:right w:val="none" w:sz="0" w:space="0" w:color="auto"/>
      </w:divBdr>
    </w:div>
    <w:div w:id="315497060">
      <w:bodyDiv w:val="1"/>
      <w:marLeft w:val="0"/>
      <w:marRight w:val="0"/>
      <w:marTop w:val="0"/>
      <w:marBottom w:val="0"/>
      <w:divBdr>
        <w:top w:val="none" w:sz="0" w:space="0" w:color="auto"/>
        <w:left w:val="none" w:sz="0" w:space="0" w:color="auto"/>
        <w:bottom w:val="none" w:sz="0" w:space="0" w:color="auto"/>
        <w:right w:val="none" w:sz="0" w:space="0" w:color="auto"/>
      </w:divBdr>
    </w:div>
    <w:div w:id="327950483">
      <w:bodyDiv w:val="1"/>
      <w:marLeft w:val="0"/>
      <w:marRight w:val="0"/>
      <w:marTop w:val="0"/>
      <w:marBottom w:val="0"/>
      <w:divBdr>
        <w:top w:val="none" w:sz="0" w:space="0" w:color="auto"/>
        <w:left w:val="none" w:sz="0" w:space="0" w:color="auto"/>
        <w:bottom w:val="none" w:sz="0" w:space="0" w:color="auto"/>
        <w:right w:val="none" w:sz="0" w:space="0" w:color="auto"/>
      </w:divBdr>
    </w:div>
    <w:div w:id="332730643">
      <w:bodyDiv w:val="1"/>
      <w:marLeft w:val="0"/>
      <w:marRight w:val="0"/>
      <w:marTop w:val="0"/>
      <w:marBottom w:val="0"/>
      <w:divBdr>
        <w:top w:val="none" w:sz="0" w:space="0" w:color="auto"/>
        <w:left w:val="none" w:sz="0" w:space="0" w:color="auto"/>
        <w:bottom w:val="none" w:sz="0" w:space="0" w:color="auto"/>
        <w:right w:val="none" w:sz="0" w:space="0" w:color="auto"/>
      </w:divBdr>
    </w:div>
    <w:div w:id="336082620">
      <w:bodyDiv w:val="1"/>
      <w:marLeft w:val="0"/>
      <w:marRight w:val="0"/>
      <w:marTop w:val="0"/>
      <w:marBottom w:val="0"/>
      <w:divBdr>
        <w:top w:val="none" w:sz="0" w:space="0" w:color="auto"/>
        <w:left w:val="none" w:sz="0" w:space="0" w:color="auto"/>
        <w:bottom w:val="none" w:sz="0" w:space="0" w:color="auto"/>
        <w:right w:val="none" w:sz="0" w:space="0" w:color="auto"/>
      </w:divBdr>
    </w:div>
    <w:div w:id="345179613">
      <w:bodyDiv w:val="1"/>
      <w:marLeft w:val="0"/>
      <w:marRight w:val="0"/>
      <w:marTop w:val="0"/>
      <w:marBottom w:val="0"/>
      <w:divBdr>
        <w:top w:val="none" w:sz="0" w:space="0" w:color="auto"/>
        <w:left w:val="none" w:sz="0" w:space="0" w:color="auto"/>
        <w:bottom w:val="none" w:sz="0" w:space="0" w:color="auto"/>
        <w:right w:val="none" w:sz="0" w:space="0" w:color="auto"/>
      </w:divBdr>
    </w:div>
    <w:div w:id="351416782">
      <w:bodyDiv w:val="1"/>
      <w:marLeft w:val="0"/>
      <w:marRight w:val="0"/>
      <w:marTop w:val="0"/>
      <w:marBottom w:val="0"/>
      <w:divBdr>
        <w:top w:val="none" w:sz="0" w:space="0" w:color="auto"/>
        <w:left w:val="none" w:sz="0" w:space="0" w:color="auto"/>
        <w:bottom w:val="none" w:sz="0" w:space="0" w:color="auto"/>
        <w:right w:val="none" w:sz="0" w:space="0" w:color="auto"/>
      </w:divBdr>
    </w:div>
    <w:div w:id="356539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60784381">
      <w:bodyDiv w:val="1"/>
      <w:marLeft w:val="0"/>
      <w:marRight w:val="0"/>
      <w:marTop w:val="0"/>
      <w:marBottom w:val="0"/>
      <w:divBdr>
        <w:top w:val="none" w:sz="0" w:space="0" w:color="auto"/>
        <w:left w:val="none" w:sz="0" w:space="0" w:color="auto"/>
        <w:bottom w:val="none" w:sz="0" w:space="0" w:color="auto"/>
        <w:right w:val="none" w:sz="0" w:space="0" w:color="auto"/>
      </w:divBdr>
    </w:div>
    <w:div w:id="360907225">
      <w:bodyDiv w:val="1"/>
      <w:marLeft w:val="0"/>
      <w:marRight w:val="0"/>
      <w:marTop w:val="0"/>
      <w:marBottom w:val="0"/>
      <w:divBdr>
        <w:top w:val="none" w:sz="0" w:space="0" w:color="auto"/>
        <w:left w:val="none" w:sz="0" w:space="0" w:color="auto"/>
        <w:bottom w:val="none" w:sz="0" w:space="0" w:color="auto"/>
        <w:right w:val="none" w:sz="0" w:space="0" w:color="auto"/>
      </w:divBdr>
    </w:div>
    <w:div w:id="378289483">
      <w:bodyDiv w:val="1"/>
      <w:marLeft w:val="0"/>
      <w:marRight w:val="0"/>
      <w:marTop w:val="0"/>
      <w:marBottom w:val="0"/>
      <w:divBdr>
        <w:top w:val="none" w:sz="0" w:space="0" w:color="auto"/>
        <w:left w:val="none" w:sz="0" w:space="0" w:color="auto"/>
        <w:bottom w:val="none" w:sz="0" w:space="0" w:color="auto"/>
        <w:right w:val="none" w:sz="0" w:space="0" w:color="auto"/>
      </w:divBdr>
    </w:div>
    <w:div w:id="380249271">
      <w:bodyDiv w:val="1"/>
      <w:marLeft w:val="0"/>
      <w:marRight w:val="0"/>
      <w:marTop w:val="0"/>
      <w:marBottom w:val="0"/>
      <w:divBdr>
        <w:top w:val="none" w:sz="0" w:space="0" w:color="auto"/>
        <w:left w:val="none" w:sz="0" w:space="0" w:color="auto"/>
        <w:bottom w:val="none" w:sz="0" w:space="0" w:color="auto"/>
        <w:right w:val="none" w:sz="0" w:space="0" w:color="auto"/>
      </w:divBdr>
    </w:div>
    <w:div w:id="381298088">
      <w:bodyDiv w:val="1"/>
      <w:marLeft w:val="0"/>
      <w:marRight w:val="0"/>
      <w:marTop w:val="0"/>
      <w:marBottom w:val="0"/>
      <w:divBdr>
        <w:top w:val="none" w:sz="0" w:space="0" w:color="auto"/>
        <w:left w:val="none" w:sz="0" w:space="0" w:color="auto"/>
        <w:bottom w:val="none" w:sz="0" w:space="0" w:color="auto"/>
        <w:right w:val="none" w:sz="0" w:space="0" w:color="auto"/>
      </w:divBdr>
    </w:div>
    <w:div w:id="384372693">
      <w:bodyDiv w:val="1"/>
      <w:marLeft w:val="0"/>
      <w:marRight w:val="0"/>
      <w:marTop w:val="0"/>
      <w:marBottom w:val="0"/>
      <w:divBdr>
        <w:top w:val="none" w:sz="0" w:space="0" w:color="auto"/>
        <w:left w:val="none" w:sz="0" w:space="0" w:color="auto"/>
        <w:bottom w:val="none" w:sz="0" w:space="0" w:color="auto"/>
        <w:right w:val="none" w:sz="0" w:space="0" w:color="auto"/>
      </w:divBdr>
    </w:div>
    <w:div w:id="385296277">
      <w:bodyDiv w:val="1"/>
      <w:marLeft w:val="0"/>
      <w:marRight w:val="0"/>
      <w:marTop w:val="0"/>
      <w:marBottom w:val="0"/>
      <w:divBdr>
        <w:top w:val="none" w:sz="0" w:space="0" w:color="auto"/>
        <w:left w:val="none" w:sz="0" w:space="0" w:color="auto"/>
        <w:bottom w:val="none" w:sz="0" w:space="0" w:color="auto"/>
        <w:right w:val="none" w:sz="0" w:space="0" w:color="auto"/>
      </w:divBdr>
    </w:div>
    <w:div w:id="387074012">
      <w:bodyDiv w:val="1"/>
      <w:marLeft w:val="0"/>
      <w:marRight w:val="0"/>
      <w:marTop w:val="0"/>
      <w:marBottom w:val="0"/>
      <w:divBdr>
        <w:top w:val="none" w:sz="0" w:space="0" w:color="auto"/>
        <w:left w:val="none" w:sz="0" w:space="0" w:color="auto"/>
        <w:bottom w:val="none" w:sz="0" w:space="0" w:color="auto"/>
        <w:right w:val="none" w:sz="0" w:space="0" w:color="auto"/>
      </w:divBdr>
    </w:div>
    <w:div w:id="389114904">
      <w:bodyDiv w:val="1"/>
      <w:marLeft w:val="0"/>
      <w:marRight w:val="0"/>
      <w:marTop w:val="0"/>
      <w:marBottom w:val="0"/>
      <w:divBdr>
        <w:top w:val="none" w:sz="0" w:space="0" w:color="auto"/>
        <w:left w:val="none" w:sz="0" w:space="0" w:color="auto"/>
        <w:bottom w:val="none" w:sz="0" w:space="0" w:color="auto"/>
        <w:right w:val="none" w:sz="0" w:space="0" w:color="auto"/>
      </w:divBdr>
    </w:div>
    <w:div w:id="392198898">
      <w:bodyDiv w:val="1"/>
      <w:marLeft w:val="0"/>
      <w:marRight w:val="0"/>
      <w:marTop w:val="0"/>
      <w:marBottom w:val="0"/>
      <w:divBdr>
        <w:top w:val="none" w:sz="0" w:space="0" w:color="auto"/>
        <w:left w:val="none" w:sz="0" w:space="0" w:color="auto"/>
        <w:bottom w:val="none" w:sz="0" w:space="0" w:color="auto"/>
        <w:right w:val="none" w:sz="0" w:space="0" w:color="auto"/>
      </w:divBdr>
    </w:div>
    <w:div w:id="393161372">
      <w:bodyDiv w:val="1"/>
      <w:marLeft w:val="0"/>
      <w:marRight w:val="0"/>
      <w:marTop w:val="0"/>
      <w:marBottom w:val="0"/>
      <w:divBdr>
        <w:top w:val="none" w:sz="0" w:space="0" w:color="auto"/>
        <w:left w:val="none" w:sz="0" w:space="0" w:color="auto"/>
        <w:bottom w:val="none" w:sz="0" w:space="0" w:color="auto"/>
        <w:right w:val="none" w:sz="0" w:space="0" w:color="auto"/>
      </w:divBdr>
    </w:div>
    <w:div w:id="414788431">
      <w:bodyDiv w:val="1"/>
      <w:marLeft w:val="0"/>
      <w:marRight w:val="0"/>
      <w:marTop w:val="0"/>
      <w:marBottom w:val="0"/>
      <w:divBdr>
        <w:top w:val="none" w:sz="0" w:space="0" w:color="auto"/>
        <w:left w:val="none" w:sz="0" w:space="0" w:color="auto"/>
        <w:bottom w:val="none" w:sz="0" w:space="0" w:color="auto"/>
        <w:right w:val="none" w:sz="0" w:space="0" w:color="auto"/>
      </w:divBdr>
    </w:div>
    <w:div w:id="416100547">
      <w:bodyDiv w:val="1"/>
      <w:marLeft w:val="0"/>
      <w:marRight w:val="0"/>
      <w:marTop w:val="0"/>
      <w:marBottom w:val="0"/>
      <w:divBdr>
        <w:top w:val="none" w:sz="0" w:space="0" w:color="auto"/>
        <w:left w:val="none" w:sz="0" w:space="0" w:color="auto"/>
        <w:bottom w:val="none" w:sz="0" w:space="0" w:color="auto"/>
        <w:right w:val="none" w:sz="0" w:space="0" w:color="auto"/>
      </w:divBdr>
    </w:div>
    <w:div w:id="418791981">
      <w:bodyDiv w:val="1"/>
      <w:marLeft w:val="0"/>
      <w:marRight w:val="0"/>
      <w:marTop w:val="0"/>
      <w:marBottom w:val="0"/>
      <w:divBdr>
        <w:top w:val="none" w:sz="0" w:space="0" w:color="auto"/>
        <w:left w:val="none" w:sz="0" w:space="0" w:color="auto"/>
        <w:bottom w:val="none" w:sz="0" w:space="0" w:color="auto"/>
        <w:right w:val="none" w:sz="0" w:space="0" w:color="auto"/>
      </w:divBdr>
    </w:div>
    <w:div w:id="418864857">
      <w:bodyDiv w:val="1"/>
      <w:marLeft w:val="0"/>
      <w:marRight w:val="0"/>
      <w:marTop w:val="0"/>
      <w:marBottom w:val="0"/>
      <w:divBdr>
        <w:top w:val="none" w:sz="0" w:space="0" w:color="auto"/>
        <w:left w:val="none" w:sz="0" w:space="0" w:color="auto"/>
        <w:bottom w:val="none" w:sz="0" w:space="0" w:color="auto"/>
        <w:right w:val="none" w:sz="0" w:space="0" w:color="auto"/>
      </w:divBdr>
    </w:div>
    <w:div w:id="430905201">
      <w:bodyDiv w:val="1"/>
      <w:marLeft w:val="0"/>
      <w:marRight w:val="0"/>
      <w:marTop w:val="0"/>
      <w:marBottom w:val="0"/>
      <w:divBdr>
        <w:top w:val="none" w:sz="0" w:space="0" w:color="auto"/>
        <w:left w:val="none" w:sz="0" w:space="0" w:color="auto"/>
        <w:bottom w:val="none" w:sz="0" w:space="0" w:color="auto"/>
        <w:right w:val="none" w:sz="0" w:space="0" w:color="auto"/>
      </w:divBdr>
    </w:div>
    <w:div w:id="431127831">
      <w:bodyDiv w:val="1"/>
      <w:marLeft w:val="0"/>
      <w:marRight w:val="0"/>
      <w:marTop w:val="0"/>
      <w:marBottom w:val="0"/>
      <w:divBdr>
        <w:top w:val="none" w:sz="0" w:space="0" w:color="auto"/>
        <w:left w:val="none" w:sz="0" w:space="0" w:color="auto"/>
        <w:bottom w:val="none" w:sz="0" w:space="0" w:color="auto"/>
        <w:right w:val="none" w:sz="0" w:space="0" w:color="auto"/>
      </w:divBdr>
    </w:div>
    <w:div w:id="431633181">
      <w:bodyDiv w:val="1"/>
      <w:marLeft w:val="0"/>
      <w:marRight w:val="0"/>
      <w:marTop w:val="0"/>
      <w:marBottom w:val="0"/>
      <w:divBdr>
        <w:top w:val="none" w:sz="0" w:space="0" w:color="auto"/>
        <w:left w:val="none" w:sz="0" w:space="0" w:color="auto"/>
        <w:bottom w:val="none" w:sz="0" w:space="0" w:color="auto"/>
        <w:right w:val="none" w:sz="0" w:space="0" w:color="auto"/>
      </w:divBdr>
    </w:div>
    <w:div w:id="432943307">
      <w:bodyDiv w:val="1"/>
      <w:marLeft w:val="0"/>
      <w:marRight w:val="0"/>
      <w:marTop w:val="0"/>
      <w:marBottom w:val="0"/>
      <w:divBdr>
        <w:top w:val="none" w:sz="0" w:space="0" w:color="auto"/>
        <w:left w:val="none" w:sz="0" w:space="0" w:color="auto"/>
        <w:bottom w:val="none" w:sz="0" w:space="0" w:color="auto"/>
        <w:right w:val="none" w:sz="0" w:space="0" w:color="auto"/>
      </w:divBdr>
    </w:div>
    <w:div w:id="479735108">
      <w:bodyDiv w:val="1"/>
      <w:marLeft w:val="0"/>
      <w:marRight w:val="0"/>
      <w:marTop w:val="0"/>
      <w:marBottom w:val="0"/>
      <w:divBdr>
        <w:top w:val="none" w:sz="0" w:space="0" w:color="auto"/>
        <w:left w:val="none" w:sz="0" w:space="0" w:color="auto"/>
        <w:bottom w:val="none" w:sz="0" w:space="0" w:color="auto"/>
        <w:right w:val="none" w:sz="0" w:space="0" w:color="auto"/>
      </w:divBdr>
    </w:div>
    <w:div w:id="496002309">
      <w:bodyDiv w:val="1"/>
      <w:marLeft w:val="0"/>
      <w:marRight w:val="0"/>
      <w:marTop w:val="0"/>
      <w:marBottom w:val="0"/>
      <w:divBdr>
        <w:top w:val="none" w:sz="0" w:space="0" w:color="auto"/>
        <w:left w:val="none" w:sz="0" w:space="0" w:color="auto"/>
        <w:bottom w:val="none" w:sz="0" w:space="0" w:color="auto"/>
        <w:right w:val="none" w:sz="0" w:space="0" w:color="auto"/>
      </w:divBdr>
    </w:div>
    <w:div w:id="504132420">
      <w:bodyDiv w:val="1"/>
      <w:marLeft w:val="0"/>
      <w:marRight w:val="0"/>
      <w:marTop w:val="0"/>
      <w:marBottom w:val="0"/>
      <w:divBdr>
        <w:top w:val="none" w:sz="0" w:space="0" w:color="auto"/>
        <w:left w:val="none" w:sz="0" w:space="0" w:color="auto"/>
        <w:bottom w:val="none" w:sz="0" w:space="0" w:color="auto"/>
        <w:right w:val="none" w:sz="0" w:space="0" w:color="auto"/>
      </w:divBdr>
    </w:div>
    <w:div w:id="505899359">
      <w:bodyDiv w:val="1"/>
      <w:marLeft w:val="0"/>
      <w:marRight w:val="0"/>
      <w:marTop w:val="0"/>
      <w:marBottom w:val="0"/>
      <w:divBdr>
        <w:top w:val="none" w:sz="0" w:space="0" w:color="auto"/>
        <w:left w:val="none" w:sz="0" w:space="0" w:color="auto"/>
        <w:bottom w:val="none" w:sz="0" w:space="0" w:color="auto"/>
        <w:right w:val="none" w:sz="0" w:space="0" w:color="auto"/>
      </w:divBdr>
    </w:div>
    <w:div w:id="522868665">
      <w:bodyDiv w:val="1"/>
      <w:marLeft w:val="0"/>
      <w:marRight w:val="0"/>
      <w:marTop w:val="0"/>
      <w:marBottom w:val="0"/>
      <w:divBdr>
        <w:top w:val="none" w:sz="0" w:space="0" w:color="auto"/>
        <w:left w:val="none" w:sz="0" w:space="0" w:color="auto"/>
        <w:bottom w:val="none" w:sz="0" w:space="0" w:color="auto"/>
        <w:right w:val="none" w:sz="0" w:space="0" w:color="auto"/>
      </w:divBdr>
    </w:div>
    <w:div w:id="523398070">
      <w:bodyDiv w:val="1"/>
      <w:marLeft w:val="0"/>
      <w:marRight w:val="0"/>
      <w:marTop w:val="0"/>
      <w:marBottom w:val="0"/>
      <w:divBdr>
        <w:top w:val="none" w:sz="0" w:space="0" w:color="auto"/>
        <w:left w:val="none" w:sz="0" w:space="0" w:color="auto"/>
        <w:bottom w:val="none" w:sz="0" w:space="0" w:color="auto"/>
        <w:right w:val="none" w:sz="0" w:space="0" w:color="auto"/>
      </w:divBdr>
    </w:div>
    <w:div w:id="532041375">
      <w:bodyDiv w:val="1"/>
      <w:marLeft w:val="0"/>
      <w:marRight w:val="0"/>
      <w:marTop w:val="0"/>
      <w:marBottom w:val="0"/>
      <w:divBdr>
        <w:top w:val="none" w:sz="0" w:space="0" w:color="auto"/>
        <w:left w:val="none" w:sz="0" w:space="0" w:color="auto"/>
        <w:bottom w:val="none" w:sz="0" w:space="0" w:color="auto"/>
        <w:right w:val="none" w:sz="0" w:space="0" w:color="auto"/>
      </w:divBdr>
    </w:div>
    <w:div w:id="534925190">
      <w:bodyDiv w:val="1"/>
      <w:marLeft w:val="0"/>
      <w:marRight w:val="0"/>
      <w:marTop w:val="0"/>
      <w:marBottom w:val="0"/>
      <w:divBdr>
        <w:top w:val="none" w:sz="0" w:space="0" w:color="auto"/>
        <w:left w:val="none" w:sz="0" w:space="0" w:color="auto"/>
        <w:bottom w:val="none" w:sz="0" w:space="0" w:color="auto"/>
        <w:right w:val="none" w:sz="0" w:space="0" w:color="auto"/>
      </w:divBdr>
    </w:div>
    <w:div w:id="537671303">
      <w:bodyDiv w:val="1"/>
      <w:marLeft w:val="0"/>
      <w:marRight w:val="0"/>
      <w:marTop w:val="0"/>
      <w:marBottom w:val="0"/>
      <w:divBdr>
        <w:top w:val="none" w:sz="0" w:space="0" w:color="auto"/>
        <w:left w:val="none" w:sz="0" w:space="0" w:color="auto"/>
        <w:bottom w:val="none" w:sz="0" w:space="0" w:color="auto"/>
        <w:right w:val="none" w:sz="0" w:space="0" w:color="auto"/>
      </w:divBdr>
    </w:div>
    <w:div w:id="551576834">
      <w:bodyDiv w:val="1"/>
      <w:marLeft w:val="0"/>
      <w:marRight w:val="0"/>
      <w:marTop w:val="0"/>
      <w:marBottom w:val="0"/>
      <w:divBdr>
        <w:top w:val="none" w:sz="0" w:space="0" w:color="auto"/>
        <w:left w:val="none" w:sz="0" w:space="0" w:color="auto"/>
        <w:bottom w:val="none" w:sz="0" w:space="0" w:color="auto"/>
        <w:right w:val="none" w:sz="0" w:space="0" w:color="auto"/>
      </w:divBdr>
    </w:div>
    <w:div w:id="553271985">
      <w:bodyDiv w:val="1"/>
      <w:marLeft w:val="0"/>
      <w:marRight w:val="0"/>
      <w:marTop w:val="0"/>
      <w:marBottom w:val="0"/>
      <w:divBdr>
        <w:top w:val="none" w:sz="0" w:space="0" w:color="auto"/>
        <w:left w:val="none" w:sz="0" w:space="0" w:color="auto"/>
        <w:bottom w:val="none" w:sz="0" w:space="0" w:color="auto"/>
        <w:right w:val="none" w:sz="0" w:space="0" w:color="auto"/>
      </w:divBdr>
    </w:div>
    <w:div w:id="553588732">
      <w:bodyDiv w:val="1"/>
      <w:marLeft w:val="0"/>
      <w:marRight w:val="0"/>
      <w:marTop w:val="0"/>
      <w:marBottom w:val="0"/>
      <w:divBdr>
        <w:top w:val="none" w:sz="0" w:space="0" w:color="auto"/>
        <w:left w:val="none" w:sz="0" w:space="0" w:color="auto"/>
        <w:bottom w:val="none" w:sz="0" w:space="0" w:color="auto"/>
        <w:right w:val="none" w:sz="0" w:space="0" w:color="auto"/>
      </w:divBdr>
    </w:div>
    <w:div w:id="567812787">
      <w:bodyDiv w:val="1"/>
      <w:marLeft w:val="0"/>
      <w:marRight w:val="0"/>
      <w:marTop w:val="0"/>
      <w:marBottom w:val="0"/>
      <w:divBdr>
        <w:top w:val="none" w:sz="0" w:space="0" w:color="auto"/>
        <w:left w:val="none" w:sz="0" w:space="0" w:color="auto"/>
        <w:bottom w:val="none" w:sz="0" w:space="0" w:color="auto"/>
        <w:right w:val="none" w:sz="0" w:space="0" w:color="auto"/>
      </w:divBdr>
    </w:div>
    <w:div w:id="569853017">
      <w:bodyDiv w:val="1"/>
      <w:marLeft w:val="0"/>
      <w:marRight w:val="0"/>
      <w:marTop w:val="0"/>
      <w:marBottom w:val="0"/>
      <w:divBdr>
        <w:top w:val="none" w:sz="0" w:space="0" w:color="auto"/>
        <w:left w:val="none" w:sz="0" w:space="0" w:color="auto"/>
        <w:bottom w:val="none" w:sz="0" w:space="0" w:color="auto"/>
        <w:right w:val="none" w:sz="0" w:space="0" w:color="auto"/>
      </w:divBdr>
    </w:div>
    <w:div w:id="571352227">
      <w:bodyDiv w:val="1"/>
      <w:marLeft w:val="0"/>
      <w:marRight w:val="0"/>
      <w:marTop w:val="0"/>
      <w:marBottom w:val="0"/>
      <w:divBdr>
        <w:top w:val="none" w:sz="0" w:space="0" w:color="auto"/>
        <w:left w:val="none" w:sz="0" w:space="0" w:color="auto"/>
        <w:bottom w:val="none" w:sz="0" w:space="0" w:color="auto"/>
        <w:right w:val="none" w:sz="0" w:space="0" w:color="auto"/>
      </w:divBdr>
    </w:div>
    <w:div w:id="578179680">
      <w:bodyDiv w:val="1"/>
      <w:marLeft w:val="0"/>
      <w:marRight w:val="0"/>
      <w:marTop w:val="0"/>
      <w:marBottom w:val="0"/>
      <w:divBdr>
        <w:top w:val="none" w:sz="0" w:space="0" w:color="auto"/>
        <w:left w:val="none" w:sz="0" w:space="0" w:color="auto"/>
        <w:bottom w:val="none" w:sz="0" w:space="0" w:color="auto"/>
        <w:right w:val="none" w:sz="0" w:space="0" w:color="auto"/>
      </w:divBdr>
    </w:div>
    <w:div w:id="617415118">
      <w:bodyDiv w:val="1"/>
      <w:marLeft w:val="0"/>
      <w:marRight w:val="0"/>
      <w:marTop w:val="0"/>
      <w:marBottom w:val="0"/>
      <w:divBdr>
        <w:top w:val="none" w:sz="0" w:space="0" w:color="auto"/>
        <w:left w:val="none" w:sz="0" w:space="0" w:color="auto"/>
        <w:bottom w:val="none" w:sz="0" w:space="0" w:color="auto"/>
        <w:right w:val="none" w:sz="0" w:space="0" w:color="auto"/>
      </w:divBdr>
    </w:div>
    <w:div w:id="625432127">
      <w:bodyDiv w:val="1"/>
      <w:marLeft w:val="0"/>
      <w:marRight w:val="0"/>
      <w:marTop w:val="0"/>
      <w:marBottom w:val="0"/>
      <w:divBdr>
        <w:top w:val="none" w:sz="0" w:space="0" w:color="auto"/>
        <w:left w:val="none" w:sz="0" w:space="0" w:color="auto"/>
        <w:bottom w:val="none" w:sz="0" w:space="0" w:color="auto"/>
        <w:right w:val="none" w:sz="0" w:space="0" w:color="auto"/>
      </w:divBdr>
    </w:div>
    <w:div w:id="626157775">
      <w:bodyDiv w:val="1"/>
      <w:marLeft w:val="0"/>
      <w:marRight w:val="0"/>
      <w:marTop w:val="0"/>
      <w:marBottom w:val="0"/>
      <w:divBdr>
        <w:top w:val="none" w:sz="0" w:space="0" w:color="auto"/>
        <w:left w:val="none" w:sz="0" w:space="0" w:color="auto"/>
        <w:bottom w:val="none" w:sz="0" w:space="0" w:color="auto"/>
        <w:right w:val="none" w:sz="0" w:space="0" w:color="auto"/>
      </w:divBdr>
    </w:div>
    <w:div w:id="639968479">
      <w:bodyDiv w:val="1"/>
      <w:marLeft w:val="0"/>
      <w:marRight w:val="0"/>
      <w:marTop w:val="0"/>
      <w:marBottom w:val="0"/>
      <w:divBdr>
        <w:top w:val="none" w:sz="0" w:space="0" w:color="auto"/>
        <w:left w:val="none" w:sz="0" w:space="0" w:color="auto"/>
        <w:bottom w:val="none" w:sz="0" w:space="0" w:color="auto"/>
        <w:right w:val="none" w:sz="0" w:space="0" w:color="auto"/>
      </w:divBdr>
    </w:div>
    <w:div w:id="652417258">
      <w:bodyDiv w:val="1"/>
      <w:marLeft w:val="0"/>
      <w:marRight w:val="0"/>
      <w:marTop w:val="0"/>
      <w:marBottom w:val="0"/>
      <w:divBdr>
        <w:top w:val="none" w:sz="0" w:space="0" w:color="auto"/>
        <w:left w:val="none" w:sz="0" w:space="0" w:color="auto"/>
        <w:bottom w:val="none" w:sz="0" w:space="0" w:color="auto"/>
        <w:right w:val="none" w:sz="0" w:space="0" w:color="auto"/>
      </w:divBdr>
    </w:div>
    <w:div w:id="661739760">
      <w:bodyDiv w:val="1"/>
      <w:marLeft w:val="0"/>
      <w:marRight w:val="0"/>
      <w:marTop w:val="0"/>
      <w:marBottom w:val="0"/>
      <w:divBdr>
        <w:top w:val="none" w:sz="0" w:space="0" w:color="auto"/>
        <w:left w:val="none" w:sz="0" w:space="0" w:color="auto"/>
        <w:bottom w:val="none" w:sz="0" w:space="0" w:color="auto"/>
        <w:right w:val="none" w:sz="0" w:space="0" w:color="auto"/>
      </w:divBdr>
    </w:div>
    <w:div w:id="667755992">
      <w:bodyDiv w:val="1"/>
      <w:marLeft w:val="0"/>
      <w:marRight w:val="0"/>
      <w:marTop w:val="0"/>
      <w:marBottom w:val="0"/>
      <w:divBdr>
        <w:top w:val="none" w:sz="0" w:space="0" w:color="auto"/>
        <w:left w:val="none" w:sz="0" w:space="0" w:color="auto"/>
        <w:bottom w:val="none" w:sz="0" w:space="0" w:color="auto"/>
        <w:right w:val="none" w:sz="0" w:space="0" w:color="auto"/>
      </w:divBdr>
    </w:div>
    <w:div w:id="674266926">
      <w:bodyDiv w:val="1"/>
      <w:marLeft w:val="0"/>
      <w:marRight w:val="0"/>
      <w:marTop w:val="0"/>
      <w:marBottom w:val="0"/>
      <w:divBdr>
        <w:top w:val="none" w:sz="0" w:space="0" w:color="auto"/>
        <w:left w:val="none" w:sz="0" w:space="0" w:color="auto"/>
        <w:bottom w:val="none" w:sz="0" w:space="0" w:color="auto"/>
        <w:right w:val="none" w:sz="0" w:space="0" w:color="auto"/>
      </w:divBdr>
    </w:div>
    <w:div w:id="675768783">
      <w:bodyDiv w:val="1"/>
      <w:marLeft w:val="0"/>
      <w:marRight w:val="0"/>
      <w:marTop w:val="0"/>
      <w:marBottom w:val="0"/>
      <w:divBdr>
        <w:top w:val="none" w:sz="0" w:space="0" w:color="auto"/>
        <w:left w:val="none" w:sz="0" w:space="0" w:color="auto"/>
        <w:bottom w:val="none" w:sz="0" w:space="0" w:color="auto"/>
        <w:right w:val="none" w:sz="0" w:space="0" w:color="auto"/>
      </w:divBdr>
    </w:div>
    <w:div w:id="681855624">
      <w:bodyDiv w:val="1"/>
      <w:marLeft w:val="0"/>
      <w:marRight w:val="0"/>
      <w:marTop w:val="0"/>
      <w:marBottom w:val="0"/>
      <w:divBdr>
        <w:top w:val="none" w:sz="0" w:space="0" w:color="auto"/>
        <w:left w:val="none" w:sz="0" w:space="0" w:color="auto"/>
        <w:bottom w:val="none" w:sz="0" w:space="0" w:color="auto"/>
        <w:right w:val="none" w:sz="0" w:space="0" w:color="auto"/>
      </w:divBdr>
    </w:div>
    <w:div w:id="682630186">
      <w:bodyDiv w:val="1"/>
      <w:marLeft w:val="0"/>
      <w:marRight w:val="0"/>
      <w:marTop w:val="0"/>
      <w:marBottom w:val="0"/>
      <w:divBdr>
        <w:top w:val="none" w:sz="0" w:space="0" w:color="auto"/>
        <w:left w:val="none" w:sz="0" w:space="0" w:color="auto"/>
        <w:bottom w:val="none" w:sz="0" w:space="0" w:color="auto"/>
        <w:right w:val="none" w:sz="0" w:space="0" w:color="auto"/>
      </w:divBdr>
    </w:div>
    <w:div w:id="688484486">
      <w:bodyDiv w:val="1"/>
      <w:marLeft w:val="0"/>
      <w:marRight w:val="0"/>
      <w:marTop w:val="0"/>
      <w:marBottom w:val="0"/>
      <w:divBdr>
        <w:top w:val="none" w:sz="0" w:space="0" w:color="auto"/>
        <w:left w:val="none" w:sz="0" w:space="0" w:color="auto"/>
        <w:bottom w:val="none" w:sz="0" w:space="0" w:color="auto"/>
        <w:right w:val="none" w:sz="0" w:space="0" w:color="auto"/>
      </w:divBdr>
    </w:div>
    <w:div w:id="690685461">
      <w:bodyDiv w:val="1"/>
      <w:marLeft w:val="0"/>
      <w:marRight w:val="0"/>
      <w:marTop w:val="0"/>
      <w:marBottom w:val="0"/>
      <w:divBdr>
        <w:top w:val="none" w:sz="0" w:space="0" w:color="auto"/>
        <w:left w:val="none" w:sz="0" w:space="0" w:color="auto"/>
        <w:bottom w:val="none" w:sz="0" w:space="0" w:color="auto"/>
        <w:right w:val="none" w:sz="0" w:space="0" w:color="auto"/>
      </w:divBdr>
    </w:div>
    <w:div w:id="701593815">
      <w:bodyDiv w:val="1"/>
      <w:marLeft w:val="0"/>
      <w:marRight w:val="0"/>
      <w:marTop w:val="0"/>
      <w:marBottom w:val="0"/>
      <w:divBdr>
        <w:top w:val="none" w:sz="0" w:space="0" w:color="auto"/>
        <w:left w:val="none" w:sz="0" w:space="0" w:color="auto"/>
        <w:bottom w:val="none" w:sz="0" w:space="0" w:color="auto"/>
        <w:right w:val="none" w:sz="0" w:space="0" w:color="auto"/>
      </w:divBdr>
    </w:div>
    <w:div w:id="706759457">
      <w:bodyDiv w:val="1"/>
      <w:marLeft w:val="0"/>
      <w:marRight w:val="0"/>
      <w:marTop w:val="0"/>
      <w:marBottom w:val="0"/>
      <w:divBdr>
        <w:top w:val="none" w:sz="0" w:space="0" w:color="auto"/>
        <w:left w:val="none" w:sz="0" w:space="0" w:color="auto"/>
        <w:bottom w:val="none" w:sz="0" w:space="0" w:color="auto"/>
        <w:right w:val="none" w:sz="0" w:space="0" w:color="auto"/>
      </w:divBdr>
    </w:div>
    <w:div w:id="708457183">
      <w:bodyDiv w:val="1"/>
      <w:marLeft w:val="0"/>
      <w:marRight w:val="0"/>
      <w:marTop w:val="0"/>
      <w:marBottom w:val="0"/>
      <w:divBdr>
        <w:top w:val="none" w:sz="0" w:space="0" w:color="auto"/>
        <w:left w:val="none" w:sz="0" w:space="0" w:color="auto"/>
        <w:bottom w:val="none" w:sz="0" w:space="0" w:color="auto"/>
        <w:right w:val="none" w:sz="0" w:space="0" w:color="auto"/>
      </w:divBdr>
    </w:div>
    <w:div w:id="712770248">
      <w:bodyDiv w:val="1"/>
      <w:marLeft w:val="0"/>
      <w:marRight w:val="0"/>
      <w:marTop w:val="0"/>
      <w:marBottom w:val="0"/>
      <w:divBdr>
        <w:top w:val="none" w:sz="0" w:space="0" w:color="auto"/>
        <w:left w:val="none" w:sz="0" w:space="0" w:color="auto"/>
        <w:bottom w:val="none" w:sz="0" w:space="0" w:color="auto"/>
        <w:right w:val="none" w:sz="0" w:space="0" w:color="auto"/>
      </w:divBdr>
    </w:div>
    <w:div w:id="729036199">
      <w:bodyDiv w:val="1"/>
      <w:marLeft w:val="0"/>
      <w:marRight w:val="0"/>
      <w:marTop w:val="0"/>
      <w:marBottom w:val="0"/>
      <w:divBdr>
        <w:top w:val="none" w:sz="0" w:space="0" w:color="auto"/>
        <w:left w:val="none" w:sz="0" w:space="0" w:color="auto"/>
        <w:bottom w:val="none" w:sz="0" w:space="0" w:color="auto"/>
        <w:right w:val="none" w:sz="0" w:space="0" w:color="auto"/>
      </w:divBdr>
    </w:div>
    <w:div w:id="734015836">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6322913">
      <w:bodyDiv w:val="1"/>
      <w:marLeft w:val="0"/>
      <w:marRight w:val="0"/>
      <w:marTop w:val="0"/>
      <w:marBottom w:val="0"/>
      <w:divBdr>
        <w:top w:val="none" w:sz="0" w:space="0" w:color="auto"/>
        <w:left w:val="none" w:sz="0" w:space="0" w:color="auto"/>
        <w:bottom w:val="none" w:sz="0" w:space="0" w:color="auto"/>
        <w:right w:val="none" w:sz="0" w:space="0" w:color="auto"/>
      </w:divBdr>
    </w:div>
    <w:div w:id="748188034">
      <w:bodyDiv w:val="1"/>
      <w:marLeft w:val="0"/>
      <w:marRight w:val="0"/>
      <w:marTop w:val="0"/>
      <w:marBottom w:val="0"/>
      <w:divBdr>
        <w:top w:val="none" w:sz="0" w:space="0" w:color="auto"/>
        <w:left w:val="none" w:sz="0" w:space="0" w:color="auto"/>
        <w:bottom w:val="none" w:sz="0" w:space="0" w:color="auto"/>
        <w:right w:val="none" w:sz="0" w:space="0" w:color="auto"/>
      </w:divBdr>
    </w:div>
    <w:div w:id="753358814">
      <w:bodyDiv w:val="1"/>
      <w:marLeft w:val="0"/>
      <w:marRight w:val="0"/>
      <w:marTop w:val="0"/>
      <w:marBottom w:val="0"/>
      <w:divBdr>
        <w:top w:val="none" w:sz="0" w:space="0" w:color="auto"/>
        <w:left w:val="none" w:sz="0" w:space="0" w:color="auto"/>
        <w:bottom w:val="none" w:sz="0" w:space="0" w:color="auto"/>
        <w:right w:val="none" w:sz="0" w:space="0" w:color="auto"/>
      </w:divBdr>
    </w:div>
    <w:div w:id="770706447">
      <w:bodyDiv w:val="1"/>
      <w:marLeft w:val="0"/>
      <w:marRight w:val="0"/>
      <w:marTop w:val="0"/>
      <w:marBottom w:val="0"/>
      <w:divBdr>
        <w:top w:val="none" w:sz="0" w:space="0" w:color="auto"/>
        <w:left w:val="none" w:sz="0" w:space="0" w:color="auto"/>
        <w:bottom w:val="none" w:sz="0" w:space="0" w:color="auto"/>
        <w:right w:val="none" w:sz="0" w:space="0" w:color="auto"/>
      </w:divBdr>
    </w:div>
    <w:div w:id="776295720">
      <w:bodyDiv w:val="1"/>
      <w:marLeft w:val="0"/>
      <w:marRight w:val="0"/>
      <w:marTop w:val="0"/>
      <w:marBottom w:val="0"/>
      <w:divBdr>
        <w:top w:val="none" w:sz="0" w:space="0" w:color="auto"/>
        <w:left w:val="none" w:sz="0" w:space="0" w:color="auto"/>
        <w:bottom w:val="none" w:sz="0" w:space="0" w:color="auto"/>
        <w:right w:val="none" w:sz="0" w:space="0" w:color="auto"/>
      </w:divBdr>
    </w:div>
    <w:div w:id="790395730">
      <w:bodyDiv w:val="1"/>
      <w:marLeft w:val="0"/>
      <w:marRight w:val="0"/>
      <w:marTop w:val="0"/>
      <w:marBottom w:val="0"/>
      <w:divBdr>
        <w:top w:val="none" w:sz="0" w:space="0" w:color="auto"/>
        <w:left w:val="none" w:sz="0" w:space="0" w:color="auto"/>
        <w:bottom w:val="none" w:sz="0" w:space="0" w:color="auto"/>
        <w:right w:val="none" w:sz="0" w:space="0" w:color="auto"/>
      </w:divBdr>
    </w:div>
    <w:div w:id="802232978">
      <w:bodyDiv w:val="1"/>
      <w:marLeft w:val="0"/>
      <w:marRight w:val="0"/>
      <w:marTop w:val="0"/>
      <w:marBottom w:val="0"/>
      <w:divBdr>
        <w:top w:val="none" w:sz="0" w:space="0" w:color="auto"/>
        <w:left w:val="none" w:sz="0" w:space="0" w:color="auto"/>
        <w:bottom w:val="none" w:sz="0" w:space="0" w:color="auto"/>
        <w:right w:val="none" w:sz="0" w:space="0" w:color="auto"/>
      </w:divBdr>
    </w:div>
    <w:div w:id="803352119">
      <w:bodyDiv w:val="1"/>
      <w:marLeft w:val="0"/>
      <w:marRight w:val="0"/>
      <w:marTop w:val="0"/>
      <w:marBottom w:val="0"/>
      <w:divBdr>
        <w:top w:val="none" w:sz="0" w:space="0" w:color="auto"/>
        <w:left w:val="none" w:sz="0" w:space="0" w:color="auto"/>
        <w:bottom w:val="none" w:sz="0" w:space="0" w:color="auto"/>
        <w:right w:val="none" w:sz="0" w:space="0" w:color="auto"/>
      </w:divBdr>
    </w:div>
    <w:div w:id="811950140">
      <w:bodyDiv w:val="1"/>
      <w:marLeft w:val="0"/>
      <w:marRight w:val="0"/>
      <w:marTop w:val="0"/>
      <w:marBottom w:val="0"/>
      <w:divBdr>
        <w:top w:val="none" w:sz="0" w:space="0" w:color="auto"/>
        <w:left w:val="none" w:sz="0" w:space="0" w:color="auto"/>
        <w:bottom w:val="none" w:sz="0" w:space="0" w:color="auto"/>
        <w:right w:val="none" w:sz="0" w:space="0" w:color="auto"/>
      </w:divBdr>
    </w:div>
    <w:div w:id="854029369">
      <w:bodyDiv w:val="1"/>
      <w:marLeft w:val="0"/>
      <w:marRight w:val="0"/>
      <w:marTop w:val="0"/>
      <w:marBottom w:val="0"/>
      <w:divBdr>
        <w:top w:val="none" w:sz="0" w:space="0" w:color="auto"/>
        <w:left w:val="none" w:sz="0" w:space="0" w:color="auto"/>
        <w:bottom w:val="none" w:sz="0" w:space="0" w:color="auto"/>
        <w:right w:val="none" w:sz="0" w:space="0" w:color="auto"/>
      </w:divBdr>
    </w:div>
    <w:div w:id="858853794">
      <w:bodyDiv w:val="1"/>
      <w:marLeft w:val="0"/>
      <w:marRight w:val="0"/>
      <w:marTop w:val="0"/>
      <w:marBottom w:val="0"/>
      <w:divBdr>
        <w:top w:val="none" w:sz="0" w:space="0" w:color="auto"/>
        <w:left w:val="none" w:sz="0" w:space="0" w:color="auto"/>
        <w:bottom w:val="none" w:sz="0" w:space="0" w:color="auto"/>
        <w:right w:val="none" w:sz="0" w:space="0" w:color="auto"/>
      </w:divBdr>
    </w:div>
    <w:div w:id="862013637">
      <w:bodyDiv w:val="1"/>
      <w:marLeft w:val="0"/>
      <w:marRight w:val="0"/>
      <w:marTop w:val="0"/>
      <w:marBottom w:val="0"/>
      <w:divBdr>
        <w:top w:val="none" w:sz="0" w:space="0" w:color="auto"/>
        <w:left w:val="none" w:sz="0" w:space="0" w:color="auto"/>
        <w:bottom w:val="none" w:sz="0" w:space="0" w:color="auto"/>
        <w:right w:val="none" w:sz="0" w:space="0" w:color="auto"/>
      </w:divBdr>
    </w:div>
    <w:div w:id="866018642">
      <w:bodyDiv w:val="1"/>
      <w:marLeft w:val="0"/>
      <w:marRight w:val="0"/>
      <w:marTop w:val="0"/>
      <w:marBottom w:val="0"/>
      <w:divBdr>
        <w:top w:val="none" w:sz="0" w:space="0" w:color="auto"/>
        <w:left w:val="none" w:sz="0" w:space="0" w:color="auto"/>
        <w:bottom w:val="none" w:sz="0" w:space="0" w:color="auto"/>
        <w:right w:val="none" w:sz="0" w:space="0" w:color="auto"/>
      </w:divBdr>
    </w:div>
    <w:div w:id="871262044">
      <w:bodyDiv w:val="1"/>
      <w:marLeft w:val="0"/>
      <w:marRight w:val="0"/>
      <w:marTop w:val="0"/>
      <w:marBottom w:val="0"/>
      <w:divBdr>
        <w:top w:val="none" w:sz="0" w:space="0" w:color="auto"/>
        <w:left w:val="none" w:sz="0" w:space="0" w:color="auto"/>
        <w:bottom w:val="none" w:sz="0" w:space="0" w:color="auto"/>
        <w:right w:val="none" w:sz="0" w:space="0" w:color="auto"/>
      </w:divBdr>
    </w:div>
    <w:div w:id="874342997">
      <w:bodyDiv w:val="1"/>
      <w:marLeft w:val="0"/>
      <w:marRight w:val="0"/>
      <w:marTop w:val="0"/>
      <w:marBottom w:val="0"/>
      <w:divBdr>
        <w:top w:val="none" w:sz="0" w:space="0" w:color="auto"/>
        <w:left w:val="none" w:sz="0" w:space="0" w:color="auto"/>
        <w:bottom w:val="none" w:sz="0" w:space="0" w:color="auto"/>
        <w:right w:val="none" w:sz="0" w:space="0" w:color="auto"/>
      </w:divBdr>
    </w:div>
    <w:div w:id="875242320">
      <w:bodyDiv w:val="1"/>
      <w:marLeft w:val="0"/>
      <w:marRight w:val="0"/>
      <w:marTop w:val="0"/>
      <w:marBottom w:val="0"/>
      <w:divBdr>
        <w:top w:val="none" w:sz="0" w:space="0" w:color="auto"/>
        <w:left w:val="none" w:sz="0" w:space="0" w:color="auto"/>
        <w:bottom w:val="none" w:sz="0" w:space="0" w:color="auto"/>
        <w:right w:val="none" w:sz="0" w:space="0" w:color="auto"/>
      </w:divBdr>
    </w:div>
    <w:div w:id="881482918">
      <w:bodyDiv w:val="1"/>
      <w:marLeft w:val="0"/>
      <w:marRight w:val="0"/>
      <w:marTop w:val="0"/>
      <w:marBottom w:val="0"/>
      <w:divBdr>
        <w:top w:val="none" w:sz="0" w:space="0" w:color="auto"/>
        <w:left w:val="none" w:sz="0" w:space="0" w:color="auto"/>
        <w:bottom w:val="none" w:sz="0" w:space="0" w:color="auto"/>
        <w:right w:val="none" w:sz="0" w:space="0" w:color="auto"/>
      </w:divBdr>
    </w:div>
    <w:div w:id="885222559">
      <w:bodyDiv w:val="1"/>
      <w:marLeft w:val="0"/>
      <w:marRight w:val="0"/>
      <w:marTop w:val="0"/>
      <w:marBottom w:val="0"/>
      <w:divBdr>
        <w:top w:val="none" w:sz="0" w:space="0" w:color="auto"/>
        <w:left w:val="none" w:sz="0" w:space="0" w:color="auto"/>
        <w:bottom w:val="none" w:sz="0" w:space="0" w:color="auto"/>
        <w:right w:val="none" w:sz="0" w:space="0" w:color="auto"/>
      </w:divBdr>
    </w:div>
    <w:div w:id="888153417">
      <w:bodyDiv w:val="1"/>
      <w:marLeft w:val="0"/>
      <w:marRight w:val="0"/>
      <w:marTop w:val="0"/>
      <w:marBottom w:val="0"/>
      <w:divBdr>
        <w:top w:val="none" w:sz="0" w:space="0" w:color="auto"/>
        <w:left w:val="none" w:sz="0" w:space="0" w:color="auto"/>
        <w:bottom w:val="none" w:sz="0" w:space="0" w:color="auto"/>
        <w:right w:val="none" w:sz="0" w:space="0" w:color="auto"/>
      </w:divBdr>
    </w:div>
    <w:div w:id="896353593">
      <w:bodyDiv w:val="1"/>
      <w:marLeft w:val="0"/>
      <w:marRight w:val="0"/>
      <w:marTop w:val="0"/>
      <w:marBottom w:val="0"/>
      <w:divBdr>
        <w:top w:val="none" w:sz="0" w:space="0" w:color="auto"/>
        <w:left w:val="none" w:sz="0" w:space="0" w:color="auto"/>
        <w:bottom w:val="none" w:sz="0" w:space="0" w:color="auto"/>
        <w:right w:val="none" w:sz="0" w:space="0" w:color="auto"/>
      </w:divBdr>
    </w:div>
    <w:div w:id="897475325">
      <w:bodyDiv w:val="1"/>
      <w:marLeft w:val="0"/>
      <w:marRight w:val="0"/>
      <w:marTop w:val="0"/>
      <w:marBottom w:val="0"/>
      <w:divBdr>
        <w:top w:val="none" w:sz="0" w:space="0" w:color="auto"/>
        <w:left w:val="none" w:sz="0" w:space="0" w:color="auto"/>
        <w:bottom w:val="none" w:sz="0" w:space="0" w:color="auto"/>
        <w:right w:val="none" w:sz="0" w:space="0" w:color="auto"/>
      </w:divBdr>
    </w:div>
    <w:div w:id="901259631">
      <w:bodyDiv w:val="1"/>
      <w:marLeft w:val="0"/>
      <w:marRight w:val="0"/>
      <w:marTop w:val="0"/>
      <w:marBottom w:val="0"/>
      <w:divBdr>
        <w:top w:val="none" w:sz="0" w:space="0" w:color="auto"/>
        <w:left w:val="none" w:sz="0" w:space="0" w:color="auto"/>
        <w:bottom w:val="none" w:sz="0" w:space="0" w:color="auto"/>
        <w:right w:val="none" w:sz="0" w:space="0" w:color="auto"/>
      </w:divBdr>
    </w:div>
    <w:div w:id="903639337">
      <w:bodyDiv w:val="1"/>
      <w:marLeft w:val="0"/>
      <w:marRight w:val="0"/>
      <w:marTop w:val="0"/>
      <w:marBottom w:val="0"/>
      <w:divBdr>
        <w:top w:val="none" w:sz="0" w:space="0" w:color="auto"/>
        <w:left w:val="none" w:sz="0" w:space="0" w:color="auto"/>
        <w:bottom w:val="none" w:sz="0" w:space="0" w:color="auto"/>
        <w:right w:val="none" w:sz="0" w:space="0" w:color="auto"/>
      </w:divBdr>
    </w:div>
    <w:div w:id="904949713">
      <w:bodyDiv w:val="1"/>
      <w:marLeft w:val="0"/>
      <w:marRight w:val="0"/>
      <w:marTop w:val="0"/>
      <w:marBottom w:val="0"/>
      <w:divBdr>
        <w:top w:val="none" w:sz="0" w:space="0" w:color="auto"/>
        <w:left w:val="none" w:sz="0" w:space="0" w:color="auto"/>
        <w:bottom w:val="none" w:sz="0" w:space="0" w:color="auto"/>
        <w:right w:val="none" w:sz="0" w:space="0" w:color="auto"/>
      </w:divBdr>
    </w:div>
    <w:div w:id="909196811">
      <w:bodyDiv w:val="1"/>
      <w:marLeft w:val="0"/>
      <w:marRight w:val="0"/>
      <w:marTop w:val="0"/>
      <w:marBottom w:val="0"/>
      <w:divBdr>
        <w:top w:val="none" w:sz="0" w:space="0" w:color="auto"/>
        <w:left w:val="none" w:sz="0" w:space="0" w:color="auto"/>
        <w:bottom w:val="none" w:sz="0" w:space="0" w:color="auto"/>
        <w:right w:val="none" w:sz="0" w:space="0" w:color="auto"/>
      </w:divBdr>
    </w:div>
    <w:div w:id="909583719">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7784221">
      <w:bodyDiv w:val="1"/>
      <w:marLeft w:val="0"/>
      <w:marRight w:val="0"/>
      <w:marTop w:val="0"/>
      <w:marBottom w:val="0"/>
      <w:divBdr>
        <w:top w:val="none" w:sz="0" w:space="0" w:color="auto"/>
        <w:left w:val="none" w:sz="0" w:space="0" w:color="auto"/>
        <w:bottom w:val="none" w:sz="0" w:space="0" w:color="auto"/>
        <w:right w:val="none" w:sz="0" w:space="0" w:color="auto"/>
      </w:divBdr>
    </w:div>
    <w:div w:id="921597694">
      <w:bodyDiv w:val="1"/>
      <w:marLeft w:val="0"/>
      <w:marRight w:val="0"/>
      <w:marTop w:val="0"/>
      <w:marBottom w:val="0"/>
      <w:divBdr>
        <w:top w:val="none" w:sz="0" w:space="0" w:color="auto"/>
        <w:left w:val="none" w:sz="0" w:space="0" w:color="auto"/>
        <w:bottom w:val="none" w:sz="0" w:space="0" w:color="auto"/>
        <w:right w:val="none" w:sz="0" w:space="0" w:color="auto"/>
      </w:divBdr>
    </w:div>
    <w:div w:id="923953798">
      <w:bodyDiv w:val="1"/>
      <w:marLeft w:val="0"/>
      <w:marRight w:val="0"/>
      <w:marTop w:val="0"/>
      <w:marBottom w:val="0"/>
      <w:divBdr>
        <w:top w:val="none" w:sz="0" w:space="0" w:color="auto"/>
        <w:left w:val="none" w:sz="0" w:space="0" w:color="auto"/>
        <w:bottom w:val="none" w:sz="0" w:space="0" w:color="auto"/>
        <w:right w:val="none" w:sz="0" w:space="0" w:color="auto"/>
      </w:divBdr>
    </w:div>
    <w:div w:id="928006276">
      <w:bodyDiv w:val="1"/>
      <w:marLeft w:val="0"/>
      <w:marRight w:val="0"/>
      <w:marTop w:val="0"/>
      <w:marBottom w:val="0"/>
      <w:divBdr>
        <w:top w:val="none" w:sz="0" w:space="0" w:color="auto"/>
        <w:left w:val="none" w:sz="0" w:space="0" w:color="auto"/>
        <w:bottom w:val="none" w:sz="0" w:space="0" w:color="auto"/>
        <w:right w:val="none" w:sz="0" w:space="0" w:color="auto"/>
      </w:divBdr>
    </w:div>
    <w:div w:id="928538252">
      <w:bodyDiv w:val="1"/>
      <w:marLeft w:val="0"/>
      <w:marRight w:val="0"/>
      <w:marTop w:val="0"/>
      <w:marBottom w:val="0"/>
      <w:divBdr>
        <w:top w:val="none" w:sz="0" w:space="0" w:color="auto"/>
        <w:left w:val="none" w:sz="0" w:space="0" w:color="auto"/>
        <w:bottom w:val="none" w:sz="0" w:space="0" w:color="auto"/>
        <w:right w:val="none" w:sz="0" w:space="0" w:color="auto"/>
      </w:divBdr>
    </w:div>
    <w:div w:id="928778052">
      <w:bodyDiv w:val="1"/>
      <w:marLeft w:val="0"/>
      <w:marRight w:val="0"/>
      <w:marTop w:val="0"/>
      <w:marBottom w:val="0"/>
      <w:divBdr>
        <w:top w:val="none" w:sz="0" w:space="0" w:color="auto"/>
        <w:left w:val="none" w:sz="0" w:space="0" w:color="auto"/>
        <w:bottom w:val="none" w:sz="0" w:space="0" w:color="auto"/>
        <w:right w:val="none" w:sz="0" w:space="0" w:color="auto"/>
      </w:divBdr>
    </w:div>
    <w:div w:id="933199470">
      <w:bodyDiv w:val="1"/>
      <w:marLeft w:val="0"/>
      <w:marRight w:val="0"/>
      <w:marTop w:val="0"/>
      <w:marBottom w:val="0"/>
      <w:divBdr>
        <w:top w:val="none" w:sz="0" w:space="0" w:color="auto"/>
        <w:left w:val="none" w:sz="0" w:space="0" w:color="auto"/>
        <w:bottom w:val="none" w:sz="0" w:space="0" w:color="auto"/>
        <w:right w:val="none" w:sz="0" w:space="0" w:color="auto"/>
      </w:divBdr>
    </w:div>
    <w:div w:id="934098781">
      <w:bodyDiv w:val="1"/>
      <w:marLeft w:val="0"/>
      <w:marRight w:val="0"/>
      <w:marTop w:val="0"/>
      <w:marBottom w:val="0"/>
      <w:divBdr>
        <w:top w:val="none" w:sz="0" w:space="0" w:color="auto"/>
        <w:left w:val="none" w:sz="0" w:space="0" w:color="auto"/>
        <w:bottom w:val="none" w:sz="0" w:space="0" w:color="auto"/>
        <w:right w:val="none" w:sz="0" w:space="0" w:color="auto"/>
      </w:divBdr>
    </w:div>
    <w:div w:id="936331180">
      <w:bodyDiv w:val="1"/>
      <w:marLeft w:val="0"/>
      <w:marRight w:val="0"/>
      <w:marTop w:val="0"/>
      <w:marBottom w:val="0"/>
      <w:divBdr>
        <w:top w:val="none" w:sz="0" w:space="0" w:color="auto"/>
        <w:left w:val="none" w:sz="0" w:space="0" w:color="auto"/>
        <w:bottom w:val="none" w:sz="0" w:space="0" w:color="auto"/>
        <w:right w:val="none" w:sz="0" w:space="0" w:color="auto"/>
      </w:divBdr>
    </w:div>
    <w:div w:id="936519770">
      <w:bodyDiv w:val="1"/>
      <w:marLeft w:val="0"/>
      <w:marRight w:val="0"/>
      <w:marTop w:val="0"/>
      <w:marBottom w:val="0"/>
      <w:divBdr>
        <w:top w:val="none" w:sz="0" w:space="0" w:color="auto"/>
        <w:left w:val="none" w:sz="0" w:space="0" w:color="auto"/>
        <w:bottom w:val="none" w:sz="0" w:space="0" w:color="auto"/>
        <w:right w:val="none" w:sz="0" w:space="0" w:color="auto"/>
      </w:divBdr>
    </w:div>
    <w:div w:id="949893988">
      <w:bodyDiv w:val="1"/>
      <w:marLeft w:val="0"/>
      <w:marRight w:val="0"/>
      <w:marTop w:val="0"/>
      <w:marBottom w:val="0"/>
      <w:divBdr>
        <w:top w:val="none" w:sz="0" w:space="0" w:color="auto"/>
        <w:left w:val="none" w:sz="0" w:space="0" w:color="auto"/>
        <w:bottom w:val="none" w:sz="0" w:space="0" w:color="auto"/>
        <w:right w:val="none" w:sz="0" w:space="0" w:color="auto"/>
      </w:divBdr>
    </w:div>
    <w:div w:id="954750985">
      <w:bodyDiv w:val="1"/>
      <w:marLeft w:val="0"/>
      <w:marRight w:val="0"/>
      <w:marTop w:val="0"/>
      <w:marBottom w:val="0"/>
      <w:divBdr>
        <w:top w:val="none" w:sz="0" w:space="0" w:color="auto"/>
        <w:left w:val="none" w:sz="0" w:space="0" w:color="auto"/>
        <w:bottom w:val="none" w:sz="0" w:space="0" w:color="auto"/>
        <w:right w:val="none" w:sz="0" w:space="0" w:color="auto"/>
      </w:divBdr>
    </w:div>
    <w:div w:id="968709565">
      <w:bodyDiv w:val="1"/>
      <w:marLeft w:val="0"/>
      <w:marRight w:val="0"/>
      <w:marTop w:val="0"/>
      <w:marBottom w:val="0"/>
      <w:divBdr>
        <w:top w:val="none" w:sz="0" w:space="0" w:color="auto"/>
        <w:left w:val="none" w:sz="0" w:space="0" w:color="auto"/>
        <w:bottom w:val="none" w:sz="0" w:space="0" w:color="auto"/>
        <w:right w:val="none" w:sz="0" w:space="0" w:color="auto"/>
      </w:divBdr>
    </w:div>
    <w:div w:id="974873206">
      <w:bodyDiv w:val="1"/>
      <w:marLeft w:val="0"/>
      <w:marRight w:val="0"/>
      <w:marTop w:val="0"/>
      <w:marBottom w:val="0"/>
      <w:divBdr>
        <w:top w:val="none" w:sz="0" w:space="0" w:color="auto"/>
        <w:left w:val="none" w:sz="0" w:space="0" w:color="auto"/>
        <w:bottom w:val="none" w:sz="0" w:space="0" w:color="auto"/>
        <w:right w:val="none" w:sz="0" w:space="0" w:color="auto"/>
      </w:divBdr>
    </w:div>
    <w:div w:id="983702476">
      <w:bodyDiv w:val="1"/>
      <w:marLeft w:val="0"/>
      <w:marRight w:val="0"/>
      <w:marTop w:val="0"/>
      <w:marBottom w:val="0"/>
      <w:divBdr>
        <w:top w:val="none" w:sz="0" w:space="0" w:color="auto"/>
        <w:left w:val="none" w:sz="0" w:space="0" w:color="auto"/>
        <w:bottom w:val="none" w:sz="0" w:space="0" w:color="auto"/>
        <w:right w:val="none" w:sz="0" w:space="0" w:color="auto"/>
      </w:divBdr>
    </w:div>
    <w:div w:id="995576095">
      <w:bodyDiv w:val="1"/>
      <w:marLeft w:val="0"/>
      <w:marRight w:val="0"/>
      <w:marTop w:val="0"/>
      <w:marBottom w:val="0"/>
      <w:divBdr>
        <w:top w:val="none" w:sz="0" w:space="0" w:color="auto"/>
        <w:left w:val="none" w:sz="0" w:space="0" w:color="auto"/>
        <w:bottom w:val="none" w:sz="0" w:space="0" w:color="auto"/>
        <w:right w:val="none" w:sz="0" w:space="0" w:color="auto"/>
      </w:divBdr>
    </w:div>
    <w:div w:id="1000235058">
      <w:bodyDiv w:val="1"/>
      <w:marLeft w:val="0"/>
      <w:marRight w:val="0"/>
      <w:marTop w:val="0"/>
      <w:marBottom w:val="0"/>
      <w:divBdr>
        <w:top w:val="none" w:sz="0" w:space="0" w:color="auto"/>
        <w:left w:val="none" w:sz="0" w:space="0" w:color="auto"/>
        <w:bottom w:val="none" w:sz="0" w:space="0" w:color="auto"/>
        <w:right w:val="none" w:sz="0" w:space="0" w:color="auto"/>
      </w:divBdr>
    </w:div>
    <w:div w:id="1005286466">
      <w:bodyDiv w:val="1"/>
      <w:marLeft w:val="0"/>
      <w:marRight w:val="0"/>
      <w:marTop w:val="0"/>
      <w:marBottom w:val="0"/>
      <w:divBdr>
        <w:top w:val="none" w:sz="0" w:space="0" w:color="auto"/>
        <w:left w:val="none" w:sz="0" w:space="0" w:color="auto"/>
        <w:bottom w:val="none" w:sz="0" w:space="0" w:color="auto"/>
        <w:right w:val="none" w:sz="0" w:space="0" w:color="auto"/>
      </w:divBdr>
    </w:div>
    <w:div w:id="1018585166">
      <w:bodyDiv w:val="1"/>
      <w:marLeft w:val="0"/>
      <w:marRight w:val="0"/>
      <w:marTop w:val="0"/>
      <w:marBottom w:val="0"/>
      <w:divBdr>
        <w:top w:val="none" w:sz="0" w:space="0" w:color="auto"/>
        <w:left w:val="none" w:sz="0" w:space="0" w:color="auto"/>
        <w:bottom w:val="none" w:sz="0" w:space="0" w:color="auto"/>
        <w:right w:val="none" w:sz="0" w:space="0" w:color="auto"/>
      </w:divBdr>
    </w:div>
    <w:div w:id="1025206118">
      <w:bodyDiv w:val="1"/>
      <w:marLeft w:val="0"/>
      <w:marRight w:val="0"/>
      <w:marTop w:val="0"/>
      <w:marBottom w:val="0"/>
      <w:divBdr>
        <w:top w:val="none" w:sz="0" w:space="0" w:color="auto"/>
        <w:left w:val="none" w:sz="0" w:space="0" w:color="auto"/>
        <w:bottom w:val="none" w:sz="0" w:space="0" w:color="auto"/>
        <w:right w:val="none" w:sz="0" w:space="0" w:color="auto"/>
      </w:divBdr>
    </w:div>
    <w:div w:id="1027832880">
      <w:bodyDiv w:val="1"/>
      <w:marLeft w:val="0"/>
      <w:marRight w:val="0"/>
      <w:marTop w:val="0"/>
      <w:marBottom w:val="0"/>
      <w:divBdr>
        <w:top w:val="none" w:sz="0" w:space="0" w:color="auto"/>
        <w:left w:val="none" w:sz="0" w:space="0" w:color="auto"/>
        <w:bottom w:val="none" w:sz="0" w:space="0" w:color="auto"/>
        <w:right w:val="none" w:sz="0" w:space="0" w:color="auto"/>
      </w:divBdr>
    </w:div>
    <w:div w:id="1031953586">
      <w:bodyDiv w:val="1"/>
      <w:marLeft w:val="0"/>
      <w:marRight w:val="0"/>
      <w:marTop w:val="0"/>
      <w:marBottom w:val="0"/>
      <w:divBdr>
        <w:top w:val="none" w:sz="0" w:space="0" w:color="auto"/>
        <w:left w:val="none" w:sz="0" w:space="0" w:color="auto"/>
        <w:bottom w:val="none" w:sz="0" w:space="0" w:color="auto"/>
        <w:right w:val="none" w:sz="0" w:space="0" w:color="auto"/>
      </w:divBdr>
    </w:div>
    <w:div w:id="1039666294">
      <w:bodyDiv w:val="1"/>
      <w:marLeft w:val="0"/>
      <w:marRight w:val="0"/>
      <w:marTop w:val="0"/>
      <w:marBottom w:val="0"/>
      <w:divBdr>
        <w:top w:val="none" w:sz="0" w:space="0" w:color="auto"/>
        <w:left w:val="none" w:sz="0" w:space="0" w:color="auto"/>
        <w:bottom w:val="none" w:sz="0" w:space="0" w:color="auto"/>
        <w:right w:val="none" w:sz="0" w:space="0" w:color="auto"/>
      </w:divBdr>
    </w:div>
    <w:div w:id="1043215941">
      <w:bodyDiv w:val="1"/>
      <w:marLeft w:val="0"/>
      <w:marRight w:val="0"/>
      <w:marTop w:val="0"/>
      <w:marBottom w:val="0"/>
      <w:divBdr>
        <w:top w:val="none" w:sz="0" w:space="0" w:color="auto"/>
        <w:left w:val="none" w:sz="0" w:space="0" w:color="auto"/>
        <w:bottom w:val="none" w:sz="0" w:space="0" w:color="auto"/>
        <w:right w:val="none" w:sz="0" w:space="0" w:color="auto"/>
      </w:divBdr>
    </w:div>
    <w:div w:id="1047417579">
      <w:bodyDiv w:val="1"/>
      <w:marLeft w:val="0"/>
      <w:marRight w:val="0"/>
      <w:marTop w:val="0"/>
      <w:marBottom w:val="0"/>
      <w:divBdr>
        <w:top w:val="none" w:sz="0" w:space="0" w:color="auto"/>
        <w:left w:val="none" w:sz="0" w:space="0" w:color="auto"/>
        <w:bottom w:val="none" w:sz="0" w:space="0" w:color="auto"/>
        <w:right w:val="none" w:sz="0" w:space="0" w:color="auto"/>
      </w:divBdr>
    </w:div>
    <w:div w:id="1049108169">
      <w:bodyDiv w:val="1"/>
      <w:marLeft w:val="0"/>
      <w:marRight w:val="0"/>
      <w:marTop w:val="0"/>
      <w:marBottom w:val="0"/>
      <w:divBdr>
        <w:top w:val="none" w:sz="0" w:space="0" w:color="auto"/>
        <w:left w:val="none" w:sz="0" w:space="0" w:color="auto"/>
        <w:bottom w:val="none" w:sz="0" w:space="0" w:color="auto"/>
        <w:right w:val="none" w:sz="0" w:space="0" w:color="auto"/>
      </w:divBdr>
    </w:div>
    <w:div w:id="1051223208">
      <w:bodyDiv w:val="1"/>
      <w:marLeft w:val="0"/>
      <w:marRight w:val="0"/>
      <w:marTop w:val="0"/>
      <w:marBottom w:val="0"/>
      <w:divBdr>
        <w:top w:val="none" w:sz="0" w:space="0" w:color="auto"/>
        <w:left w:val="none" w:sz="0" w:space="0" w:color="auto"/>
        <w:bottom w:val="none" w:sz="0" w:space="0" w:color="auto"/>
        <w:right w:val="none" w:sz="0" w:space="0" w:color="auto"/>
      </w:divBdr>
    </w:div>
    <w:div w:id="1085957851">
      <w:bodyDiv w:val="1"/>
      <w:marLeft w:val="0"/>
      <w:marRight w:val="0"/>
      <w:marTop w:val="0"/>
      <w:marBottom w:val="0"/>
      <w:divBdr>
        <w:top w:val="none" w:sz="0" w:space="0" w:color="auto"/>
        <w:left w:val="none" w:sz="0" w:space="0" w:color="auto"/>
        <w:bottom w:val="none" w:sz="0" w:space="0" w:color="auto"/>
        <w:right w:val="none" w:sz="0" w:space="0" w:color="auto"/>
      </w:divBdr>
    </w:div>
    <w:div w:id="1087848290">
      <w:bodyDiv w:val="1"/>
      <w:marLeft w:val="0"/>
      <w:marRight w:val="0"/>
      <w:marTop w:val="0"/>
      <w:marBottom w:val="0"/>
      <w:divBdr>
        <w:top w:val="none" w:sz="0" w:space="0" w:color="auto"/>
        <w:left w:val="none" w:sz="0" w:space="0" w:color="auto"/>
        <w:bottom w:val="none" w:sz="0" w:space="0" w:color="auto"/>
        <w:right w:val="none" w:sz="0" w:space="0" w:color="auto"/>
      </w:divBdr>
    </w:div>
    <w:div w:id="1091387792">
      <w:bodyDiv w:val="1"/>
      <w:marLeft w:val="0"/>
      <w:marRight w:val="0"/>
      <w:marTop w:val="0"/>
      <w:marBottom w:val="0"/>
      <w:divBdr>
        <w:top w:val="none" w:sz="0" w:space="0" w:color="auto"/>
        <w:left w:val="none" w:sz="0" w:space="0" w:color="auto"/>
        <w:bottom w:val="none" w:sz="0" w:space="0" w:color="auto"/>
        <w:right w:val="none" w:sz="0" w:space="0" w:color="auto"/>
      </w:divBdr>
    </w:div>
    <w:div w:id="1091973903">
      <w:bodyDiv w:val="1"/>
      <w:marLeft w:val="0"/>
      <w:marRight w:val="0"/>
      <w:marTop w:val="0"/>
      <w:marBottom w:val="0"/>
      <w:divBdr>
        <w:top w:val="none" w:sz="0" w:space="0" w:color="auto"/>
        <w:left w:val="none" w:sz="0" w:space="0" w:color="auto"/>
        <w:bottom w:val="none" w:sz="0" w:space="0" w:color="auto"/>
        <w:right w:val="none" w:sz="0" w:space="0" w:color="auto"/>
      </w:divBdr>
    </w:div>
    <w:div w:id="1097941127">
      <w:bodyDiv w:val="1"/>
      <w:marLeft w:val="0"/>
      <w:marRight w:val="0"/>
      <w:marTop w:val="0"/>
      <w:marBottom w:val="0"/>
      <w:divBdr>
        <w:top w:val="none" w:sz="0" w:space="0" w:color="auto"/>
        <w:left w:val="none" w:sz="0" w:space="0" w:color="auto"/>
        <w:bottom w:val="none" w:sz="0" w:space="0" w:color="auto"/>
        <w:right w:val="none" w:sz="0" w:space="0" w:color="auto"/>
      </w:divBdr>
    </w:div>
    <w:div w:id="1123381448">
      <w:bodyDiv w:val="1"/>
      <w:marLeft w:val="0"/>
      <w:marRight w:val="0"/>
      <w:marTop w:val="0"/>
      <w:marBottom w:val="0"/>
      <w:divBdr>
        <w:top w:val="none" w:sz="0" w:space="0" w:color="auto"/>
        <w:left w:val="none" w:sz="0" w:space="0" w:color="auto"/>
        <w:bottom w:val="none" w:sz="0" w:space="0" w:color="auto"/>
        <w:right w:val="none" w:sz="0" w:space="0" w:color="auto"/>
      </w:divBdr>
    </w:div>
    <w:div w:id="1125974255">
      <w:bodyDiv w:val="1"/>
      <w:marLeft w:val="0"/>
      <w:marRight w:val="0"/>
      <w:marTop w:val="0"/>
      <w:marBottom w:val="0"/>
      <w:divBdr>
        <w:top w:val="none" w:sz="0" w:space="0" w:color="auto"/>
        <w:left w:val="none" w:sz="0" w:space="0" w:color="auto"/>
        <w:bottom w:val="none" w:sz="0" w:space="0" w:color="auto"/>
        <w:right w:val="none" w:sz="0" w:space="0" w:color="auto"/>
      </w:divBdr>
    </w:div>
    <w:div w:id="1128083380">
      <w:bodyDiv w:val="1"/>
      <w:marLeft w:val="0"/>
      <w:marRight w:val="0"/>
      <w:marTop w:val="0"/>
      <w:marBottom w:val="0"/>
      <w:divBdr>
        <w:top w:val="none" w:sz="0" w:space="0" w:color="auto"/>
        <w:left w:val="none" w:sz="0" w:space="0" w:color="auto"/>
        <w:bottom w:val="none" w:sz="0" w:space="0" w:color="auto"/>
        <w:right w:val="none" w:sz="0" w:space="0" w:color="auto"/>
      </w:divBdr>
    </w:div>
    <w:div w:id="1129594062">
      <w:bodyDiv w:val="1"/>
      <w:marLeft w:val="0"/>
      <w:marRight w:val="0"/>
      <w:marTop w:val="0"/>
      <w:marBottom w:val="0"/>
      <w:divBdr>
        <w:top w:val="none" w:sz="0" w:space="0" w:color="auto"/>
        <w:left w:val="none" w:sz="0" w:space="0" w:color="auto"/>
        <w:bottom w:val="none" w:sz="0" w:space="0" w:color="auto"/>
        <w:right w:val="none" w:sz="0" w:space="0" w:color="auto"/>
      </w:divBdr>
    </w:div>
    <w:div w:id="1133867693">
      <w:bodyDiv w:val="1"/>
      <w:marLeft w:val="0"/>
      <w:marRight w:val="0"/>
      <w:marTop w:val="0"/>
      <w:marBottom w:val="0"/>
      <w:divBdr>
        <w:top w:val="none" w:sz="0" w:space="0" w:color="auto"/>
        <w:left w:val="none" w:sz="0" w:space="0" w:color="auto"/>
        <w:bottom w:val="none" w:sz="0" w:space="0" w:color="auto"/>
        <w:right w:val="none" w:sz="0" w:space="0" w:color="auto"/>
      </w:divBdr>
    </w:div>
    <w:div w:id="1141187769">
      <w:bodyDiv w:val="1"/>
      <w:marLeft w:val="0"/>
      <w:marRight w:val="0"/>
      <w:marTop w:val="0"/>
      <w:marBottom w:val="0"/>
      <w:divBdr>
        <w:top w:val="none" w:sz="0" w:space="0" w:color="auto"/>
        <w:left w:val="none" w:sz="0" w:space="0" w:color="auto"/>
        <w:bottom w:val="none" w:sz="0" w:space="0" w:color="auto"/>
        <w:right w:val="none" w:sz="0" w:space="0" w:color="auto"/>
      </w:divBdr>
    </w:div>
    <w:div w:id="1155341486">
      <w:bodyDiv w:val="1"/>
      <w:marLeft w:val="0"/>
      <w:marRight w:val="0"/>
      <w:marTop w:val="0"/>
      <w:marBottom w:val="0"/>
      <w:divBdr>
        <w:top w:val="none" w:sz="0" w:space="0" w:color="auto"/>
        <w:left w:val="none" w:sz="0" w:space="0" w:color="auto"/>
        <w:bottom w:val="none" w:sz="0" w:space="0" w:color="auto"/>
        <w:right w:val="none" w:sz="0" w:space="0" w:color="auto"/>
      </w:divBdr>
    </w:div>
    <w:div w:id="1159468555">
      <w:bodyDiv w:val="1"/>
      <w:marLeft w:val="0"/>
      <w:marRight w:val="0"/>
      <w:marTop w:val="0"/>
      <w:marBottom w:val="0"/>
      <w:divBdr>
        <w:top w:val="none" w:sz="0" w:space="0" w:color="auto"/>
        <w:left w:val="none" w:sz="0" w:space="0" w:color="auto"/>
        <w:bottom w:val="none" w:sz="0" w:space="0" w:color="auto"/>
        <w:right w:val="none" w:sz="0" w:space="0" w:color="auto"/>
      </w:divBdr>
    </w:div>
    <w:div w:id="1166215236">
      <w:bodyDiv w:val="1"/>
      <w:marLeft w:val="0"/>
      <w:marRight w:val="0"/>
      <w:marTop w:val="0"/>
      <w:marBottom w:val="0"/>
      <w:divBdr>
        <w:top w:val="none" w:sz="0" w:space="0" w:color="auto"/>
        <w:left w:val="none" w:sz="0" w:space="0" w:color="auto"/>
        <w:bottom w:val="none" w:sz="0" w:space="0" w:color="auto"/>
        <w:right w:val="none" w:sz="0" w:space="0" w:color="auto"/>
      </w:divBdr>
    </w:div>
    <w:div w:id="1172456708">
      <w:bodyDiv w:val="1"/>
      <w:marLeft w:val="0"/>
      <w:marRight w:val="0"/>
      <w:marTop w:val="0"/>
      <w:marBottom w:val="0"/>
      <w:divBdr>
        <w:top w:val="none" w:sz="0" w:space="0" w:color="auto"/>
        <w:left w:val="none" w:sz="0" w:space="0" w:color="auto"/>
        <w:bottom w:val="none" w:sz="0" w:space="0" w:color="auto"/>
        <w:right w:val="none" w:sz="0" w:space="0" w:color="auto"/>
      </w:divBdr>
    </w:div>
    <w:div w:id="1176767201">
      <w:bodyDiv w:val="1"/>
      <w:marLeft w:val="0"/>
      <w:marRight w:val="0"/>
      <w:marTop w:val="0"/>
      <w:marBottom w:val="0"/>
      <w:divBdr>
        <w:top w:val="none" w:sz="0" w:space="0" w:color="auto"/>
        <w:left w:val="none" w:sz="0" w:space="0" w:color="auto"/>
        <w:bottom w:val="none" w:sz="0" w:space="0" w:color="auto"/>
        <w:right w:val="none" w:sz="0" w:space="0" w:color="auto"/>
      </w:divBdr>
    </w:div>
    <w:div w:id="1178932482">
      <w:bodyDiv w:val="1"/>
      <w:marLeft w:val="0"/>
      <w:marRight w:val="0"/>
      <w:marTop w:val="0"/>
      <w:marBottom w:val="0"/>
      <w:divBdr>
        <w:top w:val="none" w:sz="0" w:space="0" w:color="auto"/>
        <w:left w:val="none" w:sz="0" w:space="0" w:color="auto"/>
        <w:bottom w:val="none" w:sz="0" w:space="0" w:color="auto"/>
        <w:right w:val="none" w:sz="0" w:space="0" w:color="auto"/>
      </w:divBdr>
    </w:div>
    <w:div w:id="1179809467">
      <w:bodyDiv w:val="1"/>
      <w:marLeft w:val="0"/>
      <w:marRight w:val="0"/>
      <w:marTop w:val="0"/>
      <w:marBottom w:val="0"/>
      <w:divBdr>
        <w:top w:val="none" w:sz="0" w:space="0" w:color="auto"/>
        <w:left w:val="none" w:sz="0" w:space="0" w:color="auto"/>
        <w:bottom w:val="none" w:sz="0" w:space="0" w:color="auto"/>
        <w:right w:val="none" w:sz="0" w:space="0" w:color="auto"/>
      </w:divBdr>
    </w:div>
    <w:div w:id="1180774204">
      <w:bodyDiv w:val="1"/>
      <w:marLeft w:val="0"/>
      <w:marRight w:val="0"/>
      <w:marTop w:val="0"/>
      <w:marBottom w:val="0"/>
      <w:divBdr>
        <w:top w:val="none" w:sz="0" w:space="0" w:color="auto"/>
        <w:left w:val="none" w:sz="0" w:space="0" w:color="auto"/>
        <w:bottom w:val="none" w:sz="0" w:space="0" w:color="auto"/>
        <w:right w:val="none" w:sz="0" w:space="0" w:color="auto"/>
      </w:divBdr>
    </w:div>
    <w:div w:id="1185897587">
      <w:bodyDiv w:val="1"/>
      <w:marLeft w:val="0"/>
      <w:marRight w:val="0"/>
      <w:marTop w:val="0"/>
      <w:marBottom w:val="0"/>
      <w:divBdr>
        <w:top w:val="none" w:sz="0" w:space="0" w:color="auto"/>
        <w:left w:val="none" w:sz="0" w:space="0" w:color="auto"/>
        <w:bottom w:val="none" w:sz="0" w:space="0" w:color="auto"/>
        <w:right w:val="none" w:sz="0" w:space="0" w:color="auto"/>
      </w:divBdr>
    </w:div>
    <w:div w:id="1191576513">
      <w:bodyDiv w:val="1"/>
      <w:marLeft w:val="0"/>
      <w:marRight w:val="0"/>
      <w:marTop w:val="0"/>
      <w:marBottom w:val="0"/>
      <w:divBdr>
        <w:top w:val="none" w:sz="0" w:space="0" w:color="auto"/>
        <w:left w:val="none" w:sz="0" w:space="0" w:color="auto"/>
        <w:bottom w:val="none" w:sz="0" w:space="0" w:color="auto"/>
        <w:right w:val="none" w:sz="0" w:space="0" w:color="auto"/>
      </w:divBdr>
    </w:div>
    <w:div w:id="1193496410">
      <w:bodyDiv w:val="1"/>
      <w:marLeft w:val="0"/>
      <w:marRight w:val="0"/>
      <w:marTop w:val="0"/>
      <w:marBottom w:val="0"/>
      <w:divBdr>
        <w:top w:val="none" w:sz="0" w:space="0" w:color="auto"/>
        <w:left w:val="none" w:sz="0" w:space="0" w:color="auto"/>
        <w:bottom w:val="none" w:sz="0" w:space="0" w:color="auto"/>
        <w:right w:val="none" w:sz="0" w:space="0" w:color="auto"/>
      </w:divBdr>
    </w:div>
    <w:div w:id="1196650668">
      <w:bodyDiv w:val="1"/>
      <w:marLeft w:val="0"/>
      <w:marRight w:val="0"/>
      <w:marTop w:val="0"/>
      <w:marBottom w:val="0"/>
      <w:divBdr>
        <w:top w:val="none" w:sz="0" w:space="0" w:color="auto"/>
        <w:left w:val="none" w:sz="0" w:space="0" w:color="auto"/>
        <w:bottom w:val="none" w:sz="0" w:space="0" w:color="auto"/>
        <w:right w:val="none" w:sz="0" w:space="0" w:color="auto"/>
      </w:divBdr>
    </w:div>
    <w:div w:id="1208839641">
      <w:bodyDiv w:val="1"/>
      <w:marLeft w:val="0"/>
      <w:marRight w:val="0"/>
      <w:marTop w:val="0"/>
      <w:marBottom w:val="0"/>
      <w:divBdr>
        <w:top w:val="none" w:sz="0" w:space="0" w:color="auto"/>
        <w:left w:val="none" w:sz="0" w:space="0" w:color="auto"/>
        <w:bottom w:val="none" w:sz="0" w:space="0" w:color="auto"/>
        <w:right w:val="none" w:sz="0" w:space="0" w:color="auto"/>
      </w:divBdr>
    </w:div>
    <w:div w:id="1212887448">
      <w:bodyDiv w:val="1"/>
      <w:marLeft w:val="0"/>
      <w:marRight w:val="0"/>
      <w:marTop w:val="0"/>
      <w:marBottom w:val="0"/>
      <w:divBdr>
        <w:top w:val="none" w:sz="0" w:space="0" w:color="auto"/>
        <w:left w:val="none" w:sz="0" w:space="0" w:color="auto"/>
        <w:bottom w:val="none" w:sz="0" w:space="0" w:color="auto"/>
        <w:right w:val="none" w:sz="0" w:space="0" w:color="auto"/>
      </w:divBdr>
    </w:div>
    <w:div w:id="1220901277">
      <w:bodyDiv w:val="1"/>
      <w:marLeft w:val="0"/>
      <w:marRight w:val="0"/>
      <w:marTop w:val="0"/>
      <w:marBottom w:val="0"/>
      <w:divBdr>
        <w:top w:val="none" w:sz="0" w:space="0" w:color="auto"/>
        <w:left w:val="none" w:sz="0" w:space="0" w:color="auto"/>
        <w:bottom w:val="none" w:sz="0" w:space="0" w:color="auto"/>
        <w:right w:val="none" w:sz="0" w:space="0" w:color="auto"/>
      </w:divBdr>
    </w:div>
    <w:div w:id="1221675348">
      <w:bodyDiv w:val="1"/>
      <w:marLeft w:val="0"/>
      <w:marRight w:val="0"/>
      <w:marTop w:val="0"/>
      <w:marBottom w:val="0"/>
      <w:divBdr>
        <w:top w:val="none" w:sz="0" w:space="0" w:color="auto"/>
        <w:left w:val="none" w:sz="0" w:space="0" w:color="auto"/>
        <w:bottom w:val="none" w:sz="0" w:space="0" w:color="auto"/>
        <w:right w:val="none" w:sz="0" w:space="0" w:color="auto"/>
      </w:divBdr>
    </w:div>
    <w:div w:id="1222474944">
      <w:bodyDiv w:val="1"/>
      <w:marLeft w:val="0"/>
      <w:marRight w:val="0"/>
      <w:marTop w:val="0"/>
      <w:marBottom w:val="0"/>
      <w:divBdr>
        <w:top w:val="none" w:sz="0" w:space="0" w:color="auto"/>
        <w:left w:val="none" w:sz="0" w:space="0" w:color="auto"/>
        <w:bottom w:val="none" w:sz="0" w:space="0" w:color="auto"/>
        <w:right w:val="none" w:sz="0" w:space="0" w:color="auto"/>
      </w:divBdr>
    </w:div>
    <w:div w:id="1225600632">
      <w:bodyDiv w:val="1"/>
      <w:marLeft w:val="0"/>
      <w:marRight w:val="0"/>
      <w:marTop w:val="0"/>
      <w:marBottom w:val="0"/>
      <w:divBdr>
        <w:top w:val="none" w:sz="0" w:space="0" w:color="auto"/>
        <w:left w:val="none" w:sz="0" w:space="0" w:color="auto"/>
        <w:bottom w:val="none" w:sz="0" w:space="0" w:color="auto"/>
        <w:right w:val="none" w:sz="0" w:space="0" w:color="auto"/>
      </w:divBdr>
    </w:div>
    <w:div w:id="1228997611">
      <w:bodyDiv w:val="1"/>
      <w:marLeft w:val="0"/>
      <w:marRight w:val="0"/>
      <w:marTop w:val="0"/>
      <w:marBottom w:val="0"/>
      <w:divBdr>
        <w:top w:val="none" w:sz="0" w:space="0" w:color="auto"/>
        <w:left w:val="none" w:sz="0" w:space="0" w:color="auto"/>
        <w:bottom w:val="none" w:sz="0" w:space="0" w:color="auto"/>
        <w:right w:val="none" w:sz="0" w:space="0" w:color="auto"/>
      </w:divBdr>
    </w:div>
    <w:div w:id="1230965226">
      <w:bodyDiv w:val="1"/>
      <w:marLeft w:val="0"/>
      <w:marRight w:val="0"/>
      <w:marTop w:val="0"/>
      <w:marBottom w:val="0"/>
      <w:divBdr>
        <w:top w:val="none" w:sz="0" w:space="0" w:color="auto"/>
        <w:left w:val="none" w:sz="0" w:space="0" w:color="auto"/>
        <w:bottom w:val="none" w:sz="0" w:space="0" w:color="auto"/>
        <w:right w:val="none" w:sz="0" w:space="0" w:color="auto"/>
      </w:divBdr>
    </w:div>
    <w:div w:id="1238171977">
      <w:bodyDiv w:val="1"/>
      <w:marLeft w:val="0"/>
      <w:marRight w:val="0"/>
      <w:marTop w:val="0"/>
      <w:marBottom w:val="0"/>
      <w:divBdr>
        <w:top w:val="none" w:sz="0" w:space="0" w:color="auto"/>
        <w:left w:val="none" w:sz="0" w:space="0" w:color="auto"/>
        <w:bottom w:val="none" w:sz="0" w:space="0" w:color="auto"/>
        <w:right w:val="none" w:sz="0" w:space="0" w:color="auto"/>
      </w:divBdr>
    </w:div>
    <w:div w:id="1261835949">
      <w:bodyDiv w:val="1"/>
      <w:marLeft w:val="0"/>
      <w:marRight w:val="0"/>
      <w:marTop w:val="0"/>
      <w:marBottom w:val="0"/>
      <w:divBdr>
        <w:top w:val="none" w:sz="0" w:space="0" w:color="auto"/>
        <w:left w:val="none" w:sz="0" w:space="0" w:color="auto"/>
        <w:bottom w:val="none" w:sz="0" w:space="0" w:color="auto"/>
        <w:right w:val="none" w:sz="0" w:space="0" w:color="auto"/>
      </w:divBdr>
    </w:div>
    <w:div w:id="1269191338">
      <w:bodyDiv w:val="1"/>
      <w:marLeft w:val="0"/>
      <w:marRight w:val="0"/>
      <w:marTop w:val="0"/>
      <w:marBottom w:val="0"/>
      <w:divBdr>
        <w:top w:val="none" w:sz="0" w:space="0" w:color="auto"/>
        <w:left w:val="none" w:sz="0" w:space="0" w:color="auto"/>
        <w:bottom w:val="none" w:sz="0" w:space="0" w:color="auto"/>
        <w:right w:val="none" w:sz="0" w:space="0" w:color="auto"/>
      </w:divBdr>
    </w:div>
    <w:div w:id="1273319334">
      <w:bodyDiv w:val="1"/>
      <w:marLeft w:val="0"/>
      <w:marRight w:val="0"/>
      <w:marTop w:val="0"/>
      <w:marBottom w:val="0"/>
      <w:divBdr>
        <w:top w:val="none" w:sz="0" w:space="0" w:color="auto"/>
        <w:left w:val="none" w:sz="0" w:space="0" w:color="auto"/>
        <w:bottom w:val="none" w:sz="0" w:space="0" w:color="auto"/>
        <w:right w:val="none" w:sz="0" w:space="0" w:color="auto"/>
      </w:divBdr>
    </w:div>
    <w:div w:id="1283922568">
      <w:bodyDiv w:val="1"/>
      <w:marLeft w:val="0"/>
      <w:marRight w:val="0"/>
      <w:marTop w:val="0"/>
      <w:marBottom w:val="0"/>
      <w:divBdr>
        <w:top w:val="none" w:sz="0" w:space="0" w:color="auto"/>
        <w:left w:val="none" w:sz="0" w:space="0" w:color="auto"/>
        <w:bottom w:val="none" w:sz="0" w:space="0" w:color="auto"/>
        <w:right w:val="none" w:sz="0" w:space="0" w:color="auto"/>
      </w:divBdr>
    </w:div>
    <w:div w:id="1284190999">
      <w:bodyDiv w:val="1"/>
      <w:marLeft w:val="0"/>
      <w:marRight w:val="0"/>
      <w:marTop w:val="0"/>
      <w:marBottom w:val="0"/>
      <w:divBdr>
        <w:top w:val="none" w:sz="0" w:space="0" w:color="auto"/>
        <w:left w:val="none" w:sz="0" w:space="0" w:color="auto"/>
        <w:bottom w:val="none" w:sz="0" w:space="0" w:color="auto"/>
        <w:right w:val="none" w:sz="0" w:space="0" w:color="auto"/>
      </w:divBdr>
    </w:div>
    <w:div w:id="1287200750">
      <w:bodyDiv w:val="1"/>
      <w:marLeft w:val="0"/>
      <w:marRight w:val="0"/>
      <w:marTop w:val="0"/>
      <w:marBottom w:val="0"/>
      <w:divBdr>
        <w:top w:val="none" w:sz="0" w:space="0" w:color="auto"/>
        <w:left w:val="none" w:sz="0" w:space="0" w:color="auto"/>
        <w:bottom w:val="none" w:sz="0" w:space="0" w:color="auto"/>
        <w:right w:val="none" w:sz="0" w:space="0" w:color="auto"/>
      </w:divBdr>
    </w:div>
    <w:div w:id="1291521714">
      <w:bodyDiv w:val="1"/>
      <w:marLeft w:val="0"/>
      <w:marRight w:val="0"/>
      <w:marTop w:val="0"/>
      <w:marBottom w:val="0"/>
      <w:divBdr>
        <w:top w:val="none" w:sz="0" w:space="0" w:color="auto"/>
        <w:left w:val="none" w:sz="0" w:space="0" w:color="auto"/>
        <w:bottom w:val="none" w:sz="0" w:space="0" w:color="auto"/>
        <w:right w:val="none" w:sz="0" w:space="0" w:color="auto"/>
      </w:divBdr>
    </w:div>
    <w:div w:id="1295520345">
      <w:bodyDiv w:val="1"/>
      <w:marLeft w:val="0"/>
      <w:marRight w:val="0"/>
      <w:marTop w:val="0"/>
      <w:marBottom w:val="0"/>
      <w:divBdr>
        <w:top w:val="none" w:sz="0" w:space="0" w:color="auto"/>
        <w:left w:val="none" w:sz="0" w:space="0" w:color="auto"/>
        <w:bottom w:val="none" w:sz="0" w:space="0" w:color="auto"/>
        <w:right w:val="none" w:sz="0" w:space="0" w:color="auto"/>
      </w:divBdr>
    </w:div>
    <w:div w:id="1307902054">
      <w:bodyDiv w:val="1"/>
      <w:marLeft w:val="0"/>
      <w:marRight w:val="0"/>
      <w:marTop w:val="0"/>
      <w:marBottom w:val="0"/>
      <w:divBdr>
        <w:top w:val="none" w:sz="0" w:space="0" w:color="auto"/>
        <w:left w:val="none" w:sz="0" w:space="0" w:color="auto"/>
        <w:bottom w:val="none" w:sz="0" w:space="0" w:color="auto"/>
        <w:right w:val="none" w:sz="0" w:space="0" w:color="auto"/>
      </w:divBdr>
    </w:div>
    <w:div w:id="1315185303">
      <w:bodyDiv w:val="1"/>
      <w:marLeft w:val="0"/>
      <w:marRight w:val="0"/>
      <w:marTop w:val="0"/>
      <w:marBottom w:val="0"/>
      <w:divBdr>
        <w:top w:val="none" w:sz="0" w:space="0" w:color="auto"/>
        <w:left w:val="none" w:sz="0" w:space="0" w:color="auto"/>
        <w:bottom w:val="none" w:sz="0" w:space="0" w:color="auto"/>
        <w:right w:val="none" w:sz="0" w:space="0" w:color="auto"/>
      </w:divBdr>
    </w:div>
    <w:div w:id="1318607947">
      <w:bodyDiv w:val="1"/>
      <w:marLeft w:val="0"/>
      <w:marRight w:val="0"/>
      <w:marTop w:val="0"/>
      <w:marBottom w:val="0"/>
      <w:divBdr>
        <w:top w:val="none" w:sz="0" w:space="0" w:color="auto"/>
        <w:left w:val="none" w:sz="0" w:space="0" w:color="auto"/>
        <w:bottom w:val="none" w:sz="0" w:space="0" w:color="auto"/>
        <w:right w:val="none" w:sz="0" w:space="0" w:color="auto"/>
      </w:divBdr>
    </w:div>
    <w:div w:id="1320691046">
      <w:bodyDiv w:val="1"/>
      <w:marLeft w:val="0"/>
      <w:marRight w:val="0"/>
      <w:marTop w:val="0"/>
      <w:marBottom w:val="0"/>
      <w:divBdr>
        <w:top w:val="none" w:sz="0" w:space="0" w:color="auto"/>
        <w:left w:val="none" w:sz="0" w:space="0" w:color="auto"/>
        <w:bottom w:val="none" w:sz="0" w:space="0" w:color="auto"/>
        <w:right w:val="none" w:sz="0" w:space="0" w:color="auto"/>
      </w:divBdr>
    </w:div>
    <w:div w:id="1325671195">
      <w:bodyDiv w:val="1"/>
      <w:marLeft w:val="0"/>
      <w:marRight w:val="0"/>
      <w:marTop w:val="0"/>
      <w:marBottom w:val="0"/>
      <w:divBdr>
        <w:top w:val="none" w:sz="0" w:space="0" w:color="auto"/>
        <w:left w:val="none" w:sz="0" w:space="0" w:color="auto"/>
        <w:bottom w:val="none" w:sz="0" w:space="0" w:color="auto"/>
        <w:right w:val="none" w:sz="0" w:space="0" w:color="auto"/>
      </w:divBdr>
    </w:div>
    <w:div w:id="1331367376">
      <w:bodyDiv w:val="1"/>
      <w:marLeft w:val="0"/>
      <w:marRight w:val="0"/>
      <w:marTop w:val="0"/>
      <w:marBottom w:val="0"/>
      <w:divBdr>
        <w:top w:val="none" w:sz="0" w:space="0" w:color="auto"/>
        <w:left w:val="none" w:sz="0" w:space="0" w:color="auto"/>
        <w:bottom w:val="none" w:sz="0" w:space="0" w:color="auto"/>
        <w:right w:val="none" w:sz="0" w:space="0" w:color="auto"/>
      </w:divBdr>
    </w:div>
    <w:div w:id="1345935024">
      <w:bodyDiv w:val="1"/>
      <w:marLeft w:val="0"/>
      <w:marRight w:val="0"/>
      <w:marTop w:val="0"/>
      <w:marBottom w:val="0"/>
      <w:divBdr>
        <w:top w:val="none" w:sz="0" w:space="0" w:color="auto"/>
        <w:left w:val="none" w:sz="0" w:space="0" w:color="auto"/>
        <w:bottom w:val="none" w:sz="0" w:space="0" w:color="auto"/>
        <w:right w:val="none" w:sz="0" w:space="0" w:color="auto"/>
      </w:divBdr>
    </w:div>
    <w:div w:id="1365788534">
      <w:bodyDiv w:val="1"/>
      <w:marLeft w:val="0"/>
      <w:marRight w:val="0"/>
      <w:marTop w:val="0"/>
      <w:marBottom w:val="0"/>
      <w:divBdr>
        <w:top w:val="none" w:sz="0" w:space="0" w:color="auto"/>
        <w:left w:val="none" w:sz="0" w:space="0" w:color="auto"/>
        <w:bottom w:val="none" w:sz="0" w:space="0" w:color="auto"/>
        <w:right w:val="none" w:sz="0" w:space="0" w:color="auto"/>
      </w:divBdr>
    </w:div>
    <w:div w:id="1373506023">
      <w:bodyDiv w:val="1"/>
      <w:marLeft w:val="0"/>
      <w:marRight w:val="0"/>
      <w:marTop w:val="0"/>
      <w:marBottom w:val="0"/>
      <w:divBdr>
        <w:top w:val="none" w:sz="0" w:space="0" w:color="auto"/>
        <w:left w:val="none" w:sz="0" w:space="0" w:color="auto"/>
        <w:bottom w:val="none" w:sz="0" w:space="0" w:color="auto"/>
        <w:right w:val="none" w:sz="0" w:space="0" w:color="auto"/>
      </w:divBdr>
    </w:div>
    <w:div w:id="1388649130">
      <w:bodyDiv w:val="1"/>
      <w:marLeft w:val="0"/>
      <w:marRight w:val="0"/>
      <w:marTop w:val="0"/>
      <w:marBottom w:val="0"/>
      <w:divBdr>
        <w:top w:val="none" w:sz="0" w:space="0" w:color="auto"/>
        <w:left w:val="none" w:sz="0" w:space="0" w:color="auto"/>
        <w:bottom w:val="none" w:sz="0" w:space="0" w:color="auto"/>
        <w:right w:val="none" w:sz="0" w:space="0" w:color="auto"/>
      </w:divBdr>
    </w:div>
    <w:div w:id="1399280558">
      <w:bodyDiv w:val="1"/>
      <w:marLeft w:val="0"/>
      <w:marRight w:val="0"/>
      <w:marTop w:val="0"/>
      <w:marBottom w:val="0"/>
      <w:divBdr>
        <w:top w:val="none" w:sz="0" w:space="0" w:color="auto"/>
        <w:left w:val="none" w:sz="0" w:space="0" w:color="auto"/>
        <w:bottom w:val="none" w:sz="0" w:space="0" w:color="auto"/>
        <w:right w:val="none" w:sz="0" w:space="0" w:color="auto"/>
      </w:divBdr>
    </w:div>
    <w:div w:id="1401948254">
      <w:bodyDiv w:val="1"/>
      <w:marLeft w:val="0"/>
      <w:marRight w:val="0"/>
      <w:marTop w:val="0"/>
      <w:marBottom w:val="0"/>
      <w:divBdr>
        <w:top w:val="none" w:sz="0" w:space="0" w:color="auto"/>
        <w:left w:val="none" w:sz="0" w:space="0" w:color="auto"/>
        <w:bottom w:val="none" w:sz="0" w:space="0" w:color="auto"/>
        <w:right w:val="none" w:sz="0" w:space="0" w:color="auto"/>
      </w:divBdr>
    </w:div>
    <w:div w:id="1402558531">
      <w:bodyDiv w:val="1"/>
      <w:marLeft w:val="0"/>
      <w:marRight w:val="0"/>
      <w:marTop w:val="0"/>
      <w:marBottom w:val="0"/>
      <w:divBdr>
        <w:top w:val="none" w:sz="0" w:space="0" w:color="auto"/>
        <w:left w:val="none" w:sz="0" w:space="0" w:color="auto"/>
        <w:bottom w:val="none" w:sz="0" w:space="0" w:color="auto"/>
        <w:right w:val="none" w:sz="0" w:space="0" w:color="auto"/>
      </w:divBdr>
    </w:div>
    <w:div w:id="1405370281">
      <w:bodyDiv w:val="1"/>
      <w:marLeft w:val="0"/>
      <w:marRight w:val="0"/>
      <w:marTop w:val="0"/>
      <w:marBottom w:val="0"/>
      <w:divBdr>
        <w:top w:val="none" w:sz="0" w:space="0" w:color="auto"/>
        <w:left w:val="none" w:sz="0" w:space="0" w:color="auto"/>
        <w:bottom w:val="none" w:sz="0" w:space="0" w:color="auto"/>
        <w:right w:val="none" w:sz="0" w:space="0" w:color="auto"/>
      </w:divBdr>
    </w:div>
    <w:div w:id="1416631039">
      <w:bodyDiv w:val="1"/>
      <w:marLeft w:val="0"/>
      <w:marRight w:val="0"/>
      <w:marTop w:val="0"/>
      <w:marBottom w:val="0"/>
      <w:divBdr>
        <w:top w:val="none" w:sz="0" w:space="0" w:color="auto"/>
        <w:left w:val="none" w:sz="0" w:space="0" w:color="auto"/>
        <w:bottom w:val="none" w:sz="0" w:space="0" w:color="auto"/>
        <w:right w:val="none" w:sz="0" w:space="0" w:color="auto"/>
      </w:divBdr>
    </w:div>
    <w:div w:id="1417627030">
      <w:bodyDiv w:val="1"/>
      <w:marLeft w:val="0"/>
      <w:marRight w:val="0"/>
      <w:marTop w:val="0"/>
      <w:marBottom w:val="0"/>
      <w:divBdr>
        <w:top w:val="none" w:sz="0" w:space="0" w:color="auto"/>
        <w:left w:val="none" w:sz="0" w:space="0" w:color="auto"/>
        <w:bottom w:val="none" w:sz="0" w:space="0" w:color="auto"/>
        <w:right w:val="none" w:sz="0" w:space="0" w:color="auto"/>
      </w:divBdr>
    </w:div>
    <w:div w:id="1422140999">
      <w:bodyDiv w:val="1"/>
      <w:marLeft w:val="0"/>
      <w:marRight w:val="0"/>
      <w:marTop w:val="0"/>
      <w:marBottom w:val="0"/>
      <w:divBdr>
        <w:top w:val="none" w:sz="0" w:space="0" w:color="auto"/>
        <w:left w:val="none" w:sz="0" w:space="0" w:color="auto"/>
        <w:bottom w:val="none" w:sz="0" w:space="0" w:color="auto"/>
        <w:right w:val="none" w:sz="0" w:space="0" w:color="auto"/>
      </w:divBdr>
    </w:div>
    <w:div w:id="1432581222">
      <w:bodyDiv w:val="1"/>
      <w:marLeft w:val="0"/>
      <w:marRight w:val="0"/>
      <w:marTop w:val="0"/>
      <w:marBottom w:val="0"/>
      <w:divBdr>
        <w:top w:val="none" w:sz="0" w:space="0" w:color="auto"/>
        <w:left w:val="none" w:sz="0" w:space="0" w:color="auto"/>
        <w:bottom w:val="none" w:sz="0" w:space="0" w:color="auto"/>
        <w:right w:val="none" w:sz="0" w:space="0" w:color="auto"/>
      </w:divBdr>
    </w:div>
    <w:div w:id="1440023853">
      <w:bodyDiv w:val="1"/>
      <w:marLeft w:val="0"/>
      <w:marRight w:val="0"/>
      <w:marTop w:val="0"/>
      <w:marBottom w:val="0"/>
      <w:divBdr>
        <w:top w:val="none" w:sz="0" w:space="0" w:color="auto"/>
        <w:left w:val="none" w:sz="0" w:space="0" w:color="auto"/>
        <w:bottom w:val="none" w:sz="0" w:space="0" w:color="auto"/>
        <w:right w:val="none" w:sz="0" w:space="0" w:color="auto"/>
      </w:divBdr>
    </w:div>
    <w:div w:id="1444375152">
      <w:bodyDiv w:val="1"/>
      <w:marLeft w:val="0"/>
      <w:marRight w:val="0"/>
      <w:marTop w:val="0"/>
      <w:marBottom w:val="0"/>
      <w:divBdr>
        <w:top w:val="none" w:sz="0" w:space="0" w:color="auto"/>
        <w:left w:val="none" w:sz="0" w:space="0" w:color="auto"/>
        <w:bottom w:val="none" w:sz="0" w:space="0" w:color="auto"/>
        <w:right w:val="none" w:sz="0" w:space="0" w:color="auto"/>
      </w:divBdr>
    </w:div>
    <w:div w:id="1445728956">
      <w:bodyDiv w:val="1"/>
      <w:marLeft w:val="0"/>
      <w:marRight w:val="0"/>
      <w:marTop w:val="0"/>
      <w:marBottom w:val="0"/>
      <w:divBdr>
        <w:top w:val="none" w:sz="0" w:space="0" w:color="auto"/>
        <w:left w:val="none" w:sz="0" w:space="0" w:color="auto"/>
        <w:bottom w:val="none" w:sz="0" w:space="0" w:color="auto"/>
        <w:right w:val="none" w:sz="0" w:space="0" w:color="auto"/>
      </w:divBdr>
    </w:div>
    <w:div w:id="1458064835">
      <w:bodyDiv w:val="1"/>
      <w:marLeft w:val="0"/>
      <w:marRight w:val="0"/>
      <w:marTop w:val="0"/>
      <w:marBottom w:val="0"/>
      <w:divBdr>
        <w:top w:val="none" w:sz="0" w:space="0" w:color="auto"/>
        <w:left w:val="none" w:sz="0" w:space="0" w:color="auto"/>
        <w:bottom w:val="none" w:sz="0" w:space="0" w:color="auto"/>
        <w:right w:val="none" w:sz="0" w:space="0" w:color="auto"/>
      </w:divBdr>
    </w:div>
    <w:div w:id="1460999541">
      <w:bodyDiv w:val="1"/>
      <w:marLeft w:val="0"/>
      <w:marRight w:val="0"/>
      <w:marTop w:val="0"/>
      <w:marBottom w:val="0"/>
      <w:divBdr>
        <w:top w:val="none" w:sz="0" w:space="0" w:color="auto"/>
        <w:left w:val="none" w:sz="0" w:space="0" w:color="auto"/>
        <w:bottom w:val="none" w:sz="0" w:space="0" w:color="auto"/>
        <w:right w:val="none" w:sz="0" w:space="0" w:color="auto"/>
      </w:divBdr>
    </w:div>
    <w:div w:id="1471170044">
      <w:bodyDiv w:val="1"/>
      <w:marLeft w:val="0"/>
      <w:marRight w:val="0"/>
      <w:marTop w:val="0"/>
      <w:marBottom w:val="0"/>
      <w:divBdr>
        <w:top w:val="none" w:sz="0" w:space="0" w:color="auto"/>
        <w:left w:val="none" w:sz="0" w:space="0" w:color="auto"/>
        <w:bottom w:val="none" w:sz="0" w:space="0" w:color="auto"/>
        <w:right w:val="none" w:sz="0" w:space="0" w:color="auto"/>
      </w:divBdr>
    </w:div>
    <w:div w:id="1474564229">
      <w:bodyDiv w:val="1"/>
      <w:marLeft w:val="0"/>
      <w:marRight w:val="0"/>
      <w:marTop w:val="0"/>
      <w:marBottom w:val="0"/>
      <w:divBdr>
        <w:top w:val="none" w:sz="0" w:space="0" w:color="auto"/>
        <w:left w:val="none" w:sz="0" w:space="0" w:color="auto"/>
        <w:bottom w:val="none" w:sz="0" w:space="0" w:color="auto"/>
        <w:right w:val="none" w:sz="0" w:space="0" w:color="auto"/>
      </w:divBdr>
    </w:div>
    <w:div w:id="1481967858">
      <w:bodyDiv w:val="1"/>
      <w:marLeft w:val="0"/>
      <w:marRight w:val="0"/>
      <w:marTop w:val="0"/>
      <w:marBottom w:val="0"/>
      <w:divBdr>
        <w:top w:val="none" w:sz="0" w:space="0" w:color="auto"/>
        <w:left w:val="none" w:sz="0" w:space="0" w:color="auto"/>
        <w:bottom w:val="none" w:sz="0" w:space="0" w:color="auto"/>
        <w:right w:val="none" w:sz="0" w:space="0" w:color="auto"/>
      </w:divBdr>
    </w:div>
    <w:div w:id="1482653298">
      <w:bodyDiv w:val="1"/>
      <w:marLeft w:val="0"/>
      <w:marRight w:val="0"/>
      <w:marTop w:val="0"/>
      <w:marBottom w:val="0"/>
      <w:divBdr>
        <w:top w:val="none" w:sz="0" w:space="0" w:color="auto"/>
        <w:left w:val="none" w:sz="0" w:space="0" w:color="auto"/>
        <w:bottom w:val="none" w:sz="0" w:space="0" w:color="auto"/>
        <w:right w:val="none" w:sz="0" w:space="0" w:color="auto"/>
      </w:divBdr>
    </w:div>
    <w:div w:id="1483158187">
      <w:bodyDiv w:val="1"/>
      <w:marLeft w:val="0"/>
      <w:marRight w:val="0"/>
      <w:marTop w:val="0"/>
      <w:marBottom w:val="0"/>
      <w:divBdr>
        <w:top w:val="none" w:sz="0" w:space="0" w:color="auto"/>
        <w:left w:val="none" w:sz="0" w:space="0" w:color="auto"/>
        <w:bottom w:val="none" w:sz="0" w:space="0" w:color="auto"/>
        <w:right w:val="none" w:sz="0" w:space="0" w:color="auto"/>
      </w:divBdr>
    </w:div>
    <w:div w:id="1483277246">
      <w:bodyDiv w:val="1"/>
      <w:marLeft w:val="0"/>
      <w:marRight w:val="0"/>
      <w:marTop w:val="0"/>
      <w:marBottom w:val="0"/>
      <w:divBdr>
        <w:top w:val="none" w:sz="0" w:space="0" w:color="auto"/>
        <w:left w:val="none" w:sz="0" w:space="0" w:color="auto"/>
        <w:bottom w:val="none" w:sz="0" w:space="0" w:color="auto"/>
        <w:right w:val="none" w:sz="0" w:space="0" w:color="auto"/>
      </w:divBdr>
    </w:div>
    <w:div w:id="1509558924">
      <w:bodyDiv w:val="1"/>
      <w:marLeft w:val="0"/>
      <w:marRight w:val="0"/>
      <w:marTop w:val="0"/>
      <w:marBottom w:val="0"/>
      <w:divBdr>
        <w:top w:val="none" w:sz="0" w:space="0" w:color="auto"/>
        <w:left w:val="none" w:sz="0" w:space="0" w:color="auto"/>
        <w:bottom w:val="none" w:sz="0" w:space="0" w:color="auto"/>
        <w:right w:val="none" w:sz="0" w:space="0" w:color="auto"/>
      </w:divBdr>
    </w:div>
    <w:div w:id="1520239509">
      <w:bodyDiv w:val="1"/>
      <w:marLeft w:val="0"/>
      <w:marRight w:val="0"/>
      <w:marTop w:val="0"/>
      <w:marBottom w:val="0"/>
      <w:divBdr>
        <w:top w:val="none" w:sz="0" w:space="0" w:color="auto"/>
        <w:left w:val="none" w:sz="0" w:space="0" w:color="auto"/>
        <w:bottom w:val="none" w:sz="0" w:space="0" w:color="auto"/>
        <w:right w:val="none" w:sz="0" w:space="0" w:color="auto"/>
      </w:divBdr>
    </w:div>
    <w:div w:id="1521355242">
      <w:bodyDiv w:val="1"/>
      <w:marLeft w:val="0"/>
      <w:marRight w:val="0"/>
      <w:marTop w:val="0"/>
      <w:marBottom w:val="0"/>
      <w:divBdr>
        <w:top w:val="none" w:sz="0" w:space="0" w:color="auto"/>
        <w:left w:val="none" w:sz="0" w:space="0" w:color="auto"/>
        <w:bottom w:val="none" w:sz="0" w:space="0" w:color="auto"/>
        <w:right w:val="none" w:sz="0" w:space="0" w:color="auto"/>
      </w:divBdr>
    </w:div>
    <w:div w:id="1540777757">
      <w:bodyDiv w:val="1"/>
      <w:marLeft w:val="0"/>
      <w:marRight w:val="0"/>
      <w:marTop w:val="0"/>
      <w:marBottom w:val="0"/>
      <w:divBdr>
        <w:top w:val="none" w:sz="0" w:space="0" w:color="auto"/>
        <w:left w:val="none" w:sz="0" w:space="0" w:color="auto"/>
        <w:bottom w:val="none" w:sz="0" w:space="0" w:color="auto"/>
        <w:right w:val="none" w:sz="0" w:space="0" w:color="auto"/>
      </w:divBdr>
    </w:div>
    <w:div w:id="1542128554">
      <w:bodyDiv w:val="1"/>
      <w:marLeft w:val="0"/>
      <w:marRight w:val="0"/>
      <w:marTop w:val="0"/>
      <w:marBottom w:val="0"/>
      <w:divBdr>
        <w:top w:val="none" w:sz="0" w:space="0" w:color="auto"/>
        <w:left w:val="none" w:sz="0" w:space="0" w:color="auto"/>
        <w:bottom w:val="none" w:sz="0" w:space="0" w:color="auto"/>
        <w:right w:val="none" w:sz="0" w:space="0" w:color="auto"/>
      </w:divBdr>
    </w:div>
    <w:div w:id="1545093983">
      <w:bodyDiv w:val="1"/>
      <w:marLeft w:val="0"/>
      <w:marRight w:val="0"/>
      <w:marTop w:val="0"/>
      <w:marBottom w:val="0"/>
      <w:divBdr>
        <w:top w:val="none" w:sz="0" w:space="0" w:color="auto"/>
        <w:left w:val="none" w:sz="0" w:space="0" w:color="auto"/>
        <w:bottom w:val="none" w:sz="0" w:space="0" w:color="auto"/>
        <w:right w:val="none" w:sz="0" w:space="0" w:color="auto"/>
      </w:divBdr>
    </w:div>
    <w:div w:id="1546214104">
      <w:bodyDiv w:val="1"/>
      <w:marLeft w:val="0"/>
      <w:marRight w:val="0"/>
      <w:marTop w:val="0"/>
      <w:marBottom w:val="0"/>
      <w:divBdr>
        <w:top w:val="none" w:sz="0" w:space="0" w:color="auto"/>
        <w:left w:val="none" w:sz="0" w:space="0" w:color="auto"/>
        <w:bottom w:val="none" w:sz="0" w:space="0" w:color="auto"/>
        <w:right w:val="none" w:sz="0" w:space="0" w:color="auto"/>
      </w:divBdr>
    </w:div>
    <w:div w:id="1557276793">
      <w:bodyDiv w:val="1"/>
      <w:marLeft w:val="0"/>
      <w:marRight w:val="0"/>
      <w:marTop w:val="0"/>
      <w:marBottom w:val="0"/>
      <w:divBdr>
        <w:top w:val="none" w:sz="0" w:space="0" w:color="auto"/>
        <w:left w:val="none" w:sz="0" w:space="0" w:color="auto"/>
        <w:bottom w:val="none" w:sz="0" w:space="0" w:color="auto"/>
        <w:right w:val="none" w:sz="0" w:space="0" w:color="auto"/>
      </w:divBdr>
    </w:div>
    <w:div w:id="1557661986">
      <w:bodyDiv w:val="1"/>
      <w:marLeft w:val="0"/>
      <w:marRight w:val="0"/>
      <w:marTop w:val="0"/>
      <w:marBottom w:val="0"/>
      <w:divBdr>
        <w:top w:val="none" w:sz="0" w:space="0" w:color="auto"/>
        <w:left w:val="none" w:sz="0" w:space="0" w:color="auto"/>
        <w:bottom w:val="none" w:sz="0" w:space="0" w:color="auto"/>
        <w:right w:val="none" w:sz="0" w:space="0" w:color="auto"/>
      </w:divBdr>
    </w:div>
    <w:div w:id="1560902529">
      <w:bodyDiv w:val="1"/>
      <w:marLeft w:val="0"/>
      <w:marRight w:val="0"/>
      <w:marTop w:val="0"/>
      <w:marBottom w:val="0"/>
      <w:divBdr>
        <w:top w:val="none" w:sz="0" w:space="0" w:color="auto"/>
        <w:left w:val="none" w:sz="0" w:space="0" w:color="auto"/>
        <w:bottom w:val="none" w:sz="0" w:space="0" w:color="auto"/>
        <w:right w:val="none" w:sz="0" w:space="0" w:color="auto"/>
      </w:divBdr>
    </w:div>
    <w:div w:id="1572348816">
      <w:bodyDiv w:val="1"/>
      <w:marLeft w:val="0"/>
      <w:marRight w:val="0"/>
      <w:marTop w:val="0"/>
      <w:marBottom w:val="0"/>
      <w:divBdr>
        <w:top w:val="none" w:sz="0" w:space="0" w:color="auto"/>
        <w:left w:val="none" w:sz="0" w:space="0" w:color="auto"/>
        <w:bottom w:val="none" w:sz="0" w:space="0" w:color="auto"/>
        <w:right w:val="none" w:sz="0" w:space="0" w:color="auto"/>
      </w:divBdr>
    </w:div>
    <w:div w:id="1582445473">
      <w:bodyDiv w:val="1"/>
      <w:marLeft w:val="0"/>
      <w:marRight w:val="0"/>
      <w:marTop w:val="0"/>
      <w:marBottom w:val="0"/>
      <w:divBdr>
        <w:top w:val="none" w:sz="0" w:space="0" w:color="auto"/>
        <w:left w:val="none" w:sz="0" w:space="0" w:color="auto"/>
        <w:bottom w:val="none" w:sz="0" w:space="0" w:color="auto"/>
        <w:right w:val="none" w:sz="0" w:space="0" w:color="auto"/>
      </w:divBdr>
    </w:div>
    <w:div w:id="1583833636">
      <w:bodyDiv w:val="1"/>
      <w:marLeft w:val="0"/>
      <w:marRight w:val="0"/>
      <w:marTop w:val="0"/>
      <w:marBottom w:val="0"/>
      <w:divBdr>
        <w:top w:val="none" w:sz="0" w:space="0" w:color="auto"/>
        <w:left w:val="none" w:sz="0" w:space="0" w:color="auto"/>
        <w:bottom w:val="none" w:sz="0" w:space="0" w:color="auto"/>
        <w:right w:val="none" w:sz="0" w:space="0" w:color="auto"/>
      </w:divBdr>
    </w:div>
    <w:div w:id="1591739469">
      <w:bodyDiv w:val="1"/>
      <w:marLeft w:val="0"/>
      <w:marRight w:val="0"/>
      <w:marTop w:val="0"/>
      <w:marBottom w:val="0"/>
      <w:divBdr>
        <w:top w:val="none" w:sz="0" w:space="0" w:color="auto"/>
        <w:left w:val="none" w:sz="0" w:space="0" w:color="auto"/>
        <w:bottom w:val="none" w:sz="0" w:space="0" w:color="auto"/>
        <w:right w:val="none" w:sz="0" w:space="0" w:color="auto"/>
      </w:divBdr>
    </w:div>
    <w:div w:id="1618875747">
      <w:bodyDiv w:val="1"/>
      <w:marLeft w:val="0"/>
      <w:marRight w:val="0"/>
      <w:marTop w:val="0"/>
      <w:marBottom w:val="0"/>
      <w:divBdr>
        <w:top w:val="none" w:sz="0" w:space="0" w:color="auto"/>
        <w:left w:val="none" w:sz="0" w:space="0" w:color="auto"/>
        <w:bottom w:val="none" w:sz="0" w:space="0" w:color="auto"/>
        <w:right w:val="none" w:sz="0" w:space="0" w:color="auto"/>
      </w:divBdr>
    </w:div>
    <w:div w:id="1628311377">
      <w:bodyDiv w:val="1"/>
      <w:marLeft w:val="0"/>
      <w:marRight w:val="0"/>
      <w:marTop w:val="0"/>
      <w:marBottom w:val="0"/>
      <w:divBdr>
        <w:top w:val="none" w:sz="0" w:space="0" w:color="auto"/>
        <w:left w:val="none" w:sz="0" w:space="0" w:color="auto"/>
        <w:bottom w:val="none" w:sz="0" w:space="0" w:color="auto"/>
        <w:right w:val="none" w:sz="0" w:space="0" w:color="auto"/>
      </w:divBdr>
    </w:div>
    <w:div w:id="1629817306">
      <w:bodyDiv w:val="1"/>
      <w:marLeft w:val="0"/>
      <w:marRight w:val="0"/>
      <w:marTop w:val="0"/>
      <w:marBottom w:val="0"/>
      <w:divBdr>
        <w:top w:val="none" w:sz="0" w:space="0" w:color="auto"/>
        <w:left w:val="none" w:sz="0" w:space="0" w:color="auto"/>
        <w:bottom w:val="none" w:sz="0" w:space="0" w:color="auto"/>
        <w:right w:val="none" w:sz="0" w:space="0" w:color="auto"/>
      </w:divBdr>
    </w:div>
    <w:div w:id="1637442570">
      <w:bodyDiv w:val="1"/>
      <w:marLeft w:val="0"/>
      <w:marRight w:val="0"/>
      <w:marTop w:val="0"/>
      <w:marBottom w:val="0"/>
      <w:divBdr>
        <w:top w:val="none" w:sz="0" w:space="0" w:color="auto"/>
        <w:left w:val="none" w:sz="0" w:space="0" w:color="auto"/>
        <w:bottom w:val="none" w:sz="0" w:space="0" w:color="auto"/>
        <w:right w:val="none" w:sz="0" w:space="0" w:color="auto"/>
      </w:divBdr>
    </w:div>
    <w:div w:id="1644430649">
      <w:bodyDiv w:val="1"/>
      <w:marLeft w:val="0"/>
      <w:marRight w:val="0"/>
      <w:marTop w:val="0"/>
      <w:marBottom w:val="0"/>
      <w:divBdr>
        <w:top w:val="none" w:sz="0" w:space="0" w:color="auto"/>
        <w:left w:val="none" w:sz="0" w:space="0" w:color="auto"/>
        <w:bottom w:val="none" w:sz="0" w:space="0" w:color="auto"/>
        <w:right w:val="none" w:sz="0" w:space="0" w:color="auto"/>
      </w:divBdr>
    </w:div>
    <w:div w:id="1663125128">
      <w:bodyDiv w:val="1"/>
      <w:marLeft w:val="0"/>
      <w:marRight w:val="0"/>
      <w:marTop w:val="0"/>
      <w:marBottom w:val="0"/>
      <w:divBdr>
        <w:top w:val="none" w:sz="0" w:space="0" w:color="auto"/>
        <w:left w:val="none" w:sz="0" w:space="0" w:color="auto"/>
        <w:bottom w:val="none" w:sz="0" w:space="0" w:color="auto"/>
        <w:right w:val="none" w:sz="0" w:space="0" w:color="auto"/>
      </w:divBdr>
    </w:div>
    <w:div w:id="1667779377">
      <w:bodyDiv w:val="1"/>
      <w:marLeft w:val="0"/>
      <w:marRight w:val="0"/>
      <w:marTop w:val="0"/>
      <w:marBottom w:val="0"/>
      <w:divBdr>
        <w:top w:val="none" w:sz="0" w:space="0" w:color="auto"/>
        <w:left w:val="none" w:sz="0" w:space="0" w:color="auto"/>
        <w:bottom w:val="none" w:sz="0" w:space="0" w:color="auto"/>
        <w:right w:val="none" w:sz="0" w:space="0" w:color="auto"/>
      </w:divBdr>
    </w:div>
    <w:div w:id="1669360878">
      <w:bodyDiv w:val="1"/>
      <w:marLeft w:val="0"/>
      <w:marRight w:val="0"/>
      <w:marTop w:val="0"/>
      <w:marBottom w:val="0"/>
      <w:divBdr>
        <w:top w:val="none" w:sz="0" w:space="0" w:color="auto"/>
        <w:left w:val="none" w:sz="0" w:space="0" w:color="auto"/>
        <w:bottom w:val="none" w:sz="0" w:space="0" w:color="auto"/>
        <w:right w:val="none" w:sz="0" w:space="0" w:color="auto"/>
      </w:divBdr>
    </w:div>
    <w:div w:id="1681155941">
      <w:bodyDiv w:val="1"/>
      <w:marLeft w:val="0"/>
      <w:marRight w:val="0"/>
      <w:marTop w:val="0"/>
      <w:marBottom w:val="0"/>
      <w:divBdr>
        <w:top w:val="none" w:sz="0" w:space="0" w:color="auto"/>
        <w:left w:val="none" w:sz="0" w:space="0" w:color="auto"/>
        <w:bottom w:val="none" w:sz="0" w:space="0" w:color="auto"/>
        <w:right w:val="none" w:sz="0" w:space="0" w:color="auto"/>
      </w:divBdr>
    </w:div>
    <w:div w:id="1686665675">
      <w:bodyDiv w:val="1"/>
      <w:marLeft w:val="0"/>
      <w:marRight w:val="0"/>
      <w:marTop w:val="0"/>
      <w:marBottom w:val="0"/>
      <w:divBdr>
        <w:top w:val="none" w:sz="0" w:space="0" w:color="auto"/>
        <w:left w:val="none" w:sz="0" w:space="0" w:color="auto"/>
        <w:bottom w:val="none" w:sz="0" w:space="0" w:color="auto"/>
        <w:right w:val="none" w:sz="0" w:space="0" w:color="auto"/>
      </w:divBdr>
    </w:div>
    <w:div w:id="1693994839">
      <w:bodyDiv w:val="1"/>
      <w:marLeft w:val="0"/>
      <w:marRight w:val="0"/>
      <w:marTop w:val="0"/>
      <w:marBottom w:val="0"/>
      <w:divBdr>
        <w:top w:val="none" w:sz="0" w:space="0" w:color="auto"/>
        <w:left w:val="none" w:sz="0" w:space="0" w:color="auto"/>
        <w:bottom w:val="none" w:sz="0" w:space="0" w:color="auto"/>
        <w:right w:val="none" w:sz="0" w:space="0" w:color="auto"/>
      </w:divBdr>
    </w:div>
    <w:div w:id="1694647166">
      <w:bodyDiv w:val="1"/>
      <w:marLeft w:val="0"/>
      <w:marRight w:val="0"/>
      <w:marTop w:val="0"/>
      <w:marBottom w:val="0"/>
      <w:divBdr>
        <w:top w:val="none" w:sz="0" w:space="0" w:color="auto"/>
        <w:left w:val="none" w:sz="0" w:space="0" w:color="auto"/>
        <w:bottom w:val="none" w:sz="0" w:space="0" w:color="auto"/>
        <w:right w:val="none" w:sz="0" w:space="0" w:color="auto"/>
      </w:divBdr>
    </w:div>
    <w:div w:id="1699812890">
      <w:bodyDiv w:val="1"/>
      <w:marLeft w:val="0"/>
      <w:marRight w:val="0"/>
      <w:marTop w:val="0"/>
      <w:marBottom w:val="0"/>
      <w:divBdr>
        <w:top w:val="none" w:sz="0" w:space="0" w:color="auto"/>
        <w:left w:val="none" w:sz="0" w:space="0" w:color="auto"/>
        <w:bottom w:val="none" w:sz="0" w:space="0" w:color="auto"/>
        <w:right w:val="none" w:sz="0" w:space="0" w:color="auto"/>
      </w:divBdr>
    </w:div>
    <w:div w:id="1716463359">
      <w:bodyDiv w:val="1"/>
      <w:marLeft w:val="0"/>
      <w:marRight w:val="0"/>
      <w:marTop w:val="0"/>
      <w:marBottom w:val="0"/>
      <w:divBdr>
        <w:top w:val="none" w:sz="0" w:space="0" w:color="auto"/>
        <w:left w:val="none" w:sz="0" w:space="0" w:color="auto"/>
        <w:bottom w:val="none" w:sz="0" w:space="0" w:color="auto"/>
        <w:right w:val="none" w:sz="0" w:space="0" w:color="auto"/>
      </w:divBdr>
    </w:div>
    <w:div w:id="1718819526">
      <w:bodyDiv w:val="1"/>
      <w:marLeft w:val="0"/>
      <w:marRight w:val="0"/>
      <w:marTop w:val="0"/>
      <w:marBottom w:val="0"/>
      <w:divBdr>
        <w:top w:val="none" w:sz="0" w:space="0" w:color="auto"/>
        <w:left w:val="none" w:sz="0" w:space="0" w:color="auto"/>
        <w:bottom w:val="none" w:sz="0" w:space="0" w:color="auto"/>
        <w:right w:val="none" w:sz="0" w:space="0" w:color="auto"/>
      </w:divBdr>
    </w:div>
    <w:div w:id="1719624472">
      <w:bodyDiv w:val="1"/>
      <w:marLeft w:val="0"/>
      <w:marRight w:val="0"/>
      <w:marTop w:val="0"/>
      <w:marBottom w:val="0"/>
      <w:divBdr>
        <w:top w:val="none" w:sz="0" w:space="0" w:color="auto"/>
        <w:left w:val="none" w:sz="0" w:space="0" w:color="auto"/>
        <w:bottom w:val="none" w:sz="0" w:space="0" w:color="auto"/>
        <w:right w:val="none" w:sz="0" w:space="0" w:color="auto"/>
      </w:divBdr>
    </w:div>
    <w:div w:id="1720321785">
      <w:bodyDiv w:val="1"/>
      <w:marLeft w:val="0"/>
      <w:marRight w:val="0"/>
      <w:marTop w:val="0"/>
      <w:marBottom w:val="0"/>
      <w:divBdr>
        <w:top w:val="none" w:sz="0" w:space="0" w:color="auto"/>
        <w:left w:val="none" w:sz="0" w:space="0" w:color="auto"/>
        <w:bottom w:val="none" w:sz="0" w:space="0" w:color="auto"/>
        <w:right w:val="none" w:sz="0" w:space="0" w:color="auto"/>
      </w:divBdr>
    </w:div>
    <w:div w:id="1727215841">
      <w:bodyDiv w:val="1"/>
      <w:marLeft w:val="0"/>
      <w:marRight w:val="0"/>
      <w:marTop w:val="0"/>
      <w:marBottom w:val="0"/>
      <w:divBdr>
        <w:top w:val="none" w:sz="0" w:space="0" w:color="auto"/>
        <w:left w:val="none" w:sz="0" w:space="0" w:color="auto"/>
        <w:bottom w:val="none" w:sz="0" w:space="0" w:color="auto"/>
        <w:right w:val="none" w:sz="0" w:space="0" w:color="auto"/>
      </w:divBdr>
    </w:div>
    <w:div w:id="1737127354">
      <w:bodyDiv w:val="1"/>
      <w:marLeft w:val="0"/>
      <w:marRight w:val="0"/>
      <w:marTop w:val="0"/>
      <w:marBottom w:val="0"/>
      <w:divBdr>
        <w:top w:val="none" w:sz="0" w:space="0" w:color="auto"/>
        <w:left w:val="none" w:sz="0" w:space="0" w:color="auto"/>
        <w:bottom w:val="none" w:sz="0" w:space="0" w:color="auto"/>
        <w:right w:val="none" w:sz="0" w:space="0" w:color="auto"/>
      </w:divBdr>
    </w:div>
    <w:div w:id="1737780544">
      <w:bodyDiv w:val="1"/>
      <w:marLeft w:val="0"/>
      <w:marRight w:val="0"/>
      <w:marTop w:val="0"/>
      <w:marBottom w:val="0"/>
      <w:divBdr>
        <w:top w:val="none" w:sz="0" w:space="0" w:color="auto"/>
        <w:left w:val="none" w:sz="0" w:space="0" w:color="auto"/>
        <w:bottom w:val="none" w:sz="0" w:space="0" w:color="auto"/>
        <w:right w:val="none" w:sz="0" w:space="0" w:color="auto"/>
      </w:divBdr>
    </w:div>
    <w:div w:id="1742868518">
      <w:bodyDiv w:val="1"/>
      <w:marLeft w:val="0"/>
      <w:marRight w:val="0"/>
      <w:marTop w:val="0"/>
      <w:marBottom w:val="0"/>
      <w:divBdr>
        <w:top w:val="none" w:sz="0" w:space="0" w:color="auto"/>
        <w:left w:val="none" w:sz="0" w:space="0" w:color="auto"/>
        <w:bottom w:val="none" w:sz="0" w:space="0" w:color="auto"/>
        <w:right w:val="none" w:sz="0" w:space="0" w:color="auto"/>
      </w:divBdr>
    </w:div>
    <w:div w:id="1754668135">
      <w:bodyDiv w:val="1"/>
      <w:marLeft w:val="0"/>
      <w:marRight w:val="0"/>
      <w:marTop w:val="0"/>
      <w:marBottom w:val="0"/>
      <w:divBdr>
        <w:top w:val="none" w:sz="0" w:space="0" w:color="auto"/>
        <w:left w:val="none" w:sz="0" w:space="0" w:color="auto"/>
        <w:bottom w:val="none" w:sz="0" w:space="0" w:color="auto"/>
        <w:right w:val="none" w:sz="0" w:space="0" w:color="auto"/>
      </w:divBdr>
    </w:div>
    <w:div w:id="1774201520">
      <w:bodyDiv w:val="1"/>
      <w:marLeft w:val="0"/>
      <w:marRight w:val="0"/>
      <w:marTop w:val="0"/>
      <w:marBottom w:val="0"/>
      <w:divBdr>
        <w:top w:val="none" w:sz="0" w:space="0" w:color="auto"/>
        <w:left w:val="none" w:sz="0" w:space="0" w:color="auto"/>
        <w:bottom w:val="none" w:sz="0" w:space="0" w:color="auto"/>
        <w:right w:val="none" w:sz="0" w:space="0" w:color="auto"/>
      </w:divBdr>
    </w:div>
    <w:div w:id="1776712505">
      <w:bodyDiv w:val="1"/>
      <w:marLeft w:val="0"/>
      <w:marRight w:val="0"/>
      <w:marTop w:val="0"/>
      <w:marBottom w:val="0"/>
      <w:divBdr>
        <w:top w:val="none" w:sz="0" w:space="0" w:color="auto"/>
        <w:left w:val="none" w:sz="0" w:space="0" w:color="auto"/>
        <w:bottom w:val="none" w:sz="0" w:space="0" w:color="auto"/>
        <w:right w:val="none" w:sz="0" w:space="0" w:color="auto"/>
      </w:divBdr>
    </w:div>
    <w:div w:id="1787657877">
      <w:bodyDiv w:val="1"/>
      <w:marLeft w:val="0"/>
      <w:marRight w:val="0"/>
      <w:marTop w:val="0"/>
      <w:marBottom w:val="0"/>
      <w:divBdr>
        <w:top w:val="none" w:sz="0" w:space="0" w:color="auto"/>
        <w:left w:val="none" w:sz="0" w:space="0" w:color="auto"/>
        <w:bottom w:val="none" w:sz="0" w:space="0" w:color="auto"/>
        <w:right w:val="none" w:sz="0" w:space="0" w:color="auto"/>
      </w:divBdr>
    </w:div>
    <w:div w:id="1789812286">
      <w:bodyDiv w:val="1"/>
      <w:marLeft w:val="0"/>
      <w:marRight w:val="0"/>
      <w:marTop w:val="0"/>
      <w:marBottom w:val="0"/>
      <w:divBdr>
        <w:top w:val="none" w:sz="0" w:space="0" w:color="auto"/>
        <w:left w:val="none" w:sz="0" w:space="0" w:color="auto"/>
        <w:bottom w:val="none" w:sz="0" w:space="0" w:color="auto"/>
        <w:right w:val="none" w:sz="0" w:space="0" w:color="auto"/>
      </w:divBdr>
    </w:div>
    <w:div w:id="1808936415">
      <w:bodyDiv w:val="1"/>
      <w:marLeft w:val="0"/>
      <w:marRight w:val="0"/>
      <w:marTop w:val="0"/>
      <w:marBottom w:val="0"/>
      <w:divBdr>
        <w:top w:val="none" w:sz="0" w:space="0" w:color="auto"/>
        <w:left w:val="none" w:sz="0" w:space="0" w:color="auto"/>
        <w:bottom w:val="none" w:sz="0" w:space="0" w:color="auto"/>
        <w:right w:val="none" w:sz="0" w:space="0" w:color="auto"/>
      </w:divBdr>
    </w:div>
    <w:div w:id="1824858506">
      <w:bodyDiv w:val="1"/>
      <w:marLeft w:val="0"/>
      <w:marRight w:val="0"/>
      <w:marTop w:val="0"/>
      <w:marBottom w:val="0"/>
      <w:divBdr>
        <w:top w:val="none" w:sz="0" w:space="0" w:color="auto"/>
        <w:left w:val="none" w:sz="0" w:space="0" w:color="auto"/>
        <w:bottom w:val="none" w:sz="0" w:space="0" w:color="auto"/>
        <w:right w:val="none" w:sz="0" w:space="0" w:color="auto"/>
      </w:divBdr>
    </w:div>
    <w:div w:id="1830946720">
      <w:bodyDiv w:val="1"/>
      <w:marLeft w:val="0"/>
      <w:marRight w:val="0"/>
      <w:marTop w:val="0"/>
      <w:marBottom w:val="0"/>
      <w:divBdr>
        <w:top w:val="none" w:sz="0" w:space="0" w:color="auto"/>
        <w:left w:val="none" w:sz="0" w:space="0" w:color="auto"/>
        <w:bottom w:val="none" w:sz="0" w:space="0" w:color="auto"/>
        <w:right w:val="none" w:sz="0" w:space="0" w:color="auto"/>
      </w:divBdr>
    </w:div>
    <w:div w:id="1838033923">
      <w:bodyDiv w:val="1"/>
      <w:marLeft w:val="0"/>
      <w:marRight w:val="0"/>
      <w:marTop w:val="0"/>
      <w:marBottom w:val="0"/>
      <w:divBdr>
        <w:top w:val="none" w:sz="0" w:space="0" w:color="auto"/>
        <w:left w:val="none" w:sz="0" w:space="0" w:color="auto"/>
        <w:bottom w:val="none" w:sz="0" w:space="0" w:color="auto"/>
        <w:right w:val="none" w:sz="0" w:space="0" w:color="auto"/>
      </w:divBdr>
    </w:div>
    <w:div w:id="1839272536">
      <w:bodyDiv w:val="1"/>
      <w:marLeft w:val="0"/>
      <w:marRight w:val="0"/>
      <w:marTop w:val="0"/>
      <w:marBottom w:val="0"/>
      <w:divBdr>
        <w:top w:val="none" w:sz="0" w:space="0" w:color="auto"/>
        <w:left w:val="none" w:sz="0" w:space="0" w:color="auto"/>
        <w:bottom w:val="none" w:sz="0" w:space="0" w:color="auto"/>
        <w:right w:val="none" w:sz="0" w:space="0" w:color="auto"/>
      </w:divBdr>
    </w:div>
    <w:div w:id="1840995527">
      <w:bodyDiv w:val="1"/>
      <w:marLeft w:val="0"/>
      <w:marRight w:val="0"/>
      <w:marTop w:val="0"/>
      <w:marBottom w:val="0"/>
      <w:divBdr>
        <w:top w:val="none" w:sz="0" w:space="0" w:color="auto"/>
        <w:left w:val="none" w:sz="0" w:space="0" w:color="auto"/>
        <w:bottom w:val="none" w:sz="0" w:space="0" w:color="auto"/>
        <w:right w:val="none" w:sz="0" w:space="0" w:color="auto"/>
      </w:divBdr>
    </w:div>
    <w:div w:id="1846093803">
      <w:bodyDiv w:val="1"/>
      <w:marLeft w:val="0"/>
      <w:marRight w:val="0"/>
      <w:marTop w:val="0"/>
      <w:marBottom w:val="0"/>
      <w:divBdr>
        <w:top w:val="none" w:sz="0" w:space="0" w:color="auto"/>
        <w:left w:val="none" w:sz="0" w:space="0" w:color="auto"/>
        <w:bottom w:val="none" w:sz="0" w:space="0" w:color="auto"/>
        <w:right w:val="none" w:sz="0" w:space="0" w:color="auto"/>
      </w:divBdr>
    </w:div>
    <w:div w:id="1854413459">
      <w:bodyDiv w:val="1"/>
      <w:marLeft w:val="0"/>
      <w:marRight w:val="0"/>
      <w:marTop w:val="0"/>
      <w:marBottom w:val="0"/>
      <w:divBdr>
        <w:top w:val="none" w:sz="0" w:space="0" w:color="auto"/>
        <w:left w:val="none" w:sz="0" w:space="0" w:color="auto"/>
        <w:bottom w:val="none" w:sz="0" w:space="0" w:color="auto"/>
        <w:right w:val="none" w:sz="0" w:space="0" w:color="auto"/>
      </w:divBdr>
    </w:div>
    <w:div w:id="1860000811">
      <w:bodyDiv w:val="1"/>
      <w:marLeft w:val="0"/>
      <w:marRight w:val="0"/>
      <w:marTop w:val="0"/>
      <w:marBottom w:val="0"/>
      <w:divBdr>
        <w:top w:val="none" w:sz="0" w:space="0" w:color="auto"/>
        <w:left w:val="none" w:sz="0" w:space="0" w:color="auto"/>
        <w:bottom w:val="none" w:sz="0" w:space="0" w:color="auto"/>
        <w:right w:val="none" w:sz="0" w:space="0" w:color="auto"/>
      </w:divBdr>
    </w:div>
    <w:div w:id="1878855619">
      <w:bodyDiv w:val="1"/>
      <w:marLeft w:val="0"/>
      <w:marRight w:val="0"/>
      <w:marTop w:val="0"/>
      <w:marBottom w:val="0"/>
      <w:divBdr>
        <w:top w:val="none" w:sz="0" w:space="0" w:color="auto"/>
        <w:left w:val="none" w:sz="0" w:space="0" w:color="auto"/>
        <w:bottom w:val="none" w:sz="0" w:space="0" w:color="auto"/>
        <w:right w:val="none" w:sz="0" w:space="0" w:color="auto"/>
      </w:divBdr>
    </w:div>
    <w:div w:id="1880892977">
      <w:bodyDiv w:val="1"/>
      <w:marLeft w:val="0"/>
      <w:marRight w:val="0"/>
      <w:marTop w:val="0"/>
      <w:marBottom w:val="0"/>
      <w:divBdr>
        <w:top w:val="none" w:sz="0" w:space="0" w:color="auto"/>
        <w:left w:val="none" w:sz="0" w:space="0" w:color="auto"/>
        <w:bottom w:val="none" w:sz="0" w:space="0" w:color="auto"/>
        <w:right w:val="none" w:sz="0" w:space="0" w:color="auto"/>
      </w:divBdr>
    </w:div>
    <w:div w:id="1901288795">
      <w:bodyDiv w:val="1"/>
      <w:marLeft w:val="0"/>
      <w:marRight w:val="0"/>
      <w:marTop w:val="0"/>
      <w:marBottom w:val="0"/>
      <w:divBdr>
        <w:top w:val="none" w:sz="0" w:space="0" w:color="auto"/>
        <w:left w:val="none" w:sz="0" w:space="0" w:color="auto"/>
        <w:bottom w:val="none" w:sz="0" w:space="0" w:color="auto"/>
        <w:right w:val="none" w:sz="0" w:space="0" w:color="auto"/>
      </w:divBdr>
    </w:div>
    <w:div w:id="1911843230">
      <w:bodyDiv w:val="1"/>
      <w:marLeft w:val="0"/>
      <w:marRight w:val="0"/>
      <w:marTop w:val="0"/>
      <w:marBottom w:val="0"/>
      <w:divBdr>
        <w:top w:val="none" w:sz="0" w:space="0" w:color="auto"/>
        <w:left w:val="none" w:sz="0" w:space="0" w:color="auto"/>
        <w:bottom w:val="none" w:sz="0" w:space="0" w:color="auto"/>
        <w:right w:val="none" w:sz="0" w:space="0" w:color="auto"/>
      </w:divBdr>
    </w:div>
    <w:div w:id="1917979885">
      <w:bodyDiv w:val="1"/>
      <w:marLeft w:val="0"/>
      <w:marRight w:val="0"/>
      <w:marTop w:val="0"/>
      <w:marBottom w:val="0"/>
      <w:divBdr>
        <w:top w:val="none" w:sz="0" w:space="0" w:color="auto"/>
        <w:left w:val="none" w:sz="0" w:space="0" w:color="auto"/>
        <w:bottom w:val="none" w:sz="0" w:space="0" w:color="auto"/>
        <w:right w:val="none" w:sz="0" w:space="0" w:color="auto"/>
      </w:divBdr>
    </w:div>
    <w:div w:id="1934708272">
      <w:bodyDiv w:val="1"/>
      <w:marLeft w:val="0"/>
      <w:marRight w:val="0"/>
      <w:marTop w:val="0"/>
      <w:marBottom w:val="0"/>
      <w:divBdr>
        <w:top w:val="none" w:sz="0" w:space="0" w:color="auto"/>
        <w:left w:val="none" w:sz="0" w:space="0" w:color="auto"/>
        <w:bottom w:val="none" w:sz="0" w:space="0" w:color="auto"/>
        <w:right w:val="none" w:sz="0" w:space="0" w:color="auto"/>
      </w:divBdr>
    </w:div>
    <w:div w:id="1937397489">
      <w:bodyDiv w:val="1"/>
      <w:marLeft w:val="0"/>
      <w:marRight w:val="0"/>
      <w:marTop w:val="0"/>
      <w:marBottom w:val="0"/>
      <w:divBdr>
        <w:top w:val="none" w:sz="0" w:space="0" w:color="auto"/>
        <w:left w:val="none" w:sz="0" w:space="0" w:color="auto"/>
        <w:bottom w:val="none" w:sz="0" w:space="0" w:color="auto"/>
        <w:right w:val="none" w:sz="0" w:space="0" w:color="auto"/>
      </w:divBdr>
    </w:div>
    <w:div w:id="1939832140">
      <w:bodyDiv w:val="1"/>
      <w:marLeft w:val="0"/>
      <w:marRight w:val="0"/>
      <w:marTop w:val="0"/>
      <w:marBottom w:val="0"/>
      <w:divBdr>
        <w:top w:val="none" w:sz="0" w:space="0" w:color="auto"/>
        <w:left w:val="none" w:sz="0" w:space="0" w:color="auto"/>
        <w:bottom w:val="none" w:sz="0" w:space="0" w:color="auto"/>
        <w:right w:val="none" w:sz="0" w:space="0" w:color="auto"/>
      </w:divBdr>
    </w:div>
    <w:div w:id="1943485746">
      <w:bodyDiv w:val="1"/>
      <w:marLeft w:val="0"/>
      <w:marRight w:val="0"/>
      <w:marTop w:val="0"/>
      <w:marBottom w:val="0"/>
      <w:divBdr>
        <w:top w:val="none" w:sz="0" w:space="0" w:color="auto"/>
        <w:left w:val="none" w:sz="0" w:space="0" w:color="auto"/>
        <w:bottom w:val="none" w:sz="0" w:space="0" w:color="auto"/>
        <w:right w:val="none" w:sz="0" w:space="0" w:color="auto"/>
      </w:divBdr>
    </w:div>
    <w:div w:id="1952085400">
      <w:bodyDiv w:val="1"/>
      <w:marLeft w:val="0"/>
      <w:marRight w:val="0"/>
      <w:marTop w:val="0"/>
      <w:marBottom w:val="0"/>
      <w:divBdr>
        <w:top w:val="none" w:sz="0" w:space="0" w:color="auto"/>
        <w:left w:val="none" w:sz="0" w:space="0" w:color="auto"/>
        <w:bottom w:val="none" w:sz="0" w:space="0" w:color="auto"/>
        <w:right w:val="none" w:sz="0" w:space="0" w:color="auto"/>
      </w:divBdr>
    </w:div>
    <w:div w:id="1956323626">
      <w:bodyDiv w:val="1"/>
      <w:marLeft w:val="0"/>
      <w:marRight w:val="0"/>
      <w:marTop w:val="0"/>
      <w:marBottom w:val="0"/>
      <w:divBdr>
        <w:top w:val="none" w:sz="0" w:space="0" w:color="auto"/>
        <w:left w:val="none" w:sz="0" w:space="0" w:color="auto"/>
        <w:bottom w:val="none" w:sz="0" w:space="0" w:color="auto"/>
        <w:right w:val="none" w:sz="0" w:space="0" w:color="auto"/>
      </w:divBdr>
    </w:div>
    <w:div w:id="1967928306">
      <w:bodyDiv w:val="1"/>
      <w:marLeft w:val="0"/>
      <w:marRight w:val="0"/>
      <w:marTop w:val="0"/>
      <w:marBottom w:val="0"/>
      <w:divBdr>
        <w:top w:val="none" w:sz="0" w:space="0" w:color="auto"/>
        <w:left w:val="none" w:sz="0" w:space="0" w:color="auto"/>
        <w:bottom w:val="none" w:sz="0" w:space="0" w:color="auto"/>
        <w:right w:val="none" w:sz="0" w:space="0" w:color="auto"/>
      </w:divBdr>
    </w:div>
    <w:div w:id="1972517033">
      <w:bodyDiv w:val="1"/>
      <w:marLeft w:val="0"/>
      <w:marRight w:val="0"/>
      <w:marTop w:val="0"/>
      <w:marBottom w:val="0"/>
      <w:divBdr>
        <w:top w:val="none" w:sz="0" w:space="0" w:color="auto"/>
        <w:left w:val="none" w:sz="0" w:space="0" w:color="auto"/>
        <w:bottom w:val="none" w:sz="0" w:space="0" w:color="auto"/>
        <w:right w:val="none" w:sz="0" w:space="0" w:color="auto"/>
      </w:divBdr>
    </w:div>
    <w:div w:id="1976057377">
      <w:bodyDiv w:val="1"/>
      <w:marLeft w:val="0"/>
      <w:marRight w:val="0"/>
      <w:marTop w:val="0"/>
      <w:marBottom w:val="0"/>
      <w:divBdr>
        <w:top w:val="none" w:sz="0" w:space="0" w:color="auto"/>
        <w:left w:val="none" w:sz="0" w:space="0" w:color="auto"/>
        <w:bottom w:val="none" w:sz="0" w:space="0" w:color="auto"/>
        <w:right w:val="none" w:sz="0" w:space="0" w:color="auto"/>
      </w:divBdr>
    </w:div>
    <w:div w:id="1980919164">
      <w:bodyDiv w:val="1"/>
      <w:marLeft w:val="0"/>
      <w:marRight w:val="0"/>
      <w:marTop w:val="0"/>
      <w:marBottom w:val="0"/>
      <w:divBdr>
        <w:top w:val="none" w:sz="0" w:space="0" w:color="auto"/>
        <w:left w:val="none" w:sz="0" w:space="0" w:color="auto"/>
        <w:bottom w:val="none" w:sz="0" w:space="0" w:color="auto"/>
        <w:right w:val="none" w:sz="0" w:space="0" w:color="auto"/>
      </w:divBdr>
    </w:div>
    <w:div w:id="1984190760">
      <w:bodyDiv w:val="1"/>
      <w:marLeft w:val="0"/>
      <w:marRight w:val="0"/>
      <w:marTop w:val="0"/>
      <w:marBottom w:val="0"/>
      <w:divBdr>
        <w:top w:val="none" w:sz="0" w:space="0" w:color="auto"/>
        <w:left w:val="none" w:sz="0" w:space="0" w:color="auto"/>
        <w:bottom w:val="none" w:sz="0" w:space="0" w:color="auto"/>
        <w:right w:val="none" w:sz="0" w:space="0" w:color="auto"/>
      </w:divBdr>
    </w:div>
    <w:div w:id="1985695936">
      <w:bodyDiv w:val="1"/>
      <w:marLeft w:val="0"/>
      <w:marRight w:val="0"/>
      <w:marTop w:val="0"/>
      <w:marBottom w:val="0"/>
      <w:divBdr>
        <w:top w:val="none" w:sz="0" w:space="0" w:color="auto"/>
        <w:left w:val="none" w:sz="0" w:space="0" w:color="auto"/>
        <w:bottom w:val="none" w:sz="0" w:space="0" w:color="auto"/>
        <w:right w:val="none" w:sz="0" w:space="0" w:color="auto"/>
      </w:divBdr>
    </w:div>
    <w:div w:id="1989704714">
      <w:bodyDiv w:val="1"/>
      <w:marLeft w:val="0"/>
      <w:marRight w:val="0"/>
      <w:marTop w:val="0"/>
      <w:marBottom w:val="0"/>
      <w:divBdr>
        <w:top w:val="none" w:sz="0" w:space="0" w:color="auto"/>
        <w:left w:val="none" w:sz="0" w:space="0" w:color="auto"/>
        <w:bottom w:val="none" w:sz="0" w:space="0" w:color="auto"/>
        <w:right w:val="none" w:sz="0" w:space="0" w:color="auto"/>
      </w:divBdr>
    </w:div>
    <w:div w:id="1993869656">
      <w:bodyDiv w:val="1"/>
      <w:marLeft w:val="0"/>
      <w:marRight w:val="0"/>
      <w:marTop w:val="0"/>
      <w:marBottom w:val="0"/>
      <w:divBdr>
        <w:top w:val="none" w:sz="0" w:space="0" w:color="auto"/>
        <w:left w:val="none" w:sz="0" w:space="0" w:color="auto"/>
        <w:bottom w:val="none" w:sz="0" w:space="0" w:color="auto"/>
        <w:right w:val="none" w:sz="0" w:space="0" w:color="auto"/>
      </w:divBdr>
    </w:div>
    <w:div w:id="2003896830">
      <w:bodyDiv w:val="1"/>
      <w:marLeft w:val="0"/>
      <w:marRight w:val="0"/>
      <w:marTop w:val="0"/>
      <w:marBottom w:val="0"/>
      <w:divBdr>
        <w:top w:val="none" w:sz="0" w:space="0" w:color="auto"/>
        <w:left w:val="none" w:sz="0" w:space="0" w:color="auto"/>
        <w:bottom w:val="none" w:sz="0" w:space="0" w:color="auto"/>
        <w:right w:val="none" w:sz="0" w:space="0" w:color="auto"/>
      </w:divBdr>
    </w:div>
    <w:div w:id="2005552624">
      <w:bodyDiv w:val="1"/>
      <w:marLeft w:val="0"/>
      <w:marRight w:val="0"/>
      <w:marTop w:val="0"/>
      <w:marBottom w:val="0"/>
      <w:divBdr>
        <w:top w:val="none" w:sz="0" w:space="0" w:color="auto"/>
        <w:left w:val="none" w:sz="0" w:space="0" w:color="auto"/>
        <w:bottom w:val="none" w:sz="0" w:space="0" w:color="auto"/>
        <w:right w:val="none" w:sz="0" w:space="0" w:color="auto"/>
      </w:divBdr>
    </w:div>
    <w:div w:id="2005935890">
      <w:bodyDiv w:val="1"/>
      <w:marLeft w:val="0"/>
      <w:marRight w:val="0"/>
      <w:marTop w:val="0"/>
      <w:marBottom w:val="0"/>
      <w:divBdr>
        <w:top w:val="none" w:sz="0" w:space="0" w:color="auto"/>
        <w:left w:val="none" w:sz="0" w:space="0" w:color="auto"/>
        <w:bottom w:val="none" w:sz="0" w:space="0" w:color="auto"/>
        <w:right w:val="none" w:sz="0" w:space="0" w:color="auto"/>
      </w:divBdr>
    </w:div>
    <w:div w:id="2006084922">
      <w:bodyDiv w:val="1"/>
      <w:marLeft w:val="0"/>
      <w:marRight w:val="0"/>
      <w:marTop w:val="0"/>
      <w:marBottom w:val="0"/>
      <w:divBdr>
        <w:top w:val="none" w:sz="0" w:space="0" w:color="auto"/>
        <w:left w:val="none" w:sz="0" w:space="0" w:color="auto"/>
        <w:bottom w:val="none" w:sz="0" w:space="0" w:color="auto"/>
        <w:right w:val="none" w:sz="0" w:space="0" w:color="auto"/>
      </w:divBdr>
    </w:div>
    <w:div w:id="2010668033">
      <w:bodyDiv w:val="1"/>
      <w:marLeft w:val="0"/>
      <w:marRight w:val="0"/>
      <w:marTop w:val="0"/>
      <w:marBottom w:val="0"/>
      <w:divBdr>
        <w:top w:val="none" w:sz="0" w:space="0" w:color="auto"/>
        <w:left w:val="none" w:sz="0" w:space="0" w:color="auto"/>
        <w:bottom w:val="none" w:sz="0" w:space="0" w:color="auto"/>
        <w:right w:val="none" w:sz="0" w:space="0" w:color="auto"/>
      </w:divBdr>
    </w:div>
    <w:div w:id="2018343226">
      <w:bodyDiv w:val="1"/>
      <w:marLeft w:val="0"/>
      <w:marRight w:val="0"/>
      <w:marTop w:val="0"/>
      <w:marBottom w:val="0"/>
      <w:divBdr>
        <w:top w:val="none" w:sz="0" w:space="0" w:color="auto"/>
        <w:left w:val="none" w:sz="0" w:space="0" w:color="auto"/>
        <w:bottom w:val="none" w:sz="0" w:space="0" w:color="auto"/>
        <w:right w:val="none" w:sz="0" w:space="0" w:color="auto"/>
      </w:divBdr>
    </w:div>
    <w:div w:id="2019454554">
      <w:bodyDiv w:val="1"/>
      <w:marLeft w:val="0"/>
      <w:marRight w:val="0"/>
      <w:marTop w:val="0"/>
      <w:marBottom w:val="0"/>
      <w:divBdr>
        <w:top w:val="none" w:sz="0" w:space="0" w:color="auto"/>
        <w:left w:val="none" w:sz="0" w:space="0" w:color="auto"/>
        <w:bottom w:val="none" w:sz="0" w:space="0" w:color="auto"/>
        <w:right w:val="none" w:sz="0" w:space="0" w:color="auto"/>
      </w:divBdr>
    </w:div>
    <w:div w:id="2021201986">
      <w:bodyDiv w:val="1"/>
      <w:marLeft w:val="0"/>
      <w:marRight w:val="0"/>
      <w:marTop w:val="0"/>
      <w:marBottom w:val="0"/>
      <w:divBdr>
        <w:top w:val="none" w:sz="0" w:space="0" w:color="auto"/>
        <w:left w:val="none" w:sz="0" w:space="0" w:color="auto"/>
        <w:bottom w:val="none" w:sz="0" w:space="0" w:color="auto"/>
        <w:right w:val="none" w:sz="0" w:space="0" w:color="auto"/>
      </w:divBdr>
    </w:div>
    <w:div w:id="2042049855">
      <w:bodyDiv w:val="1"/>
      <w:marLeft w:val="0"/>
      <w:marRight w:val="0"/>
      <w:marTop w:val="0"/>
      <w:marBottom w:val="0"/>
      <w:divBdr>
        <w:top w:val="none" w:sz="0" w:space="0" w:color="auto"/>
        <w:left w:val="none" w:sz="0" w:space="0" w:color="auto"/>
        <w:bottom w:val="none" w:sz="0" w:space="0" w:color="auto"/>
        <w:right w:val="none" w:sz="0" w:space="0" w:color="auto"/>
      </w:divBdr>
    </w:div>
    <w:div w:id="2081056333">
      <w:bodyDiv w:val="1"/>
      <w:marLeft w:val="0"/>
      <w:marRight w:val="0"/>
      <w:marTop w:val="0"/>
      <w:marBottom w:val="0"/>
      <w:divBdr>
        <w:top w:val="none" w:sz="0" w:space="0" w:color="auto"/>
        <w:left w:val="none" w:sz="0" w:space="0" w:color="auto"/>
        <w:bottom w:val="none" w:sz="0" w:space="0" w:color="auto"/>
        <w:right w:val="none" w:sz="0" w:space="0" w:color="auto"/>
      </w:divBdr>
    </w:div>
    <w:div w:id="2083209206">
      <w:bodyDiv w:val="1"/>
      <w:marLeft w:val="0"/>
      <w:marRight w:val="0"/>
      <w:marTop w:val="0"/>
      <w:marBottom w:val="0"/>
      <w:divBdr>
        <w:top w:val="none" w:sz="0" w:space="0" w:color="auto"/>
        <w:left w:val="none" w:sz="0" w:space="0" w:color="auto"/>
        <w:bottom w:val="none" w:sz="0" w:space="0" w:color="auto"/>
        <w:right w:val="none" w:sz="0" w:space="0" w:color="auto"/>
      </w:divBdr>
    </w:div>
    <w:div w:id="2084451455">
      <w:bodyDiv w:val="1"/>
      <w:marLeft w:val="0"/>
      <w:marRight w:val="0"/>
      <w:marTop w:val="0"/>
      <w:marBottom w:val="0"/>
      <w:divBdr>
        <w:top w:val="none" w:sz="0" w:space="0" w:color="auto"/>
        <w:left w:val="none" w:sz="0" w:space="0" w:color="auto"/>
        <w:bottom w:val="none" w:sz="0" w:space="0" w:color="auto"/>
        <w:right w:val="none" w:sz="0" w:space="0" w:color="auto"/>
      </w:divBdr>
    </w:div>
    <w:div w:id="2091852295">
      <w:bodyDiv w:val="1"/>
      <w:marLeft w:val="0"/>
      <w:marRight w:val="0"/>
      <w:marTop w:val="0"/>
      <w:marBottom w:val="0"/>
      <w:divBdr>
        <w:top w:val="none" w:sz="0" w:space="0" w:color="auto"/>
        <w:left w:val="none" w:sz="0" w:space="0" w:color="auto"/>
        <w:bottom w:val="none" w:sz="0" w:space="0" w:color="auto"/>
        <w:right w:val="none" w:sz="0" w:space="0" w:color="auto"/>
      </w:divBdr>
    </w:div>
    <w:div w:id="2093430983">
      <w:bodyDiv w:val="1"/>
      <w:marLeft w:val="0"/>
      <w:marRight w:val="0"/>
      <w:marTop w:val="0"/>
      <w:marBottom w:val="0"/>
      <w:divBdr>
        <w:top w:val="none" w:sz="0" w:space="0" w:color="auto"/>
        <w:left w:val="none" w:sz="0" w:space="0" w:color="auto"/>
        <w:bottom w:val="none" w:sz="0" w:space="0" w:color="auto"/>
        <w:right w:val="none" w:sz="0" w:space="0" w:color="auto"/>
      </w:divBdr>
    </w:div>
    <w:div w:id="2098282218">
      <w:bodyDiv w:val="1"/>
      <w:marLeft w:val="0"/>
      <w:marRight w:val="0"/>
      <w:marTop w:val="0"/>
      <w:marBottom w:val="0"/>
      <w:divBdr>
        <w:top w:val="none" w:sz="0" w:space="0" w:color="auto"/>
        <w:left w:val="none" w:sz="0" w:space="0" w:color="auto"/>
        <w:bottom w:val="none" w:sz="0" w:space="0" w:color="auto"/>
        <w:right w:val="none" w:sz="0" w:space="0" w:color="auto"/>
      </w:divBdr>
    </w:div>
    <w:div w:id="2103989892">
      <w:bodyDiv w:val="1"/>
      <w:marLeft w:val="0"/>
      <w:marRight w:val="0"/>
      <w:marTop w:val="0"/>
      <w:marBottom w:val="0"/>
      <w:divBdr>
        <w:top w:val="none" w:sz="0" w:space="0" w:color="auto"/>
        <w:left w:val="none" w:sz="0" w:space="0" w:color="auto"/>
        <w:bottom w:val="none" w:sz="0" w:space="0" w:color="auto"/>
        <w:right w:val="none" w:sz="0" w:space="0" w:color="auto"/>
      </w:divBdr>
    </w:div>
    <w:div w:id="2107576485">
      <w:bodyDiv w:val="1"/>
      <w:marLeft w:val="0"/>
      <w:marRight w:val="0"/>
      <w:marTop w:val="0"/>
      <w:marBottom w:val="0"/>
      <w:divBdr>
        <w:top w:val="none" w:sz="0" w:space="0" w:color="auto"/>
        <w:left w:val="none" w:sz="0" w:space="0" w:color="auto"/>
        <w:bottom w:val="none" w:sz="0" w:space="0" w:color="auto"/>
        <w:right w:val="none" w:sz="0" w:space="0" w:color="auto"/>
      </w:divBdr>
    </w:div>
    <w:div w:id="2107846480">
      <w:bodyDiv w:val="1"/>
      <w:marLeft w:val="0"/>
      <w:marRight w:val="0"/>
      <w:marTop w:val="0"/>
      <w:marBottom w:val="0"/>
      <w:divBdr>
        <w:top w:val="none" w:sz="0" w:space="0" w:color="auto"/>
        <w:left w:val="none" w:sz="0" w:space="0" w:color="auto"/>
        <w:bottom w:val="none" w:sz="0" w:space="0" w:color="auto"/>
        <w:right w:val="none" w:sz="0" w:space="0" w:color="auto"/>
      </w:divBdr>
    </w:div>
    <w:div w:id="2119256932">
      <w:bodyDiv w:val="1"/>
      <w:marLeft w:val="0"/>
      <w:marRight w:val="0"/>
      <w:marTop w:val="0"/>
      <w:marBottom w:val="0"/>
      <w:divBdr>
        <w:top w:val="none" w:sz="0" w:space="0" w:color="auto"/>
        <w:left w:val="none" w:sz="0" w:space="0" w:color="auto"/>
        <w:bottom w:val="none" w:sz="0" w:space="0" w:color="auto"/>
        <w:right w:val="none" w:sz="0" w:space="0" w:color="auto"/>
      </w:divBdr>
    </w:div>
    <w:div w:id="2121759919">
      <w:bodyDiv w:val="1"/>
      <w:marLeft w:val="0"/>
      <w:marRight w:val="0"/>
      <w:marTop w:val="0"/>
      <w:marBottom w:val="0"/>
      <w:divBdr>
        <w:top w:val="none" w:sz="0" w:space="0" w:color="auto"/>
        <w:left w:val="none" w:sz="0" w:space="0" w:color="auto"/>
        <w:bottom w:val="none" w:sz="0" w:space="0" w:color="auto"/>
        <w:right w:val="none" w:sz="0" w:space="0" w:color="auto"/>
      </w:divBdr>
    </w:div>
    <w:div w:id="2134247054">
      <w:bodyDiv w:val="1"/>
      <w:marLeft w:val="0"/>
      <w:marRight w:val="0"/>
      <w:marTop w:val="0"/>
      <w:marBottom w:val="0"/>
      <w:divBdr>
        <w:top w:val="none" w:sz="0" w:space="0" w:color="auto"/>
        <w:left w:val="none" w:sz="0" w:space="0" w:color="auto"/>
        <w:bottom w:val="none" w:sz="0" w:space="0" w:color="auto"/>
        <w:right w:val="none" w:sz="0" w:space="0" w:color="auto"/>
      </w:divBdr>
    </w:div>
    <w:div w:id="2135174777">
      <w:bodyDiv w:val="1"/>
      <w:marLeft w:val="0"/>
      <w:marRight w:val="0"/>
      <w:marTop w:val="0"/>
      <w:marBottom w:val="0"/>
      <w:divBdr>
        <w:top w:val="none" w:sz="0" w:space="0" w:color="auto"/>
        <w:left w:val="none" w:sz="0" w:space="0" w:color="auto"/>
        <w:bottom w:val="none" w:sz="0" w:space="0" w:color="auto"/>
        <w:right w:val="none" w:sz="0" w:space="0" w:color="auto"/>
      </w:divBdr>
    </w:div>
    <w:div w:id="2135366193">
      <w:bodyDiv w:val="1"/>
      <w:marLeft w:val="0"/>
      <w:marRight w:val="0"/>
      <w:marTop w:val="0"/>
      <w:marBottom w:val="0"/>
      <w:divBdr>
        <w:top w:val="none" w:sz="0" w:space="0" w:color="auto"/>
        <w:left w:val="none" w:sz="0" w:space="0" w:color="auto"/>
        <w:bottom w:val="none" w:sz="0" w:space="0" w:color="auto"/>
        <w:right w:val="none" w:sz="0" w:space="0" w:color="auto"/>
      </w:divBdr>
    </w:div>
    <w:div w:id="2141142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33480</Words>
  <Characters>190837</Characters>
  <Application>Microsoft Office Word</Application>
  <DocSecurity>0</DocSecurity>
  <Lines>1590</Lines>
  <Paragraphs>447</Paragraphs>
  <ScaleCrop>false</ScaleCrop>
  <Company/>
  <LinksUpToDate>false</LinksUpToDate>
  <CharactersWithSpaces>223870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彭威</dc:creator>
  <cp:lastModifiedBy>威 彭</cp:lastModifiedBy>
  <cp:revision>22</cp:revision>
  <cp:lastPrinted>2024-04-15T09:50:00Z</cp:lastPrinted>
  <dcterms:created xsi:type="dcterms:W3CDTF">2024-04-15T04:29:00Z</dcterms:created>
  <dcterms:modified xsi:type="dcterms:W3CDTF">2024-04-15T09:52:00Z</dcterms:modified>
</cp:coreProperties>
</file>